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2.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header4.xml" ContentType="application/vnd.openxmlformats-officedocument.wordprocessingml.header+xml"/>
  <Override PartName="/word/footer27.xml" ContentType="application/vnd.openxmlformats-officedocument.wordprocessingml.footer+xml"/>
  <Override PartName="/word/header5.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header6.xml" ContentType="application/vnd.openxmlformats-officedocument.wordprocessingml.header+xml"/>
  <Override PartName="/word/footer45.xml" ContentType="application/vnd.openxmlformats-officedocument.wordprocessingml.footer+xml"/>
  <Override PartName="/word/header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1"/>
        <w:rPr>
          <w:rFonts w:ascii="Times New Roman" w:hAnsi="Times New Roman" w:cs="Times New Roman" w:eastAsia="Times New Roman" w:hint="default"/>
          <w:sz w:val="21"/>
          <w:szCs w:val="21"/>
        </w:rPr>
      </w:pPr>
    </w:p>
    <w:p>
      <w:pPr>
        <w:pStyle w:val="Heading3"/>
        <w:tabs>
          <w:tab w:pos="6362" w:val="left" w:leader="none"/>
        </w:tabs>
        <w:spacing w:line="240" w:lineRule="auto" w:before="36"/>
        <w:ind w:left="138" w:right="0"/>
        <w:jc w:val="left"/>
        <w:rPr>
          <w:b w:val="0"/>
          <w:bCs w:val="0"/>
        </w:rPr>
      </w:pPr>
      <w:r>
        <w:rPr>
          <w:w w:val="95"/>
        </w:rPr>
        <w:t>公司代码：</w:t>
      </w:r>
      <w:r>
        <w:rPr>
          <w:rFonts w:ascii="宋体" w:hAnsi="宋体" w:cs="宋体" w:eastAsia="宋体" w:hint="default"/>
          <w:w w:val="95"/>
        </w:rPr>
        <w:t>600588</w:t>
        <w:tab/>
      </w:r>
      <w:r>
        <w:rPr/>
        <w:t>公司简称：用友网络</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2"/>
          <w:szCs w:val="12"/>
        </w:rPr>
      </w:pPr>
    </w:p>
    <w:p>
      <w:pPr>
        <w:spacing w:line="1188" w:lineRule="exact"/>
        <w:ind w:left="3330" w:right="0" w:firstLine="0"/>
        <w:rPr>
          <w:rFonts w:ascii="宋体" w:hAnsi="宋体" w:cs="宋体" w:eastAsia="宋体" w:hint="default"/>
          <w:sz w:val="20"/>
          <w:szCs w:val="20"/>
        </w:rPr>
      </w:pPr>
      <w:r>
        <w:rPr>
          <w:rFonts w:ascii="宋体" w:hAnsi="宋体" w:cs="宋体" w:eastAsia="宋体" w:hint="default"/>
          <w:position w:val="-23"/>
          <w:sz w:val="20"/>
          <w:szCs w:val="20"/>
        </w:rPr>
        <w:drawing>
          <wp:inline distT="0" distB="0" distL="0" distR="0">
            <wp:extent cx="1518275" cy="754379"/>
            <wp:effectExtent l="0" t="0" r="0" b="0"/>
            <wp:docPr id="1" name="image2.png" descr=""/>
            <wp:cNvGraphicFramePr>
              <a:graphicFrameLocks noChangeAspect="1"/>
            </wp:cNvGraphicFramePr>
            <a:graphic>
              <a:graphicData uri="http://schemas.openxmlformats.org/drawingml/2006/picture">
                <pic:pic>
                  <pic:nvPicPr>
                    <pic:cNvPr id="2" name="image2.png"/>
                    <pic:cNvPicPr/>
                  </pic:nvPicPr>
                  <pic:blipFill>
                    <a:blip r:embed="rId7" cstate="print"/>
                    <a:stretch>
                      <a:fillRect/>
                    </a:stretch>
                  </pic:blipFill>
                  <pic:spPr>
                    <a:xfrm>
                      <a:off x="0" y="0"/>
                      <a:ext cx="1518275" cy="754379"/>
                    </a:xfrm>
                    <a:prstGeom prst="rect">
                      <a:avLst/>
                    </a:prstGeom>
                  </pic:spPr>
                </pic:pic>
              </a:graphicData>
            </a:graphic>
          </wp:inline>
        </w:drawing>
      </w:r>
      <w:r>
        <w:rPr>
          <w:rFonts w:ascii="宋体" w:hAnsi="宋体" w:cs="宋体" w:eastAsia="宋体" w:hint="default"/>
          <w:position w:val="-23"/>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1"/>
          <w:szCs w:val="21"/>
        </w:rPr>
      </w:pPr>
    </w:p>
    <w:p>
      <w:pPr>
        <w:spacing w:line="572" w:lineRule="exact" w:before="0"/>
        <w:ind w:left="2951" w:right="2049" w:hanging="1047"/>
        <w:jc w:val="left"/>
        <w:rPr>
          <w:rFonts w:ascii="黑体" w:hAnsi="黑体" w:cs="黑体" w:eastAsia="黑体" w:hint="default"/>
          <w:sz w:val="44"/>
          <w:szCs w:val="44"/>
        </w:rPr>
      </w:pPr>
      <w:r>
        <w:rPr>
          <w:rFonts w:ascii="黑体" w:hAnsi="黑体" w:cs="黑体" w:eastAsia="黑体" w:hint="default"/>
          <w:b/>
          <w:bCs/>
          <w:color w:val="FF0000"/>
          <w:spacing w:val="2"/>
          <w:w w:val="95"/>
          <w:sz w:val="44"/>
          <w:szCs w:val="44"/>
        </w:rPr>
        <w:t>用友网络科技股份有限公司</w:t>
      </w:r>
      <w:r>
        <w:rPr>
          <w:rFonts w:ascii="黑体" w:hAnsi="黑体" w:cs="黑体" w:eastAsia="黑体" w:hint="default"/>
          <w:b/>
          <w:bCs/>
          <w:color w:val="FF0000"/>
          <w:spacing w:val="24"/>
          <w:w w:val="95"/>
          <w:sz w:val="44"/>
          <w:szCs w:val="44"/>
        </w:rPr>
        <w:t> </w:t>
      </w:r>
      <w:r>
        <w:rPr>
          <w:rFonts w:ascii="黑体" w:hAnsi="黑体" w:cs="黑体" w:eastAsia="黑体" w:hint="default"/>
          <w:b/>
          <w:bCs/>
          <w:color w:val="FF0000"/>
          <w:sz w:val="44"/>
          <w:szCs w:val="44"/>
        </w:rPr>
        <w:t>2017</w:t>
      </w:r>
      <w:r>
        <w:rPr>
          <w:rFonts w:ascii="黑体" w:hAnsi="黑体" w:cs="黑体" w:eastAsia="黑体" w:hint="default"/>
          <w:b/>
          <w:bCs/>
          <w:color w:val="FF0000"/>
          <w:spacing w:val="-119"/>
          <w:sz w:val="44"/>
          <w:szCs w:val="44"/>
        </w:rPr>
        <w:t> </w:t>
      </w:r>
      <w:r>
        <w:rPr>
          <w:rFonts w:ascii="黑体" w:hAnsi="黑体" w:cs="黑体" w:eastAsia="黑体" w:hint="default"/>
          <w:b/>
          <w:bCs/>
          <w:color w:val="FF0000"/>
          <w:sz w:val="44"/>
          <w:szCs w:val="44"/>
        </w:rPr>
        <w:t>年年度报告</w:t>
      </w:r>
      <w:r>
        <w:rPr>
          <w:rFonts w:ascii="黑体" w:hAnsi="黑体" w:cs="黑体" w:eastAsia="黑体" w:hint="default"/>
          <w:sz w:val="44"/>
          <w:szCs w:val="44"/>
        </w:rPr>
      </w:r>
    </w:p>
    <w:p>
      <w:pPr>
        <w:spacing w:after="0" w:line="572" w:lineRule="exact"/>
        <w:jc w:val="left"/>
        <w:rPr>
          <w:rFonts w:ascii="黑体" w:hAnsi="黑体" w:cs="黑体" w:eastAsia="黑体" w:hint="default"/>
          <w:sz w:val="44"/>
          <w:szCs w:val="44"/>
        </w:rPr>
        <w:sectPr>
          <w:headerReference w:type="default" r:id="rId5"/>
          <w:footerReference w:type="default" r:id="rId6"/>
          <w:type w:val="continuous"/>
          <w:pgSz w:w="11910" w:h="16840"/>
          <w:pgMar w:header="855" w:footer="1195" w:top="1320" w:bottom="1380" w:left="1660" w:right="1120"/>
          <w:pgNumType w:start="1"/>
        </w:sectPr>
      </w:pPr>
    </w:p>
    <w:p>
      <w:pPr>
        <w:spacing w:line="240" w:lineRule="auto" w:before="9"/>
        <w:rPr>
          <w:rFonts w:ascii="Times New Roman" w:hAnsi="Times New Roman" w:cs="Times New Roman" w:eastAsia="Times New Roman" w:hint="default"/>
          <w:sz w:val="16"/>
          <w:szCs w:val="16"/>
        </w:rPr>
      </w:pPr>
    </w:p>
    <w:p>
      <w:pPr>
        <w:spacing w:line="12979" w:lineRule="exact"/>
        <w:ind w:left="137"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59"/>
          <w:sz w:val="20"/>
          <w:szCs w:val="20"/>
        </w:rPr>
        <w:drawing>
          <wp:inline distT="0" distB="0" distL="0" distR="0">
            <wp:extent cx="5561166" cy="8241792"/>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8" cstate="print"/>
                    <a:stretch>
                      <a:fillRect/>
                    </a:stretch>
                  </pic:blipFill>
                  <pic:spPr>
                    <a:xfrm>
                      <a:off x="0" y="0"/>
                      <a:ext cx="5561166" cy="8241792"/>
                    </a:xfrm>
                    <a:prstGeom prst="rect">
                      <a:avLst/>
                    </a:prstGeom>
                  </pic:spPr>
                </pic:pic>
              </a:graphicData>
            </a:graphic>
          </wp:inline>
        </w:drawing>
      </w:r>
      <w:r>
        <w:rPr>
          <w:rFonts w:ascii="Times New Roman" w:hAnsi="Times New Roman" w:cs="Times New Roman" w:eastAsia="Times New Roman" w:hint="default"/>
          <w:position w:val="-259"/>
          <w:sz w:val="20"/>
          <w:szCs w:val="20"/>
        </w:rPr>
      </w:r>
    </w:p>
    <w:p>
      <w:pPr>
        <w:spacing w:after="0" w:line="12979" w:lineRule="exact"/>
        <w:rPr>
          <w:rFonts w:ascii="Times New Roman" w:hAnsi="Times New Roman" w:cs="Times New Roman" w:eastAsia="Times New Roman" w:hint="default"/>
          <w:sz w:val="20"/>
          <w:szCs w:val="20"/>
        </w:rPr>
        <w:sectPr>
          <w:pgSz w:w="11910" w:h="16840"/>
          <w:pgMar w:header="855" w:footer="1195" w:top="1320" w:bottom="1380" w:left="1660" w:right="1120"/>
        </w:sectPr>
      </w:pPr>
    </w:p>
    <w:p>
      <w:pPr>
        <w:spacing w:line="240" w:lineRule="auto" w:before="9"/>
        <w:rPr>
          <w:rFonts w:ascii="Times New Roman" w:hAnsi="Times New Roman" w:cs="Times New Roman" w:eastAsia="Times New Roman" w:hint="default"/>
          <w:sz w:val="16"/>
          <w:szCs w:val="16"/>
        </w:rPr>
      </w:pPr>
    </w:p>
    <w:p>
      <w:pPr>
        <w:spacing w:line="2592" w:lineRule="exact"/>
        <w:ind w:left="137"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1"/>
          <w:sz w:val="20"/>
          <w:szCs w:val="20"/>
        </w:rPr>
        <w:drawing>
          <wp:inline distT="0" distB="0" distL="0" distR="0">
            <wp:extent cx="5611639" cy="1645920"/>
            <wp:effectExtent l="0" t="0" r="0" b="0"/>
            <wp:docPr id="5" name="image4.jpeg" descr=""/>
            <wp:cNvGraphicFramePr>
              <a:graphicFrameLocks noChangeAspect="1"/>
            </wp:cNvGraphicFramePr>
            <a:graphic>
              <a:graphicData uri="http://schemas.openxmlformats.org/drawingml/2006/picture">
                <pic:pic>
                  <pic:nvPicPr>
                    <pic:cNvPr id="6" name="image4.jpeg"/>
                    <pic:cNvPicPr/>
                  </pic:nvPicPr>
                  <pic:blipFill>
                    <a:blip r:embed="rId9" cstate="print"/>
                    <a:stretch>
                      <a:fillRect/>
                    </a:stretch>
                  </pic:blipFill>
                  <pic:spPr>
                    <a:xfrm>
                      <a:off x="0" y="0"/>
                      <a:ext cx="5611639" cy="1645920"/>
                    </a:xfrm>
                    <a:prstGeom prst="rect">
                      <a:avLst/>
                    </a:prstGeom>
                  </pic:spPr>
                </pic:pic>
              </a:graphicData>
            </a:graphic>
          </wp:inline>
        </w:drawing>
      </w:r>
      <w:r>
        <w:rPr>
          <w:rFonts w:ascii="Times New Roman" w:hAnsi="Times New Roman" w:cs="Times New Roman" w:eastAsia="Times New Roman" w:hint="default"/>
          <w:position w:val="-51"/>
          <w:sz w:val="20"/>
          <w:szCs w:val="20"/>
        </w:rPr>
      </w:r>
    </w:p>
    <w:p>
      <w:pPr>
        <w:spacing w:line="240" w:lineRule="auto" w:before="2"/>
        <w:rPr>
          <w:rFonts w:ascii="Times New Roman" w:hAnsi="Times New Roman" w:cs="Times New Roman" w:eastAsia="Times New Roman" w:hint="default"/>
          <w:sz w:val="28"/>
          <w:szCs w:val="28"/>
        </w:rPr>
      </w:pPr>
    </w:p>
    <w:p>
      <w:pPr>
        <w:pStyle w:val="Heading2"/>
        <w:spacing w:line="355" w:lineRule="exact"/>
        <w:ind w:left="498" w:right="147"/>
        <w:jc w:val="left"/>
        <w:rPr>
          <w:b w:val="0"/>
          <w:bCs w:val="0"/>
        </w:rPr>
      </w:pPr>
      <w:r>
        <w:rPr>
          <w:color w:val="585858"/>
        </w:rPr>
        <w:t>尊敬的公司股东：</w:t>
      </w:r>
      <w:r>
        <w:rPr>
          <w:b w:val="0"/>
          <w:bCs w:val="0"/>
        </w:rPr>
      </w:r>
    </w:p>
    <w:p>
      <w:pPr>
        <w:spacing w:line="240" w:lineRule="auto" w:before="1"/>
        <w:rPr>
          <w:rFonts w:ascii="微软雅黑" w:hAnsi="微软雅黑" w:cs="微软雅黑" w:eastAsia="微软雅黑" w:hint="default"/>
          <w:b/>
          <w:bCs/>
          <w:sz w:val="24"/>
          <w:szCs w:val="24"/>
        </w:rPr>
      </w:pPr>
    </w:p>
    <w:p>
      <w:pPr>
        <w:spacing w:line="237" w:lineRule="auto" w:before="0"/>
        <w:ind w:left="138" w:right="228" w:firstLine="359"/>
        <w:jc w:val="both"/>
        <w:rPr>
          <w:rFonts w:ascii="微软雅黑" w:hAnsi="微软雅黑" w:cs="微软雅黑" w:eastAsia="微软雅黑" w:hint="default"/>
          <w:sz w:val="24"/>
          <w:szCs w:val="24"/>
        </w:rPr>
      </w:pPr>
      <w:r>
        <w:rPr>
          <w:rFonts w:ascii="微软雅黑" w:hAnsi="微软雅黑" w:cs="微软雅黑" w:eastAsia="微软雅黑" w:hint="default"/>
          <w:color w:val="3E3E3E"/>
          <w:sz w:val="24"/>
          <w:szCs w:val="24"/>
        </w:rPr>
        <w:t>2017 </w:t>
      </w:r>
      <w:r>
        <w:rPr>
          <w:rFonts w:ascii="微软雅黑" w:hAnsi="微软雅黑" w:cs="微软雅黑" w:eastAsia="微软雅黑" w:hint="default"/>
          <w:color w:val="3E3E3E"/>
          <w:sz w:val="24"/>
          <w:szCs w:val="24"/>
        </w:rPr>
        <w:t>年是公司全面推进实施“用友</w:t>
      </w:r>
      <w:r>
        <w:rPr>
          <w:rFonts w:ascii="微软雅黑" w:hAnsi="微软雅黑" w:cs="微软雅黑" w:eastAsia="微软雅黑" w:hint="default"/>
          <w:color w:val="3E3E3E"/>
          <w:spacing w:val="-16"/>
          <w:sz w:val="24"/>
          <w:szCs w:val="24"/>
        </w:rPr>
        <w:t> </w:t>
      </w:r>
      <w:r>
        <w:rPr>
          <w:rFonts w:ascii="微软雅黑" w:hAnsi="微软雅黑" w:cs="微软雅黑" w:eastAsia="微软雅黑" w:hint="default"/>
          <w:color w:val="3E3E3E"/>
          <w:sz w:val="24"/>
          <w:szCs w:val="24"/>
        </w:rPr>
        <w:t>3.0”战略的一年。在客户、各位股东和各界</w:t>
      </w:r>
      <w:r>
        <w:rPr>
          <w:rFonts w:ascii="微软雅黑" w:hAnsi="微软雅黑" w:cs="微软雅黑" w:eastAsia="微软雅黑" w:hint="default"/>
          <w:color w:val="3E3E3E"/>
          <w:w w:val="99"/>
          <w:sz w:val="24"/>
          <w:szCs w:val="24"/>
        </w:rPr>
        <w:t> </w:t>
      </w:r>
      <w:r>
        <w:rPr>
          <w:rFonts w:ascii="微软雅黑" w:hAnsi="微软雅黑" w:cs="微软雅黑" w:eastAsia="微软雅黑" w:hint="default"/>
          <w:color w:val="3E3E3E"/>
          <w:spacing w:val="-2"/>
          <w:sz w:val="24"/>
          <w:szCs w:val="24"/>
        </w:rPr>
        <w:t>的支持下，通过公司全体员工的努力工作，我们围绕聚合用友云、软件效益化及互联</w:t>
      </w:r>
      <w:r>
        <w:rPr>
          <w:rFonts w:ascii="微软雅黑" w:hAnsi="微软雅黑" w:cs="微软雅黑" w:eastAsia="微软雅黑" w:hint="default"/>
          <w:color w:val="3E3E3E"/>
          <w:spacing w:val="-46"/>
          <w:sz w:val="24"/>
          <w:szCs w:val="24"/>
        </w:rPr>
        <w:t> </w:t>
      </w:r>
      <w:r>
        <w:rPr>
          <w:rFonts w:ascii="微软雅黑" w:hAnsi="微软雅黑" w:cs="微软雅黑" w:eastAsia="微软雅黑" w:hint="default"/>
          <w:color w:val="3E3E3E"/>
          <w:spacing w:val="-46"/>
          <w:sz w:val="24"/>
          <w:szCs w:val="24"/>
        </w:rPr>
      </w:r>
      <w:r>
        <w:rPr>
          <w:rFonts w:ascii="微软雅黑" w:hAnsi="微软雅黑" w:cs="微软雅黑" w:eastAsia="微软雅黑" w:hint="default"/>
          <w:color w:val="3E3E3E"/>
          <w:spacing w:val="-2"/>
          <w:sz w:val="24"/>
          <w:szCs w:val="24"/>
        </w:rPr>
        <w:t>网金融三大经营策略，积极推进各项工作。在前几年云服务业务探索创新和积极投资</w:t>
      </w:r>
      <w:r>
        <w:rPr>
          <w:rFonts w:ascii="微软雅黑" w:hAnsi="微软雅黑" w:cs="微软雅黑" w:eastAsia="微软雅黑" w:hint="default"/>
          <w:color w:val="3E3E3E"/>
          <w:spacing w:val="-46"/>
          <w:sz w:val="24"/>
          <w:szCs w:val="24"/>
        </w:rPr>
        <w:t> </w:t>
      </w:r>
      <w:r>
        <w:rPr>
          <w:rFonts w:ascii="微软雅黑" w:hAnsi="微软雅黑" w:cs="微软雅黑" w:eastAsia="微软雅黑" w:hint="default"/>
          <w:color w:val="3E3E3E"/>
          <w:spacing w:val="-46"/>
          <w:sz w:val="24"/>
          <w:szCs w:val="24"/>
        </w:rPr>
      </w:r>
      <w:r>
        <w:rPr>
          <w:rFonts w:ascii="微软雅黑" w:hAnsi="微软雅黑" w:cs="微软雅黑" w:eastAsia="微软雅黑" w:hint="default"/>
          <w:color w:val="3E3E3E"/>
          <w:spacing w:val="-2"/>
          <w:sz w:val="24"/>
          <w:szCs w:val="24"/>
        </w:rPr>
        <w:t>的基础上，“用友云”全新上线，云服务和金融服务发展加速，软件业务继续保持优</w:t>
      </w:r>
      <w:r>
        <w:rPr>
          <w:rFonts w:ascii="微软雅黑" w:hAnsi="微软雅黑" w:cs="微软雅黑" w:eastAsia="微软雅黑" w:hint="default"/>
          <w:color w:val="3E3E3E"/>
          <w:spacing w:val="-46"/>
          <w:sz w:val="24"/>
          <w:szCs w:val="24"/>
        </w:rPr>
        <w:t> </w:t>
      </w:r>
      <w:r>
        <w:rPr>
          <w:rFonts w:ascii="微软雅黑" w:hAnsi="微软雅黑" w:cs="微软雅黑" w:eastAsia="微软雅黑" w:hint="default"/>
          <w:color w:val="3E3E3E"/>
          <w:spacing w:val="-46"/>
          <w:sz w:val="24"/>
          <w:szCs w:val="24"/>
        </w:rPr>
      </w:r>
      <w:r>
        <w:rPr>
          <w:rFonts w:ascii="微软雅黑" w:hAnsi="微软雅黑" w:cs="微软雅黑" w:eastAsia="微软雅黑" w:hint="default"/>
          <w:color w:val="3E3E3E"/>
          <w:spacing w:val="-2"/>
          <w:sz w:val="24"/>
          <w:szCs w:val="24"/>
        </w:rPr>
        <w:t>势，实现了云服务收入和金融服务收入的高速增长、软件收入稳定增长，经营效益得</w:t>
      </w:r>
      <w:r>
        <w:rPr>
          <w:rFonts w:ascii="微软雅黑" w:hAnsi="微软雅黑" w:cs="微软雅黑" w:eastAsia="微软雅黑" w:hint="default"/>
          <w:color w:val="3E3E3E"/>
          <w:spacing w:val="-48"/>
          <w:sz w:val="24"/>
          <w:szCs w:val="24"/>
        </w:rPr>
        <w:t> </w:t>
      </w:r>
      <w:r>
        <w:rPr>
          <w:rFonts w:ascii="微软雅黑" w:hAnsi="微软雅黑" w:cs="微软雅黑" w:eastAsia="微软雅黑" w:hint="default"/>
          <w:color w:val="3E3E3E"/>
          <w:spacing w:val="-48"/>
          <w:sz w:val="24"/>
          <w:szCs w:val="24"/>
        </w:rPr>
      </w:r>
      <w:r>
        <w:rPr>
          <w:rFonts w:ascii="微软雅黑" w:hAnsi="微软雅黑" w:cs="微软雅黑" w:eastAsia="微软雅黑" w:hint="default"/>
          <w:color w:val="3E3E3E"/>
          <w:spacing w:val="-3"/>
          <w:sz w:val="24"/>
          <w:szCs w:val="24"/>
        </w:rPr>
        <w:t>到大幅提升。</w:t>
      </w:r>
      <w:r>
        <w:rPr>
          <w:rFonts w:ascii="微软雅黑" w:hAnsi="微软雅黑" w:cs="微软雅黑" w:eastAsia="微软雅黑" w:hint="default"/>
          <w:color w:val="3E3E3E"/>
          <w:spacing w:val="-3"/>
          <w:sz w:val="24"/>
          <w:szCs w:val="24"/>
        </w:rPr>
        <w:t>2017 </w:t>
      </w:r>
      <w:r>
        <w:rPr>
          <w:rFonts w:ascii="微软雅黑" w:hAnsi="微软雅黑" w:cs="微软雅黑" w:eastAsia="微软雅黑" w:hint="default"/>
          <w:color w:val="3E3E3E"/>
          <w:sz w:val="24"/>
          <w:szCs w:val="24"/>
        </w:rPr>
        <w:t>年，公司实现了归属于上市公司股东的净利润 </w:t>
      </w:r>
      <w:r>
        <w:rPr>
          <w:rFonts w:ascii="微软雅黑" w:hAnsi="微软雅黑" w:cs="微软雅黑" w:eastAsia="微软雅黑" w:hint="default"/>
          <w:color w:val="3E3E3E"/>
          <w:sz w:val="24"/>
          <w:szCs w:val="24"/>
        </w:rPr>
        <w:t>3.89</w:t>
      </w:r>
      <w:r>
        <w:rPr>
          <w:rFonts w:ascii="微软雅黑" w:hAnsi="微软雅黑" w:cs="微软雅黑" w:eastAsia="微软雅黑" w:hint="default"/>
          <w:color w:val="3E3E3E"/>
          <w:spacing w:val="-49"/>
          <w:sz w:val="24"/>
          <w:szCs w:val="24"/>
        </w:rPr>
        <w:t> </w:t>
      </w:r>
      <w:r>
        <w:rPr>
          <w:rFonts w:ascii="微软雅黑" w:hAnsi="微软雅黑" w:cs="微软雅黑" w:eastAsia="微软雅黑" w:hint="default"/>
          <w:color w:val="3E3E3E"/>
          <w:spacing w:val="-4"/>
          <w:sz w:val="24"/>
          <w:szCs w:val="24"/>
        </w:rPr>
        <w:t>亿元，同比增</w:t>
      </w:r>
      <w:r>
        <w:rPr>
          <w:rFonts w:ascii="微软雅黑" w:hAnsi="微软雅黑" w:cs="微软雅黑" w:eastAsia="微软雅黑" w:hint="default"/>
          <w:color w:val="3E3E3E"/>
          <w:w w:val="99"/>
          <w:sz w:val="24"/>
          <w:szCs w:val="24"/>
        </w:rPr>
        <w:t> </w:t>
      </w:r>
      <w:r>
        <w:rPr>
          <w:rFonts w:ascii="微软雅黑" w:hAnsi="微软雅黑" w:cs="微软雅黑" w:eastAsia="微软雅黑" w:hint="default"/>
          <w:color w:val="3E3E3E"/>
          <w:sz w:val="24"/>
          <w:szCs w:val="24"/>
        </w:rPr>
        <w:t>长 </w:t>
      </w:r>
      <w:r>
        <w:rPr>
          <w:rFonts w:ascii="微软雅黑" w:hAnsi="微软雅黑" w:cs="微软雅黑" w:eastAsia="微软雅黑" w:hint="default"/>
          <w:color w:val="3E3E3E"/>
          <w:sz w:val="24"/>
          <w:szCs w:val="24"/>
        </w:rPr>
        <w:t>97.1%</w:t>
      </w:r>
      <w:r>
        <w:rPr>
          <w:rFonts w:ascii="微软雅黑" w:hAnsi="微软雅黑" w:cs="微软雅黑" w:eastAsia="微软雅黑" w:hint="default"/>
          <w:color w:val="3E3E3E"/>
          <w:sz w:val="24"/>
          <w:szCs w:val="24"/>
        </w:rPr>
        <w:t>，云服务收入 </w:t>
      </w:r>
      <w:r>
        <w:rPr>
          <w:rFonts w:ascii="微软雅黑" w:hAnsi="微软雅黑" w:cs="微软雅黑" w:eastAsia="微软雅黑" w:hint="default"/>
          <w:color w:val="3E3E3E"/>
          <w:sz w:val="24"/>
          <w:szCs w:val="24"/>
        </w:rPr>
        <w:t>4.09 </w:t>
      </w:r>
      <w:r>
        <w:rPr>
          <w:rFonts w:ascii="微软雅黑" w:hAnsi="微软雅黑" w:cs="微软雅黑" w:eastAsia="微软雅黑" w:hint="default"/>
          <w:color w:val="3E3E3E"/>
          <w:sz w:val="24"/>
          <w:szCs w:val="24"/>
        </w:rPr>
        <w:t>亿元（丌含金融类云服务），同比增长</w:t>
      </w:r>
      <w:r>
        <w:rPr>
          <w:rFonts w:ascii="微软雅黑" w:hAnsi="微软雅黑" w:cs="微软雅黑" w:eastAsia="微软雅黑" w:hint="default"/>
          <w:color w:val="3E3E3E"/>
          <w:spacing w:val="59"/>
          <w:sz w:val="24"/>
          <w:szCs w:val="24"/>
        </w:rPr>
        <w:t> </w:t>
      </w:r>
      <w:r>
        <w:rPr>
          <w:rFonts w:ascii="微软雅黑" w:hAnsi="微软雅黑" w:cs="微软雅黑" w:eastAsia="微软雅黑" w:hint="default"/>
          <w:color w:val="3E3E3E"/>
          <w:sz w:val="24"/>
          <w:szCs w:val="24"/>
        </w:rPr>
        <w:t>249.9%</w:t>
      </w:r>
      <w:r>
        <w:rPr>
          <w:rFonts w:ascii="微软雅黑" w:hAnsi="微软雅黑" w:cs="微软雅黑" w:eastAsia="微软雅黑" w:hint="default"/>
          <w:color w:val="3E3E3E"/>
          <w:sz w:val="24"/>
          <w:szCs w:val="24"/>
        </w:rPr>
        <w:t>，金融</w:t>
      </w:r>
      <w:r>
        <w:rPr>
          <w:rFonts w:ascii="微软雅黑" w:hAnsi="微软雅黑" w:cs="微软雅黑" w:eastAsia="微软雅黑" w:hint="default"/>
          <w:color w:val="3E3E3E"/>
          <w:w w:val="99"/>
          <w:sz w:val="24"/>
          <w:szCs w:val="24"/>
        </w:rPr>
        <w:t> </w:t>
      </w:r>
      <w:r>
        <w:rPr>
          <w:rFonts w:ascii="微软雅黑" w:hAnsi="微软雅黑" w:cs="微软雅黑" w:eastAsia="微软雅黑" w:hint="default"/>
          <w:color w:val="3E3E3E"/>
          <w:sz w:val="24"/>
          <w:szCs w:val="24"/>
        </w:rPr>
        <w:t>服务收入 </w:t>
      </w:r>
      <w:r>
        <w:rPr>
          <w:rFonts w:ascii="微软雅黑" w:hAnsi="微软雅黑" w:cs="微软雅黑" w:eastAsia="微软雅黑" w:hint="default"/>
          <w:color w:val="3E3E3E"/>
          <w:sz w:val="24"/>
          <w:szCs w:val="24"/>
        </w:rPr>
        <w:t>8.03 </w:t>
      </w:r>
      <w:r>
        <w:rPr>
          <w:rFonts w:ascii="微软雅黑" w:hAnsi="微软雅黑" w:cs="微软雅黑" w:eastAsia="微软雅黑" w:hint="default"/>
          <w:color w:val="3E3E3E"/>
          <w:sz w:val="24"/>
          <w:szCs w:val="24"/>
        </w:rPr>
        <w:t>亿元，同比增长 </w:t>
      </w:r>
      <w:r>
        <w:rPr>
          <w:rFonts w:ascii="微软雅黑" w:hAnsi="微软雅黑" w:cs="微软雅黑" w:eastAsia="微软雅黑" w:hint="default"/>
          <w:color w:val="3E3E3E"/>
          <w:sz w:val="24"/>
          <w:szCs w:val="24"/>
        </w:rPr>
        <w:t>229.3%</w:t>
      </w:r>
      <w:r>
        <w:rPr>
          <w:rFonts w:ascii="微软雅黑" w:hAnsi="微软雅黑" w:cs="微软雅黑" w:eastAsia="微软雅黑" w:hint="default"/>
          <w:color w:val="3E3E3E"/>
          <w:sz w:val="24"/>
          <w:szCs w:val="24"/>
        </w:rPr>
        <w:t>。用友云服务客户达到 </w:t>
      </w:r>
      <w:r>
        <w:rPr>
          <w:rFonts w:ascii="微软雅黑" w:hAnsi="微软雅黑" w:cs="微软雅黑" w:eastAsia="微软雅黑" w:hint="default"/>
          <w:color w:val="3E3E3E"/>
          <w:sz w:val="24"/>
          <w:szCs w:val="24"/>
        </w:rPr>
        <w:t>393</w:t>
      </w:r>
      <w:r>
        <w:rPr>
          <w:rFonts w:ascii="微软雅黑" w:hAnsi="微软雅黑" w:cs="微软雅黑" w:eastAsia="微软雅黑" w:hint="default"/>
          <w:color w:val="3E3E3E"/>
          <w:spacing w:val="16"/>
          <w:sz w:val="24"/>
          <w:szCs w:val="24"/>
        </w:rPr>
        <w:t> </w:t>
      </w:r>
      <w:r>
        <w:rPr>
          <w:rFonts w:ascii="微软雅黑" w:hAnsi="微软雅黑" w:cs="微软雅黑" w:eastAsia="微软雅黑" w:hint="default"/>
          <w:color w:val="3E3E3E"/>
          <w:sz w:val="24"/>
          <w:szCs w:val="24"/>
        </w:rPr>
        <w:t>万家，成为中国</w:t>
      </w:r>
      <w:r>
        <w:rPr>
          <w:rFonts w:ascii="微软雅黑" w:hAnsi="微软雅黑" w:cs="微软雅黑" w:eastAsia="微软雅黑" w:hint="default"/>
          <w:color w:val="3E3E3E"/>
          <w:w w:val="99"/>
          <w:sz w:val="24"/>
          <w:szCs w:val="24"/>
        </w:rPr>
        <w:t> </w:t>
      </w:r>
      <w:r>
        <w:rPr>
          <w:rFonts w:ascii="微软雅黑" w:hAnsi="微软雅黑" w:cs="微软雅黑" w:eastAsia="微软雅黑" w:hint="default"/>
          <w:color w:val="3E3E3E"/>
          <w:sz w:val="24"/>
          <w:szCs w:val="24"/>
        </w:rPr>
        <w:t>领先的企业云服务平台。</w:t>
      </w:r>
      <w:r>
        <w:rPr>
          <w:rFonts w:ascii="微软雅黑" w:hAnsi="微软雅黑" w:cs="微软雅黑" w:eastAsia="微软雅黑" w:hint="default"/>
          <w:sz w:val="24"/>
          <w:szCs w:val="24"/>
        </w:rPr>
      </w:r>
    </w:p>
    <w:p>
      <w:pPr>
        <w:spacing w:line="240" w:lineRule="auto" w:before="12"/>
        <w:rPr>
          <w:rFonts w:ascii="微软雅黑" w:hAnsi="微软雅黑" w:cs="微软雅黑" w:eastAsia="微软雅黑" w:hint="default"/>
          <w:sz w:val="23"/>
          <w:szCs w:val="23"/>
        </w:rPr>
      </w:pPr>
    </w:p>
    <w:p>
      <w:pPr>
        <w:spacing w:before="0"/>
        <w:ind w:left="138" w:right="229" w:firstLine="359"/>
        <w:jc w:val="both"/>
        <w:rPr>
          <w:rFonts w:ascii="微软雅黑" w:hAnsi="微软雅黑" w:cs="微软雅黑" w:eastAsia="微软雅黑" w:hint="default"/>
          <w:sz w:val="24"/>
          <w:szCs w:val="24"/>
        </w:rPr>
      </w:pPr>
      <w:r>
        <w:rPr>
          <w:rFonts w:ascii="微软雅黑" w:hAnsi="微软雅黑" w:cs="微软雅黑" w:eastAsia="微软雅黑" w:hint="default"/>
          <w:color w:val="3E3E3E"/>
          <w:sz w:val="24"/>
          <w:szCs w:val="24"/>
        </w:rPr>
        <w:t>“数字化“、“智能化”是继“信息化”之后企业、公共组织、商业和社会进步</w:t>
      </w:r>
      <w:r>
        <w:rPr>
          <w:rFonts w:ascii="微软雅黑" w:hAnsi="微软雅黑" w:cs="微软雅黑" w:eastAsia="微软雅黑" w:hint="default"/>
          <w:color w:val="3E3E3E"/>
          <w:spacing w:val="2"/>
          <w:sz w:val="24"/>
          <w:szCs w:val="24"/>
        </w:rPr>
        <w:t> </w:t>
      </w:r>
      <w:r>
        <w:rPr>
          <w:rFonts w:ascii="微软雅黑" w:hAnsi="微软雅黑" w:cs="微软雅黑" w:eastAsia="微软雅黑" w:hint="default"/>
          <w:color w:val="3E3E3E"/>
          <w:spacing w:val="-2"/>
          <w:sz w:val="24"/>
          <w:szCs w:val="24"/>
        </w:rPr>
        <w:t>发展又一个巨大的历史进程。中国和全球企业不公共组织数字化转型步伐加快，智能</w:t>
      </w:r>
      <w:r>
        <w:rPr>
          <w:rFonts w:ascii="微软雅黑" w:hAnsi="微软雅黑" w:cs="微软雅黑" w:eastAsia="微软雅黑" w:hint="default"/>
          <w:spacing w:val="-2"/>
          <w:sz w:val="24"/>
          <w:szCs w:val="24"/>
        </w:rPr>
      </w:r>
    </w:p>
    <w:p>
      <w:pPr>
        <w:spacing w:line="237" w:lineRule="auto" w:before="0"/>
        <w:ind w:left="138" w:right="147" w:firstLine="0"/>
        <w:jc w:val="left"/>
        <w:rPr>
          <w:rFonts w:ascii="微软雅黑" w:hAnsi="微软雅黑" w:cs="微软雅黑" w:eastAsia="微软雅黑" w:hint="default"/>
          <w:sz w:val="24"/>
          <w:szCs w:val="24"/>
        </w:rPr>
      </w:pPr>
      <w:r>
        <w:rPr>
          <w:rFonts w:ascii="微软雅黑" w:hAnsi="微软雅黑" w:cs="微软雅黑" w:eastAsia="微软雅黑" w:hint="default"/>
          <w:color w:val="3E3E3E"/>
          <w:sz w:val="24"/>
          <w:szCs w:val="24"/>
        </w:rPr>
        <w:t>化应用初现端倪，政府积极推劢工业互联网、企业上云、智慧社会，市场需求巨大，</w:t>
      </w:r>
      <w:r>
        <w:rPr>
          <w:rFonts w:ascii="微软雅黑" w:hAnsi="微软雅黑" w:cs="微软雅黑" w:eastAsia="微软雅黑" w:hint="default"/>
          <w:color w:val="3E3E3E"/>
          <w:spacing w:val="-8"/>
          <w:sz w:val="24"/>
          <w:szCs w:val="24"/>
        </w:rPr>
        <w:t> </w:t>
      </w:r>
      <w:r>
        <w:rPr>
          <w:rFonts w:ascii="微软雅黑" w:hAnsi="微软雅黑" w:cs="微软雅黑" w:eastAsia="微软雅黑" w:hint="default"/>
          <w:color w:val="3E3E3E"/>
          <w:spacing w:val="-8"/>
          <w:sz w:val="24"/>
          <w:szCs w:val="24"/>
        </w:rPr>
      </w:r>
      <w:r>
        <w:rPr>
          <w:rFonts w:ascii="微软雅黑" w:hAnsi="微软雅黑" w:cs="微软雅黑" w:eastAsia="微软雅黑" w:hint="default"/>
          <w:color w:val="3E3E3E"/>
          <w:sz w:val="24"/>
          <w:szCs w:val="24"/>
        </w:rPr>
        <w:t>产业机遇难得，产业竞争也会加剧。</w:t>
      </w:r>
      <w:r>
        <w:rPr>
          <w:rFonts w:ascii="微软雅黑" w:hAnsi="微软雅黑" w:cs="微软雅黑" w:eastAsia="微软雅黑" w:hint="default"/>
          <w:color w:val="3E3E3E"/>
          <w:sz w:val="24"/>
          <w:szCs w:val="24"/>
        </w:rPr>
        <w:t>2017</w:t>
      </w:r>
      <w:r>
        <w:rPr>
          <w:rFonts w:ascii="微软雅黑" w:hAnsi="微软雅黑" w:cs="微软雅黑" w:eastAsia="微软雅黑" w:hint="default"/>
          <w:color w:val="3E3E3E"/>
          <w:spacing w:val="37"/>
          <w:sz w:val="24"/>
          <w:szCs w:val="24"/>
        </w:rPr>
        <w:t> </w:t>
      </w:r>
      <w:r>
        <w:rPr>
          <w:rFonts w:ascii="微软雅黑" w:hAnsi="微软雅黑" w:cs="微软雅黑" w:eastAsia="微软雅黑" w:hint="default"/>
          <w:color w:val="3E3E3E"/>
          <w:sz w:val="24"/>
          <w:szCs w:val="24"/>
        </w:rPr>
        <w:t>年用友云以综合型、融合化、生态式的独 特优势，已经初步树立了在企业服务领域的市场领先地位。</w:t>
      </w:r>
      <w:r>
        <w:rPr>
          <w:rFonts w:ascii="微软雅黑" w:hAnsi="微软雅黑" w:cs="微软雅黑" w:eastAsia="微软雅黑" w:hint="default"/>
          <w:color w:val="3E3E3E"/>
          <w:sz w:val="24"/>
          <w:szCs w:val="24"/>
        </w:rPr>
        <w:t>2018</w:t>
      </w:r>
      <w:r>
        <w:rPr>
          <w:rFonts w:ascii="微软雅黑" w:hAnsi="微软雅黑" w:cs="微软雅黑" w:eastAsia="微软雅黑" w:hint="default"/>
          <w:color w:val="3E3E3E"/>
          <w:spacing w:val="37"/>
          <w:sz w:val="24"/>
          <w:szCs w:val="24"/>
        </w:rPr>
        <w:t> </w:t>
      </w:r>
      <w:r>
        <w:rPr>
          <w:rFonts w:ascii="微软雅黑" w:hAnsi="微软雅黑" w:cs="微软雅黑" w:eastAsia="微软雅黑" w:hint="default"/>
          <w:color w:val="3E3E3E"/>
          <w:sz w:val="24"/>
          <w:szCs w:val="24"/>
        </w:rPr>
        <w:t>年我们将努力抓住 产业发展窗口期，继续加力加速云服务以及金融服务业务发展，按照“数字企业智能 服务”的价值导向，把用友云打造成为全球领先、世界级的企业和公共组织服务平台 不生态，积极推进中国及全球企业不公共组织的数字化转型。</w:t>
      </w:r>
      <w:r>
        <w:rPr>
          <w:rFonts w:ascii="微软雅黑" w:hAnsi="微软雅黑" w:cs="微软雅黑" w:eastAsia="微软雅黑" w:hint="default"/>
          <w:sz w:val="24"/>
          <w:szCs w:val="24"/>
        </w:rPr>
      </w:r>
    </w:p>
    <w:p>
      <w:pPr>
        <w:spacing w:line="240" w:lineRule="auto" w:before="16"/>
        <w:rPr>
          <w:rFonts w:ascii="微软雅黑" w:hAnsi="微软雅黑" w:cs="微软雅黑" w:eastAsia="微软雅黑" w:hint="default"/>
          <w:sz w:val="23"/>
          <w:szCs w:val="23"/>
        </w:rPr>
      </w:pPr>
    </w:p>
    <w:p>
      <w:pPr>
        <w:spacing w:line="237" w:lineRule="auto" w:before="0"/>
        <w:ind w:left="138" w:right="232" w:firstLine="359"/>
        <w:jc w:val="both"/>
        <w:rPr>
          <w:rFonts w:ascii="微软雅黑" w:hAnsi="微软雅黑" w:cs="微软雅黑" w:eastAsia="微软雅黑" w:hint="default"/>
          <w:sz w:val="24"/>
          <w:szCs w:val="24"/>
        </w:rPr>
      </w:pPr>
      <w:r>
        <w:rPr>
          <w:rFonts w:ascii="微软雅黑" w:hAnsi="微软雅黑" w:cs="微软雅黑" w:eastAsia="微软雅黑" w:hint="default"/>
          <w:color w:val="3E3E3E"/>
          <w:sz w:val="24"/>
          <w:szCs w:val="24"/>
        </w:rPr>
        <w:t>2018 </w:t>
      </w:r>
      <w:r>
        <w:rPr>
          <w:rFonts w:ascii="微软雅黑" w:hAnsi="微软雅黑" w:cs="微软雅黑" w:eastAsia="微软雅黑" w:hint="default"/>
          <w:color w:val="3E3E3E"/>
          <w:sz w:val="24"/>
          <w:szCs w:val="24"/>
        </w:rPr>
        <w:t>年，用友创立 </w:t>
      </w:r>
      <w:r>
        <w:rPr>
          <w:rFonts w:ascii="微软雅黑" w:hAnsi="微软雅黑" w:cs="微软雅黑" w:eastAsia="微软雅黑" w:hint="default"/>
          <w:color w:val="3E3E3E"/>
          <w:sz w:val="24"/>
          <w:szCs w:val="24"/>
        </w:rPr>
        <w:t>30</w:t>
      </w:r>
      <w:r>
        <w:rPr>
          <w:rFonts w:ascii="微软雅黑" w:hAnsi="微软雅黑" w:cs="微软雅黑" w:eastAsia="微软雅黑" w:hint="default"/>
          <w:color w:val="3E3E3E"/>
          <w:spacing w:val="-26"/>
          <w:sz w:val="24"/>
          <w:szCs w:val="24"/>
        </w:rPr>
        <w:t> </w:t>
      </w:r>
      <w:r>
        <w:rPr>
          <w:rFonts w:ascii="微软雅黑" w:hAnsi="微软雅黑" w:cs="微软雅黑" w:eastAsia="微软雅黑" w:hint="default"/>
          <w:color w:val="3E3E3E"/>
          <w:sz w:val="24"/>
          <w:szCs w:val="24"/>
        </w:rPr>
        <w:t>周年。我们将在继续遵循“用创想和技术推劢商业和社会 </w:t>
      </w:r>
      <w:r>
        <w:rPr>
          <w:rFonts w:ascii="微软雅黑" w:hAnsi="微软雅黑" w:cs="微软雅黑" w:eastAsia="微软雅黑" w:hint="default"/>
          <w:color w:val="3E3E3E"/>
          <w:spacing w:val="-2"/>
          <w:sz w:val="24"/>
          <w:szCs w:val="24"/>
        </w:rPr>
        <w:t>进步”公司使命，践行“用户之友”核心价值观的基础上再出发，加速产品创新，升</w:t>
      </w:r>
      <w:r>
        <w:rPr>
          <w:rFonts w:ascii="微软雅黑" w:hAnsi="微软雅黑" w:cs="微软雅黑" w:eastAsia="微软雅黑" w:hint="default"/>
          <w:color w:val="3E3E3E"/>
          <w:spacing w:val="-47"/>
          <w:sz w:val="24"/>
          <w:szCs w:val="24"/>
        </w:rPr>
        <w:t> </w:t>
      </w:r>
      <w:r>
        <w:rPr>
          <w:rFonts w:ascii="微软雅黑" w:hAnsi="微软雅黑" w:cs="微软雅黑" w:eastAsia="微软雅黑" w:hint="default"/>
          <w:color w:val="3E3E3E"/>
          <w:spacing w:val="-47"/>
          <w:sz w:val="24"/>
          <w:szCs w:val="24"/>
        </w:rPr>
      </w:r>
      <w:r>
        <w:rPr>
          <w:rFonts w:ascii="微软雅黑" w:hAnsi="微软雅黑" w:cs="微软雅黑" w:eastAsia="微软雅黑" w:hint="default"/>
          <w:color w:val="3E3E3E"/>
          <w:spacing w:val="-8"/>
          <w:sz w:val="24"/>
          <w:szCs w:val="24"/>
        </w:rPr>
        <w:t>级客户运营，以过硬的产品和优质的服务，赢得更多客户信赖；我们还要在内部文化、</w:t>
      </w:r>
      <w:r>
        <w:rPr>
          <w:rFonts w:ascii="微软雅黑" w:hAnsi="微软雅黑" w:cs="微软雅黑" w:eastAsia="微软雅黑" w:hint="default"/>
          <w:color w:val="3E3E3E"/>
          <w:spacing w:val="-55"/>
          <w:sz w:val="24"/>
          <w:szCs w:val="24"/>
        </w:rPr>
        <w:t> </w:t>
      </w:r>
      <w:r>
        <w:rPr>
          <w:rFonts w:ascii="微软雅黑" w:hAnsi="微软雅黑" w:cs="微软雅黑" w:eastAsia="微软雅黑" w:hint="default"/>
          <w:color w:val="3E3E3E"/>
          <w:spacing w:val="-55"/>
          <w:sz w:val="24"/>
          <w:szCs w:val="24"/>
        </w:rPr>
      </w:r>
      <w:r>
        <w:rPr>
          <w:rFonts w:ascii="微软雅黑" w:hAnsi="微软雅黑" w:cs="微软雅黑" w:eastAsia="微软雅黑" w:hint="default"/>
          <w:color w:val="3E3E3E"/>
          <w:spacing w:val="-2"/>
          <w:sz w:val="24"/>
          <w:szCs w:val="24"/>
        </w:rPr>
        <w:t>组织不机制方面进一步革新和优化，促进业务发展、管理升级和业绩增长；我们将在</w:t>
      </w:r>
      <w:r>
        <w:rPr>
          <w:rFonts w:ascii="微软雅黑" w:hAnsi="微软雅黑" w:cs="微软雅黑" w:eastAsia="微软雅黑" w:hint="default"/>
          <w:spacing w:val="-2"/>
          <w:sz w:val="24"/>
          <w:szCs w:val="24"/>
        </w:rPr>
      </w:r>
    </w:p>
    <w:p>
      <w:pPr>
        <w:spacing w:after="0" w:line="237" w:lineRule="auto"/>
        <w:jc w:val="both"/>
        <w:rPr>
          <w:rFonts w:ascii="微软雅黑" w:hAnsi="微软雅黑" w:cs="微软雅黑" w:eastAsia="微软雅黑" w:hint="default"/>
          <w:sz w:val="24"/>
          <w:szCs w:val="24"/>
        </w:rPr>
        <w:sectPr>
          <w:pgSz w:w="11910" w:h="16840"/>
          <w:pgMar w:header="855" w:footer="1195" w:top="1320" w:bottom="1380" w:left="1660" w:right="1040"/>
        </w:sectPr>
      </w:pPr>
    </w:p>
    <w:p>
      <w:pPr>
        <w:spacing w:line="240" w:lineRule="auto" w:before="10"/>
        <w:rPr>
          <w:rFonts w:ascii="微软雅黑" w:hAnsi="微软雅黑" w:cs="微软雅黑" w:eastAsia="微软雅黑" w:hint="default"/>
          <w:sz w:val="11"/>
          <w:szCs w:val="11"/>
        </w:rPr>
      </w:pPr>
    </w:p>
    <w:p>
      <w:pPr>
        <w:spacing w:line="354" w:lineRule="exact" w:before="0"/>
        <w:ind w:left="138" w:right="0" w:firstLine="0"/>
        <w:jc w:val="left"/>
        <w:rPr>
          <w:rFonts w:ascii="微软雅黑" w:hAnsi="微软雅黑" w:cs="微软雅黑" w:eastAsia="微软雅黑" w:hint="default"/>
          <w:sz w:val="24"/>
          <w:szCs w:val="24"/>
        </w:rPr>
      </w:pPr>
      <w:r>
        <w:rPr>
          <w:rFonts w:ascii="微软雅黑" w:hAnsi="微软雅黑" w:cs="微软雅黑" w:eastAsia="微软雅黑" w:hint="default"/>
          <w:color w:val="3E3E3E"/>
          <w:sz w:val="24"/>
          <w:szCs w:val="24"/>
        </w:rPr>
        <w:t>与注企业不公共组织应用不服务 </w:t>
      </w:r>
      <w:r>
        <w:rPr>
          <w:rFonts w:ascii="微软雅黑" w:hAnsi="微软雅黑" w:cs="微软雅黑" w:eastAsia="微软雅黑" w:hint="default"/>
          <w:color w:val="3E3E3E"/>
          <w:sz w:val="24"/>
          <w:szCs w:val="24"/>
        </w:rPr>
        <w:t>30</w:t>
      </w:r>
      <w:r>
        <w:rPr>
          <w:rFonts w:ascii="微软雅黑" w:hAnsi="微软雅黑" w:cs="微软雅黑" w:eastAsia="微软雅黑" w:hint="default"/>
          <w:color w:val="3E3E3E"/>
          <w:spacing w:val="7"/>
          <w:sz w:val="24"/>
          <w:szCs w:val="24"/>
        </w:rPr>
        <w:t> </w:t>
      </w:r>
      <w:r>
        <w:rPr>
          <w:rFonts w:ascii="微软雅黑" w:hAnsi="微软雅黑" w:cs="微软雅黑" w:eastAsia="微软雅黑" w:hint="default"/>
          <w:color w:val="3E3E3E"/>
          <w:sz w:val="24"/>
          <w:szCs w:val="24"/>
        </w:rPr>
        <w:t>年的新起点上，厚积薄发，加速向“全球领先，</w:t>
      </w:r>
      <w:r>
        <w:rPr>
          <w:rFonts w:ascii="微软雅黑" w:hAnsi="微软雅黑" w:cs="微软雅黑" w:eastAsia="微软雅黑" w:hint="default"/>
          <w:sz w:val="24"/>
          <w:szCs w:val="24"/>
        </w:rPr>
      </w:r>
    </w:p>
    <w:p>
      <w:pPr>
        <w:spacing w:line="414" w:lineRule="exact" w:before="0"/>
        <w:ind w:left="138" w:right="0" w:firstLine="0"/>
        <w:jc w:val="left"/>
        <w:rPr>
          <w:rFonts w:ascii="微软雅黑" w:hAnsi="微软雅黑" w:cs="微软雅黑" w:eastAsia="微软雅黑" w:hint="default"/>
          <w:sz w:val="24"/>
          <w:szCs w:val="24"/>
        </w:rPr>
      </w:pPr>
      <w:r>
        <w:rPr>
          <w:rFonts w:ascii="微软雅黑" w:hAnsi="微软雅黑" w:cs="微软雅黑" w:eastAsia="微软雅黑" w:hint="default"/>
          <w:color w:val="3E3E3E"/>
          <w:sz w:val="24"/>
          <w:szCs w:val="24"/>
        </w:rPr>
        <w:t>世界级”的目标奋进！</w:t>
      </w:r>
      <w:r>
        <w:rPr>
          <w:rFonts w:ascii="微软雅黑" w:hAnsi="微软雅黑" w:cs="微软雅黑" w:eastAsia="微软雅黑" w:hint="default"/>
          <w:sz w:val="24"/>
          <w:szCs w:val="24"/>
        </w:rPr>
      </w:r>
    </w:p>
    <w:p>
      <w:pPr>
        <w:spacing w:line="240" w:lineRule="auto" w:before="15"/>
        <w:rPr>
          <w:rFonts w:ascii="微软雅黑" w:hAnsi="微软雅黑" w:cs="微软雅黑" w:eastAsia="微软雅黑" w:hint="default"/>
          <w:sz w:val="23"/>
          <w:szCs w:val="23"/>
        </w:rPr>
      </w:pPr>
    </w:p>
    <w:p>
      <w:pPr>
        <w:spacing w:line="237" w:lineRule="auto" w:before="0"/>
        <w:ind w:left="138" w:right="149" w:firstLine="359"/>
        <w:jc w:val="both"/>
        <w:rPr>
          <w:rFonts w:ascii="微软雅黑" w:hAnsi="微软雅黑" w:cs="微软雅黑" w:eastAsia="微软雅黑" w:hint="default"/>
          <w:sz w:val="24"/>
          <w:szCs w:val="24"/>
        </w:rPr>
      </w:pPr>
      <w:r>
        <w:rPr>
          <w:rFonts w:ascii="微软雅黑" w:hAnsi="微软雅黑" w:cs="微软雅黑" w:eastAsia="微软雅黑" w:hint="default"/>
          <w:color w:val="3E3E3E"/>
          <w:sz w:val="24"/>
          <w:szCs w:val="24"/>
        </w:rPr>
        <w:t>最后，诚挚感谢各位股东对公司的信仸不支持！感谢客户和商业伙伴的信赖和合</w:t>
      </w:r>
      <w:r>
        <w:rPr>
          <w:rFonts w:ascii="微软雅黑" w:hAnsi="微软雅黑" w:cs="微软雅黑" w:eastAsia="微软雅黑" w:hint="default"/>
          <w:color w:val="3E3E3E"/>
          <w:spacing w:val="2"/>
          <w:sz w:val="24"/>
          <w:szCs w:val="24"/>
        </w:rPr>
        <w:t> </w:t>
      </w:r>
      <w:r>
        <w:rPr>
          <w:rFonts w:ascii="微软雅黑" w:hAnsi="微软雅黑" w:cs="微软雅黑" w:eastAsia="微软雅黑" w:hint="default"/>
          <w:color w:val="3E3E3E"/>
          <w:spacing w:val="-8"/>
          <w:sz w:val="24"/>
          <w:szCs w:val="24"/>
        </w:rPr>
        <w:t>作！感谢公司管理层和全体员工的努力付出！新的一年，我们将一鼓作气，迎风破浪，</w:t>
      </w:r>
      <w:r>
        <w:rPr>
          <w:rFonts w:ascii="微软雅黑" w:hAnsi="微软雅黑" w:cs="微软雅黑" w:eastAsia="微软雅黑" w:hint="default"/>
          <w:color w:val="3E3E3E"/>
          <w:spacing w:val="-55"/>
          <w:sz w:val="24"/>
          <w:szCs w:val="24"/>
        </w:rPr>
        <w:t> </w:t>
      </w:r>
      <w:r>
        <w:rPr>
          <w:rFonts w:ascii="微软雅黑" w:hAnsi="微软雅黑" w:cs="微软雅黑" w:eastAsia="微软雅黑" w:hint="default"/>
          <w:color w:val="3E3E3E"/>
          <w:spacing w:val="-55"/>
          <w:sz w:val="24"/>
          <w:szCs w:val="24"/>
        </w:rPr>
      </w:r>
      <w:r>
        <w:rPr>
          <w:rFonts w:ascii="微软雅黑" w:hAnsi="微软雅黑" w:cs="微软雅黑" w:eastAsia="微软雅黑" w:hint="default"/>
          <w:color w:val="3E3E3E"/>
          <w:sz w:val="24"/>
          <w:szCs w:val="24"/>
        </w:rPr>
        <w:t>再创佳绩！</w:t>
      </w:r>
      <w:r>
        <w:rPr>
          <w:rFonts w:ascii="微软雅黑" w:hAnsi="微软雅黑" w:cs="微软雅黑" w:eastAsia="微软雅黑" w:hint="default"/>
          <w:sz w:val="24"/>
          <w:szCs w:val="24"/>
        </w:rPr>
      </w:r>
    </w:p>
    <w:p>
      <w:pPr>
        <w:spacing w:line="240" w:lineRule="auto" w:before="0"/>
        <w:rPr>
          <w:rFonts w:ascii="微软雅黑" w:hAnsi="微软雅黑" w:cs="微软雅黑" w:eastAsia="微软雅黑" w:hint="default"/>
          <w:sz w:val="24"/>
          <w:szCs w:val="24"/>
        </w:rPr>
      </w:pPr>
    </w:p>
    <w:p>
      <w:pPr>
        <w:spacing w:line="240" w:lineRule="auto" w:before="9"/>
        <w:rPr>
          <w:rFonts w:ascii="微软雅黑" w:hAnsi="微软雅黑" w:cs="微软雅黑" w:eastAsia="微软雅黑" w:hint="default"/>
          <w:sz w:val="23"/>
          <w:szCs w:val="23"/>
        </w:rPr>
      </w:pPr>
    </w:p>
    <w:p>
      <w:pPr>
        <w:pStyle w:val="Heading2"/>
        <w:spacing w:line="240" w:lineRule="auto"/>
        <w:ind w:left="5179" w:right="0"/>
        <w:jc w:val="left"/>
        <w:rPr>
          <w:b w:val="0"/>
          <w:bCs w:val="0"/>
        </w:rPr>
      </w:pPr>
      <w:r>
        <w:rPr>
          <w:color w:val="585858"/>
        </w:rPr>
        <w:t>用友网络科技股份有限公司董事长</w:t>
      </w:r>
      <w:r>
        <w:rPr>
          <w:b w:val="0"/>
          <w:bCs w:val="0"/>
        </w:rPr>
      </w:r>
    </w:p>
    <w:p>
      <w:pPr>
        <w:spacing w:line="240" w:lineRule="auto" w:before="8"/>
        <w:rPr>
          <w:rFonts w:ascii="微软雅黑" w:hAnsi="微软雅黑" w:cs="微软雅黑" w:eastAsia="微软雅黑" w:hint="default"/>
          <w:b/>
          <w:bCs/>
          <w:sz w:val="13"/>
          <w:szCs w:val="13"/>
        </w:rPr>
      </w:pPr>
    </w:p>
    <w:p>
      <w:pPr>
        <w:spacing w:line="972" w:lineRule="exact"/>
        <w:ind w:left="6582" w:right="0" w:firstLine="0"/>
        <w:rPr>
          <w:rFonts w:ascii="微软雅黑" w:hAnsi="微软雅黑" w:cs="微软雅黑" w:eastAsia="微软雅黑" w:hint="default"/>
          <w:sz w:val="20"/>
          <w:szCs w:val="20"/>
        </w:rPr>
      </w:pPr>
      <w:r>
        <w:rPr>
          <w:rFonts w:ascii="微软雅黑" w:hAnsi="微软雅黑" w:cs="微软雅黑" w:eastAsia="微软雅黑" w:hint="default"/>
          <w:position w:val="-18"/>
          <w:sz w:val="20"/>
          <w:szCs w:val="20"/>
        </w:rPr>
        <w:drawing>
          <wp:inline distT="0" distB="0" distL="0" distR="0">
            <wp:extent cx="1176105" cy="617220"/>
            <wp:effectExtent l="0" t="0" r="0" b="0"/>
            <wp:docPr id="7" name="image5.png" descr=""/>
            <wp:cNvGraphicFramePr>
              <a:graphicFrameLocks noChangeAspect="1"/>
            </wp:cNvGraphicFramePr>
            <a:graphic>
              <a:graphicData uri="http://schemas.openxmlformats.org/drawingml/2006/picture">
                <pic:pic>
                  <pic:nvPicPr>
                    <pic:cNvPr id="8" name="image5.png"/>
                    <pic:cNvPicPr/>
                  </pic:nvPicPr>
                  <pic:blipFill>
                    <a:blip r:embed="rId10" cstate="print"/>
                    <a:stretch>
                      <a:fillRect/>
                    </a:stretch>
                  </pic:blipFill>
                  <pic:spPr>
                    <a:xfrm>
                      <a:off x="0" y="0"/>
                      <a:ext cx="1176105" cy="617220"/>
                    </a:xfrm>
                    <a:prstGeom prst="rect">
                      <a:avLst/>
                    </a:prstGeom>
                  </pic:spPr>
                </pic:pic>
              </a:graphicData>
            </a:graphic>
          </wp:inline>
        </w:drawing>
      </w:r>
      <w:r>
        <w:rPr>
          <w:rFonts w:ascii="微软雅黑" w:hAnsi="微软雅黑" w:cs="微软雅黑" w:eastAsia="微软雅黑" w:hint="default"/>
          <w:position w:val="-18"/>
          <w:sz w:val="20"/>
          <w:szCs w:val="20"/>
        </w:rPr>
      </w:r>
    </w:p>
    <w:p>
      <w:pPr>
        <w:spacing w:after="0" w:line="972" w:lineRule="exact"/>
        <w:rPr>
          <w:rFonts w:ascii="微软雅黑" w:hAnsi="微软雅黑" w:cs="微软雅黑" w:eastAsia="微软雅黑" w:hint="default"/>
          <w:sz w:val="20"/>
          <w:szCs w:val="20"/>
        </w:rPr>
        <w:sectPr>
          <w:pgSz w:w="11910" w:h="16840"/>
          <w:pgMar w:header="855" w:footer="1195" w:top="1320" w:bottom="1380" w:left="1660" w:right="1120"/>
        </w:sectPr>
      </w:pPr>
    </w:p>
    <w:p>
      <w:pPr>
        <w:spacing w:line="240" w:lineRule="auto" w:before="9"/>
        <w:rPr>
          <w:rFonts w:ascii="微软雅黑" w:hAnsi="微软雅黑" w:cs="微软雅黑" w:eastAsia="微软雅黑" w:hint="default"/>
          <w:b/>
          <w:bCs/>
          <w:sz w:val="7"/>
          <w:szCs w:val="7"/>
        </w:rPr>
      </w:pPr>
    </w:p>
    <w:p>
      <w:pPr>
        <w:spacing w:before="14"/>
        <w:ind w:left="3060" w:right="3077" w:firstLine="0"/>
        <w:jc w:val="center"/>
        <w:rPr>
          <w:rFonts w:ascii="黑体" w:hAnsi="黑体" w:cs="黑体" w:eastAsia="黑体" w:hint="default"/>
          <w:sz w:val="28"/>
          <w:szCs w:val="28"/>
        </w:rPr>
      </w:pPr>
      <w:r>
        <w:rPr>
          <w:rFonts w:ascii="黑体" w:hAnsi="黑体" w:cs="黑体" w:eastAsia="黑体" w:hint="default"/>
          <w:b/>
          <w:bCs/>
          <w:sz w:val="28"/>
          <w:szCs w:val="28"/>
        </w:rPr>
        <w:t>重要提示</w:t>
      </w:r>
      <w:r>
        <w:rPr>
          <w:rFonts w:ascii="黑体" w:hAnsi="黑体" w:cs="黑体" w:eastAsia="黑体" w:hint="default"/>
          <w:sz w:val="28"/>
          <w:szCs w:val="28"/>
        </w:rPr>
      </w:r>
    </w:p>
    <w:p>
      <w:pPr>
        <w:spacing w:line="240" w:lineRule="auto" w:before="3"/>
        <w:rPr>
          <w:rFonts w:ascii="黑体" w:hAnsi="黑体" w:cs="黑体" w:eastAsia="黑体" w:hint="default"/>
          <w:b/>
          <w:bCs/>
          <w:sz w:val="22"/>
          <w:szCs w:val="22"/>
        </w:rPr>
      </w:pPr>
    </w:p>
    <w:p>
      <w:pPr>
        <w:pStyle w:val="Heading3"/>
        <w:spacing w:line="357" w:lineRule="auto"/>
        <w:ind w:left="505" w:right="0" w:hanging="368"/>
        <w:jc w:val="left"/>
        <w:rPr>
          <w:b w:val="0"/>
          <w:bCs w:val="0"/>
        </w:rPr>
      </w:pPr>
      <w:r>
        <w:rPr>
          <w:spacing w:val="-6"/>
        </w:rPr>
        <w:t>一、本公司董事会、监事会及董事、监事、高级管理人员保证年度报告内容的真实、准确、完整，</w:t>
      </w:r>
      <w:r>
        <w:rPr>
          <w:spacing w:val="-85"/>
        </w:rPr>
        <w:t> </w:t>
      </w:r>
      <w:r>
        <w:rPr>
          <w:spacing w:val="-85"/>
        </w:rPr>
      </w:r>
      <w:r>
        <w:rPr/>
        <w:t>不存在虚假记载、误导性陈述或重大遗漏，并承担个别和连带的法律责任。</w:t>
      </w:r>
      <w:r>
        <w:rPr>
          <w:b w:val="0"/>
          <w:bCs w:val="0"/>
        </w:rPr>
      </w:r>
    </w:p>
    <w:p>
      <w:pPr>
        <w:spacing w:line="240" w:lineRule="auto" w:before="1"/>
        <w:rPr>
          <w:rFonts w:ascii="宋体" w:hAnsi="宋体" w:cs="宋体" w:eastAsia="宋体" w:hint="default"/>
          <w:b/>
          <w:bCs/>
          <w:sz w:val="23"/>
          <w:szCs w:val="23"/>
        </w:rPr>
      </w:pPr>
    </w:p>
    <w:p>
      <w:pPr>
        <w:pStyle w:val="Heading3"/>
        <w:spacing w:line="240" w:lineRule="auto"/>
        <w:ind w:left="138" w:right="0"/>
        <w:jc w:val="left"/>
        <w:rPr>
          <w:b w:val="0"/>
          <w:bCs w:val="0"/>
        </w:rPr>
      </w:pPr>
      <w:r>
        <w:rPr/>
        <w:t>二、</w:t>
      </w:r>
      <w:r>
        <w:rPr>
          <w:spacing w:val="-80"/>
        </w:rPr>
        <w:t> </w:t>
      </w:r>
      <w:r>
        <w:rPr/>
        <w:t>公司全体董事出席董事会会议。</w:t>
      </w:r>
      <w:r>
        <w:rPr>
          <w:b w:val="0"/>
          <w:bCs w:val="0"/>
        </w:rPr>
      </w:r>
    </w:p>
    <w:p>
      <w:pPr>
        <w:pStyle w:val="Heading3"/>
        <w:spacing w:line="680" w:lineRule="atLeast" w:before="1"/>
        <w:ind w:left="138" w:right="0"/>
        <w:jc w:val="left"/>
        <w:rPr>
          <w:b w:val="0"/>
          <w:bCs w:val="0"/>
        </w:rPr>
      </w:pPr>
      <w:r>
        <w:rPr/>
        <w:t>三、</w:t>
      </w:r>
      <w:r>
        <w:rPr>
          <w:spacing w:val="-11"/>
        </w:rPr>
        <w:t> </w:t>
      </w:r>
      <w:r>
        <w:rPr/>
        <w:t>安永华明会计师事务所（特殊普通合伙）为本公司出具了标准无保留意见的审计报告。</w:t>
      </w:r>
      <w:r>
        <w:rPr>
          <w:w w:val="100"/>
        </w:rPr>
        <w:t> </w:t>
      </w:r>
      <w:r>
        <w:rPr>
          <w:spacing w:val="-1"/>
        </w:rPr>
        <w:t>四、公司负责人王文京、主管会计工作负责人章培林及会计机构负责人（会计主管人员）王仕平</w:t>
      </w:r>
      <w:r>
        <w:rPr>
          <w:b w:val="0"/>
          <w:bCs w:val="0"/>
          <w:spacing w:val="-1"/>
        </w:rPr>
      </w:r>
    </w:p>
    <w:p>
      <w:pPr>
        <w:pStyle w:val="Heading3"/>
        <w:spacing w:line="240" w:lineRule="auto" w:before="133"/>
        <w:ind w:left="505" w:right="0"/>
        <w:jc w:val="left"/>
        <w:rPr>
          <w:b w:val="0"/>
          <w:bCs w:val="0"/>
        </w:rPr>
      </w:pPr>
      <w:r>
        <w:rPr/>
        <w:t>声明：保证年度报告中财务报告的真实、准确、完整。</w:t>
      </w:r>
      <w:r>
        <w:rPr>
          <w:b w:val="0"/>
          <w:bCs w:val="0"/>
        </w:rPr>
      </w:r>
    </w:p>
    <w:p>
      <w:pPr>
        <w:spacing w:line="240" w:lineRule="auto" w:before="5"/>
        <w:rPr>
          <w:rFonts w:ascii="宋体" w:hAnsi="宋体" w:cs="宋体" w:eastAsia="宋体" w:hint="default"/>
          <w:b/>
          <w:bCs/>
          <w:sz w:val="15"/>
          <w:szCs w:val="15"/>
        </w:rPr>
      </w:pPr>
    </w:p>
    <w:p>
      <w:pPr>
        <w:spacing w:line="480" w:lineRule="atLeast" w:before="0"/>
        <w:ind w:left="558" w:right="144" w:hanging="420"/>
        <w:jc w:val="left"/>
        <w:rPr>
          <w:rFonts w:ascii="宋体" w:hAnsi="宋体" w:cs="宋体" w:eastAsia="宋体" w:hint="default"/>
          <w:sz w:val="21"/>
          <w:szCs w:val="21"/>
        </w:rPr>
      </w:pPr>
      <w:r>
        <w:rPr>
          <w:rFonts w:ascii="宋体" w:hAnsi="宋体" w:cs="宋体" w:eastAsia="宋体" w:hint="default"/>
          <w:b/>
          <w:bCs/>
          <w:sz w:val="21"/>
          <w:szCs w:val="21"/>
        </w:rPr>
        <w:t>五、</w:t>
      </w:r>
      <w:r>
        <w:rPr>
          <w:rFonts w:ascii="宋体" w:hAnsi="宋体" w:cs="宋体" w:eastAsia="宋体" w:hint="default"/>
          <w:b/>
          <w:bCs/>
          <w:spacing w:val="-39"/>
          <w:sz w:val="21"/>
          <w:szCs w:val="21"/>
        </w:rPr>
        <w:t> </w:t>
      </w:r>
      <w:r>
        <w:rPr>
          <w:rFonts w:ascii="宋体" w:hAnsi="宋体" w:cs="宋体" w:eastAsia="宋体" w:hint="default"/>
          <w:b/>
          <w:bCs/>
          <w:sz w:val="21"/>
          <w:szCs w:val="21"/>
        </w:rPr>
        <w:t>经董事会审议的报告期利润分配预案或公积金转增股本预案</w:t>
      </w:r>
      <w:r>
        <w:rPr>
          <w:rFonts w:ascii="宋体" w:hAnsi="宋体" w:cs="宋体" w:eastAsia="宋体" w:hint="default"/>
          <w:b/>
          <w:bCs/>
          <w:w w:val="100"/>
          <w:sz w:val="21"/>
          <w:szCs w:val="21"/>
        </w:rPr>
        <w:t> </w:t>
      </w:r>
      <w:r>
        <w:rPr>
          <w:rFonts w:ascii="宋体" w:hAnsi="宋体" w:cs="宋体" w:eastAsia="宋体" w:hint="default"/>
          <w:spacing w:val="-5"/>
          <w:sz w:val="21"/>
          <w:szCs w:val="21"/>
        </w:rPr>
        <w:t>经安永华明会计师事务所（特殊普通合伙）审计确认，</w:t>
      </w:r>
      <w:r>
        <w:rPr>
          <w:rFonts w:ascii="宋体" w:hAnsi="宋体" w:cs="宋体" w:eastAsia="宋体" w:hint="default"/>
          <w:spacing w:val="-5"/>
          <w:sz w:val="21"/>
          <w:szCs w:val="21"/>
        </w:rPr>
        <w:t>2017</w:t>
      </w:r>
      <w:r>
        <w:rPr>
          <w:rFonts w:ascii="宋体" w:hAnsi="宋体" w:cs="宋体" w:eastAsia="宋体" w:hint="default"/>
          <w:spacing w:val="-5"/>
          <w:sz w:val="21"/>
          <w:szCs w:val="21"/>
        </w:rPr>
        <w:t>年度公司实现净利润</w:t>
      </w:r>
      <w:r>
        <w:rPr>
          <w:rFonts w:ascii="宋体" w:hAnsi="宋体" w:cs="宋体" w:eastAsia="宋体" w:hint="default"/>
          <w:spacing w:val="-5"/>
          <w:sz w:val="21"/>
          <w:szCs w:val="21"/>
        </w:rPr>
        <w:t>329,392,</w:t>
      </w:r>
      <w:r>
        <w:rPr>
          <w:rFonts w:ascii="宋体" w:hAnsi="宋体" w:cs="宋体" w:eastAsia="宋体" w:hint="default"/>
          <w:spacing w:val="19"/>
          <w:sz w:val="21"/>
          <w:szCs w:val="21"/>
        </w:rPr>
        <w:t> </w:t>
      </w:r>
      <w:r>
        <w:rPr>
          <w:rFonts w:ascii="宋体" w:hAnsi="宋体" w:cs="宋体" w:eastAsia="宋体" w:hint="default"/>
          <w:sz w:val="21"/>
          <w:szCs w:val="21"/>
        </w:rPr>
        <w:t>628</w:t>
      </w:r>
    </w:p>
    <w:p>
      <w:pPr>
        <w:pStyle w:val="BodyText"/>
        <w:spacing w:line="314" w:lineRule="auto" w:before="85"/>
        <w:ind w:left="138" w:right="147"/>
        <w:jc w:val="both"/>
      </w:pPr>
      <w:r>
        <w:rPr>
          <w:spacing w:val="-2"/>
        </w:rPr>
        <w:t>元。公司以</w:t>
      </w:r>
      <w:r>
        <w:rPr>
          <w:rFonts w:ascii="宋体" w:hAnsi="宋体" w:cs="宋体" w:eastAsia="宋体" w:hint="default"/>
          <w:spacing w:val="-2"/>
        </w:rPr>
        <w:t>2017</w:t>
      </w:r>
      <w:r>
        <w:rPr>
          <w:spacing w:val="-2"/>
        </w:rPr>
        <w:t>年度净利润</w:t>
      </w:r>
      <w:r>
        <w:rPr>
          <w:rFonts w:ascii="宋体" w:hAnsi="宋体" w:cs="宋体" w:eastAsia="宋体" w:hint="default"/>
          <w:spacing w:val="-2"/>
        </w:rPr>
        <w:t>329,392,</w:t>
      </w:r>
      <w:r>
        <w:rPr>
          <w:rFonts w:ascii="宋体" w:hAnsi="宋体" w:cs="宋体" w:eastAsia="宋体" w:hint="default"/>
        </w:rPr>
        <w:t> </w:t>
      </w:r>
      <w:r>
        <w:rPr>
          <w:rFonts w:ascii="宋体" w:hAnsi="宋体" w:cs="宋体" w:eastAsia="宋体" w:hint="default"/>
          <w:spacing w:val="-2"/>
        </w:rPr>
        <w:t>628</w:t>
      </w:r>
      <w:r>
        <w:rPr>
          <w:spacing w:val="-2"/>
        </w:rPr>
        <w:t>元为基数，提取</w:t>
      </w:r>
      <w:r>
        <w:rPr>
          <w:rFonts w:ascii="宋体" w:hAnsi="宋体" w:cs="宋体" w:eastAsia="宋体" w:hint="default"/>
          <w:spacing w:val="-2"/>
        </w:rPr>
        <w:t>10%</w:t>
      </w:r>
      <w:r>
        <w:rPr>
          <w:spacing w:val="-2"/>
        </w:rPr>
        <w:t>的法定盈余公积金</w:t>
      </w:r>
      <w:r>
        <w:rPr>
          <w:rFonts w:ascii="宋体" w:hAnsi="宋体" w:cs="宋体" w:eastAsia="宋体" w:hint="default"/>
          <w:spacing w:val="-2"/>
        </w:rPr>
        <w:t>32,939,263</w:t>
      </w:r>
      <w:r>
        <w:rPr>
          <w:spacing w:val="-2"/>
        </w:rPr>
        <w:t>元，提</w:t>
      </w:r>
      <w:r>
        <w:rPr>
          <w:spacing w:val="-98"/>
        </w:rPr>
        <w:t> </w:t>
      </w:r>
      <w:r>
        <w:rPr>
          <w:spacing w:val="-98"/>
        </w:rPr>
      </w:r>
      <w:r>
        <w:rPr>
          <w:spacing w:val="-3"/>
        </w:rPr>
        <w:t>取</w:t>
      </w:r>
      <w:r>
        <w:rPr>
          <w:rFonts w:ascii="宋体" w:hAnsi="宋体" w:cs="宋体" w:eastAsia="宋体" w:hint="default"/>
          <w:spacing w:val="-3"/>
        </w:rPr>
        <w:t>5%</w:t>
      </w:r>
      <w:r>
        <w:rPr>
          <w:spacing w:val="-3"/>
        </w:rPr>
        <w:t>任意盈余公积金</w:t>
      </w:r>
      <w:r>
        <w:rPr>
          <w:rFonts w:ascii="宋体" w:hAnsi="宋体" w:cs="宋体" w:eastAsia="宋体" w:hint="default"/>
          <w:spacing w:val="-3"/>
        </w:rPr>
        <w:t>16,469,631</w:t>
      </w:r>
      <w:r>
        <w:rPr>
          <w:spacing w:val="-3"/>
        </w:rPr>
        <w:t>元，加往年累积的未分配利润</w:t>
      </w:r>
      <w:r>
        <w:rPr>
          <w:rFonts w:ascii="宋体" w:hAnsi="宋体" w:cs="宋体" w:eastAsia="宋体" w:hint="default"/>
          <w:spacing w:val="-3"/>
        </w:rPr>
        <w:t>975,569,312</w:t>
      </w:r>
      <w:r>
        <w:rPr>
          <w:spacing w:val="-3"/>
        </w:rPr>
        <w:t>元，本次实际可供分配</w:t>
      </w:r>
      <w:r>
        <w:rPr>
          <w:spacing w:val="-47"/>
        </w:rPr>
        <w:t> </w:t>
      </w:r>
      <w:r>
        <w:rPr>
          <w:spacing w:val="-47"/>
        </w:rPr>
      </w:r>
      <w:r>
        <w:rPr>
          <w:spacing w:val="6"/>
        </w:rPr>
        <w:t>的利润为</w:t>
      </w:r>
      <w:r>
        <w:rPr>
          <w:rFonts w:ascii="宋体" w:hAnsi="宋体" w:cs="宋体" w:eastAsia="宋体" w:hint="default"/>
          <w:spacing w:val="6"/>
        </w:rPr>
        <w:t>1,255,553,046</w:t>
      </w:r>
      <w:r>
        <w:rPr>
          <w:spacing w:val="6"/>
        </w:rPr>
        <w:t>元；公司以</w:t>
      </w:r>
      <w:r>
        <w:rPr>
          <w:rFonts w:ascii="宋体" w:hAnsi="宋体" w:cs="宋体" w:eastAsia="宋体" w:hint="default"/>
          <w:spacing w:val="6"/>
        </w:rPr>
        <w:t>2017</w:t>
      </w:r>
      <w:r>
        <w:rPr>
          <w:spacing w:val="6"/>
        </w:rPr>
        <w:t>年末总股本</w:t>
      </w:r>
      <w:r>
        <w:rPr>
          <w:rFonts w:ascii="宋体" w:hAnsi="宋体" w:cs="宋体" w:eastAsia="宋体" w:hint="default"/>
          <w:spacing w:val="6"/>
        </w:rPr>
        <w:t>1,464,217,811</w:t>
      </w:r>
      <w:r>
        <w:rPr>
          <w:spacing w:val="6"/>
        </w:rPr>
        <w:t>股扣除将注销的回购股份</w:t>
      </w:r>
      <w:r>
        <w:rPr>
          <w:spacing w:val="-17"/>
        </w:rPr>
        <w:t> </w:t>
      </w:r>
      <w:r>
        <w:rPr>
          <w:spacing w:val="-17"/>
        </w:rPr>
      </w:r>
      <w:r>
        <w:rPr>
          <w:rFonts w:ascii="宋体" w:hAnsi="宋体" w:cs="宋体" w:eastAsia="宋体" w:hint="default"/>
          <w:spacing w:val="-1"/>
        </w:rPr>
        <w:t>2,991,583</w:t>
      </w:r>
      <w:r>
        <w:rPr>
          <w:spacing w:val="-1"/>
        </w:rPr>
        <w:t>股后的</w:t>
      </w:r>
      <w:r>
        <w:rPr>
          <w:rFonts w:ascii="宋体" w:hAnsi="宋体" w:cs="宋体" w:eastAsia="宋体" w:hint="default"/>
          <w:spacing w:val="-1"/>
        </w:rPr>
        <w:t>1,461,226,228</w:t>
      </w:r>
      <w:r>
        <w:rPr>
          <w:spacing w:val="-1"/>
        </w:rPr>
        <w:t>股为基数</w:t>
      </w:r>
      <w:r>
        <w:rPr>
          <w:rFonts w:ascii="宋体" w:hAnsi="宋体" w:cs="宋体" w:eastAsia="宋体" w:hint="default"/>
          <w:spacing w:val="-1"/>
        </w:rPr>
        <w:t>,</w:t>
      </w:r>
      <w:r>
        <w:rPr>
          <w:spacing w:val="-1"/>
        </w:rPr>
        <w:t>拟向全体股东每</w:t>
      </w:r>
      <w:r>
        <w:rPr>
          <w:rFonts w:ascii="宋体" w:hAnsi="宋体" w:cs="宋体" w:eastAsia="宋体" w:hint="default"/>
          <w:spacing w:val="-1"/>
        </w:rPr>
        <w:t>10</w:t>
      </w:r>
      <w:r>
        <w:rPr>
          <w:spacing w:val="-1"/>
        </w:rPr>
        <w:t>股派发现金股利</w:t>
      </w:r>
      <w:r>
        <w:rPr>
          <w:rFonts w:ascii="宋体" w:hAnsi="宋体" w:cs="宋体" w:eastAsia="宋体" w:hint="default"/>
          <w:spacing w:val="-1"/>
        </w:rPr>
        <w:t>1.5</w:t>
      </w:r>
      <w:r>
        <w:rPr>
          <w:spacing w:val="-1"/>
        </w:rPr>
        <w:t>元</w:t>
      </w:r>
      <w:r>
        <w:rPr>
          <w:rFonts w:ascii="宋体" w:hAnsi="宋体" w:cs="宋体" w:eastAsia="宋体" w:hint="default"/>
          <w:spacing w:val="-1"/>
        </w:rPr>
        <w:t>(</w:t>
      </w:r>
      <w:r>
        <w:rPr>
          <w:spacing w:val="-1"/>
        </w:rPr>
        <w:t>含税</w:t>
      </w:r>
      <w:r>
        <w:rPr>
          <w:rFonts w:ascii="宋体" w:hAnsi="宋体" w:cs="宋体" w:eastAsia="宋体" w:hint="default"/>
          <w:spacing w:val="-1"/>
        </w:rPr>
        <w:t>)</w:t>
      </w:r>
      <w:r>
        <w:rPr>
          <w:spacing w:val="-1"/>
        </w:rPr>
        <w:t>，共计</w:t>
      </w:r>
      <w:r>
        <w:rPr>
          <w:spacing w:val="-47"/>
        </w:rPr>
        <w:t> </w:t>
      </w:r>
      <w:r>
        <w:rPr>
          <w:spacing w:val="-47"/>
        </w:rPr>
      </w:r>
      <w:r>
        <w:rPr/>
        <w:t>派发现金股利</w:t>
      </w:r>
      <w:r>
        <w:rPr>
          <w:rFonts w:ascii="宋体" w:hAnsi="宋体" w:cs="宋体" w:eastAsia="宋体" w:hint="default"/>
        </w:rPr>
        <w:t>219,183,934</w:t>
      </w:r>
      <w:r>
        <w:rPr/>
        <w:t>元，派发现金股利后，公司未分配利润余额为</w:t>
      </w:r>
      <w:r>
        <w:rPr>
          <w:rFonts w:ascii="宋体" w:hAnsi="宋体" w:cs="宋体" w:eastAsia="宋体" w:hint="default"/>
        </w:rPr>
        <w:t>1,036,369,112</w:t>
      </w:r>
      <w:r>
        <w:rPr/>
        <w:t>元。</w:t>
      </w:r>
    </w:p>
    <w:p>
      <w:pPr>
        <w:pStyle w:val="BodyText"/>
        <w:spacing w:line="314" w:lineRule="auto" w:before="20"/>
        <w:ind w:left="138" w:right="0" w:firstLine="419"/>
        <w:jc w:val="left"/>
      </w:pPr>
      <w:r>
        <w:rPr>
          <w:spacing w:val="28"/>
        </w:rPr>
        <w:t>公司以</w:t>
      </w:r>
      <w:r>
        <w:rPr>
          <w:spacing w:val="-61"/>
        </w:rPr>
        <w:t> </w:t>
      </w:r>
      <w:r>
        <w:rPr>
          <w:rFonts w:ascii="宋体" w:hAnsi="宋体" w:cs="宋体" w:eastAsia="宋体" w:hint="default"/>
        </w:rPr>
        <w:t>2017</w:t>
      </w:r>
      <w:r>
        <w:rPr>
          <w:rFonts w:ascii="宋体" w:hAnsi="宋体" w:cs="宋体" w:eastAsia="宋体" w:hint="default"/>
          <w:spacing w:val="-61"/>
        </w:rPr>
        <w:t> </w:t>
      </w:r>
      <w:r>
        <w:rPr/>
        <w:t>年</w:t>
      </w:r>
      <w:r>
        <w:rPr>
          <w:spacing w:val="-61"/>
        </w:rPr>
        <w:t> </w:t>
      </w:r>
      <w:r>
        <w:rPr/>
        <w:t>末</w:t>
      </w:r>
      <w:r>
        <w:rPr>
          <w:spacing w:val="-61"/>
        </w:rPr>
        <w:t> </w:t>
      </w:r>
      <w:r>
        <w:rPr/>
        <w:t>总</w:t>
      </w:r>
      <w:r>
        <w:rPr>
          <w:spacing w:val="-61"/>
        </w:rPr>
        <w:t> </w:t>
      </w:r>
      <w:r>
        <w:rPr/>
        <w:t>股</w:t>
      </w:r>
      <w:r>
        <w:rPr>
          <w:spacing w:val="-64"/>
        </w:rPr>
        <w:t> </w:t>
      </w:r>
      <w:r>
        <w:rPr/>
        <w:t>本</w:t>
      </w:r>
      <w:r>
        <w:rPr>
          <w:spacing w:val="-60"/>
        </w:rPr>
        <w:t> </w:t>
      </w:r>
      <w:r>
        <w:rPr>
          <w:rFonts w:ascii="宋体" w:hAnsi="宋体" w:cs="宋体" w:eastAsia="宋体" w:hint="default"/>
        </w:rPr>
        <w:t>1,464,217,811</w:t>
      </w:r>
      <w:r>
        <w:rPr>
          <w:rFonts w:ascii="宋体" w:hAnsi="宋体" w:cs="宋体" w:eastAsia="宋体" w:hint="default"/>
          <w:spacing w:val="-61"/>
        </w:rPr>
        <w:t> </w:t>
      </w:r>
      <w:r>
        <w:rPr/>
        <w:t>股</w:t>
      </w:r>
      <w:r>
        <w:rPr>
          <w:spacing w:val="-61"/>
        </w:rPr>
        <w:t> </w:t>
      </w:r>
      <w:r>
        <w:rPr/>
        <w:t>扣</w:t>
      </w:r>
      <w:r>
        <w:rPr>
          <w:spacing w:val="-61"/>
        </w:rPr>
        <w:t> </w:t>
      </w:r>
      <w:r>
        <w:rPr/>
        <w:t>除</w:t>
      </w:r>
      <w:r>
        <w:rPr>
          <w:spacing w:val="-64"/>
        </w:rPr>
        <w:t> </w:t>
      </w:r>
      <w:r>
        <w:rPr/>
        <w:t>将</w:t>
      </w:r>
      <w:r>
        <w:rPr>
          <w:spacing w:val="-61"/>
        </w:rPr>
        <w:t> </w:t>
      </w:r>
      <w:r>
        <w:rPr/>
        <w:t>注</w:t>
      </w:r>
      <w:r>
        <w:rPr>
          <w:spacing w:val="-61"/>
        </w:rPr>
        <w:t> </w:t>
      </w:r>
      <w:r>
        <w:rPr/>
        <w:t>销</w:t>
      </w:r>
      <w:r>
        <w:rPr>
          <w:spacing w:val="-61"/>
        </w:rPr>
        <w:t> </w:t>
      </w:r>
      <w:r>
        <w:rPr/>
        <w:t>的</w:t>
      </w:r>
      <w:r>
        <w:rPr>
          <w:spacing w:val="-61"/>
        </w:rPr>
        <w:t> </w:t>
      </w:r>
      <w:r>
        <w:rPr/>
        <w:t>回</w:t>
      </w:r>
      <w:r>
        <w:rPr>
          <w:spacing w:val="-61"/>
        </w:rPr>
        <w:t> </w:t>
      </w:r>
      <w:r>
        <w:rPr/>
        <w:t>购</w:t>
      </w:r>
      <w:r>
        <w:rPr>
          <w:spacing w:val="-61"/>
        </w:rPr>
        <w:t> </w:t>
      </w:r>
      <w:r>
        <w:rPr/>
        <w:t>股</w:t>
      </w:r>
      <w:r>
        <w:rPr>
          <w:spacing w:val="-61"/>
        </w:rPr>
        <w:t> </w:t>
      </w:r>
      <w:r>
        <w:rPr/>
        <w:t>份</w:t>
      </w:r>
      <w:r>
        <w:rPr>
          <w:spacing w:val="-59"/>
        </w:rPr>
        <w:t> </w:t>
      </w:r>
      <w:r>
        <w:rPr>
          <w:rFonts w:ascii="宋体" w:hAnsi="宋体" w:cs="宋体" w:eastAsia="宋体" w:hint="default"/>
        </w:rPr>
        <w:t>2,991,583</w:t>
      </w:r>
      <w:r>
        <w:rPr>
          <w:rFonts w:ascii="宋体" w:hAnsi="宋体" w:cs="宋体" w:eastAsia="宋体" w:hint="default"/>
          <w:spacing w:val="-61"/>
        </w:rPr>
        <w:t> </w:t>
      </w:r>
      <w:r>
        <w:rPr>
          <w:spacing w:val="28"/>
        </w:rPr>
        <w:t>股后的</w:t>
      </w:r>
      <w:r>
        <w:rPr>
          <w:spacing w:val="-62"/>
        </w:rPr>
        <w:t> </w:t>
      </w:r>
      <w:r>
        <w:rPr>
          <w:rFonts w:ascii="宋体" w:hAnsi="宋体" w:cs="宋体" w:eastAsia="宋体" w:hint="default"/>
          <w:spacing w:val="-3"/>
        </w:rPr>
        <w:t>1,461,226,228</w:t>
      </w:r>
      <w:r>
        <w:rPr>
          <w:spacing w:val="-3"/>
        </w:rPr>
        <w:t>股为基数，拟向全体股东每</w:t>
      </w:r>
      <w:r>
        <w:rPr>
          <w:rFonts w:ascii="宋体" w:hAnsi="宋体" w:cs="宋体" w:eastAsia="宋体" w:hint="default"/>
          <w:spacing w:val="-3"/>
        </w:rPr>
        <w:t>10</w:t>
      </w:r>
      <w:r>
        <w:rPr>
          <w:spacing w:val="-3"/>
        </w:rPr>
        <w:t>股转增</w:t>
      </w:r>
      <w:r>
        <w:rPr>
          <w:rFonts w:ascii="宋体" w:hAnsi="宋体" w:cs="宋体" w:eastAsia="宋体" w:hint="default"/>
          <w:spacing w:val="-3"/>
        </w:rPr>
        <w:t>3</w:t>
      </w:r>
      <w:r>
        <w:rPr>
          <w:spacing w:val="-3"/>
        </w:rPr>
        <w:t>股，共计转增 </w:t>
      </w:r>
      <w:r>
        <w:rPr>
          <w:rFonts w:ascii="宋体" w:hAnsi="宋体" w:cs="宋体" w:eastAsia="宋体" w:hint="default"/>
        </w:rPr>
        <w:t>438,367,868</w:t>
      </w:r>
      <w:r>
        <w:rPr>
          <w:rFonts w:ascii="宋体" w:hAnsi="宋体" w:cs="宋体" w:eastAsia="宋体" w:hint="default"/>
          <w:spacing w:val="55"/>
        </w:rPr>
        <w:t> </w:t>
      </w:r>
      <w:r>
        <w:rPr>
          <w:spacing w:val="-6"/>
        </w:rPr>
        <w:t>股，转增股本后</w:t>
      </w:r>
    </w:p>
    <w:p>
      <w:pPr>
        <w:pStyle w:val="BodyText"/>
        <w:spacing w:line="314" w:lineRule="auto" w:before="20"/>
        <w:ind w:left="558" w:right="0" w:hanging="420"/>
        <w:jc w:val="left"/>
      </w:pPr>
      <w:r>
        <w:rPr/>
        <w:t>，公司总股本</w:t>
      </w:r>
      <w:r>
        <w:rPr>
          <w:rFonts w:ascii="宋体" w:hAnsi="宋体" w:cs="宋体" w:eastAsia="宋体" w:hint="default"/>
        </w:rPr>
        <w:t>1,899,594,096 </w:t>
      </w:r>
      <w:r>
        <w:rPr/>
        <w:t>股，资本公积余额 </w:t>
      </w:r>
      <w:r>
        <w:rPr>
          <w:rFonts w:ascii="宋体" w:hAnsi="宋体" w:cs="宋体" w:eastAsia="宋体" w:hint="default"/>
        </w:rPr>
        <w:t>1,249,914,539</w:t>
      </w:r>
      <w:r>
        <w:rPr>
          <w:rFonts w:ascii="宋体" w:hAnsi="宋体" w:cs="宋体" w:eastAsia="宋体" w:hint="default"/>
          <w:spacing w:val="-3"/>
        </w:rPr>
        <w:t> </w:t>
      </w:r>
      <w:r>
        <w:rPr>
          <w:spacing w:val="-3"/>
        </w:rPr>
        <w:t>元。</w:t>
      </w:r>
      <w:r>
        <w:rPr>
          <w:spacing w:val="-3"/>
          <w:w w:val="100"/>
        </w:rPr>
        <w:t> </w:t>
      </w:r>
      <w:r>
        <w:rPr>
          <w:spacing w:val="-4"/>
        </w:rPr>
        <w:t>公司将在本次年度股东大会后注销上述回购的</w:t>
      </w:r>
      <w:r>
        <w:rPr>
          <w:rFonts w:ascii="宋体" w:hAnsi="宋体" w:cs="宋体" w:eastAsia="宋体" w:hint="default"/>
          <w:spacing w:val="-4"/>
        </w:rPr>
        <w:t>2,991,583</w:t>
      </w:r>
      <w:r>
        <w:rPr>
          <w:spacing w:val="-4"/>
        </w:rPr>
        <w:t>股，待注销后，再实施上述利润分配</w:t>
      </w:r>
    </w:p>
    <w:p>
      <w:pPr>
        <w:pStyle w:val="BodyText"/>
        <w:spacing w:line="240" w:lineRule="auto" w:before="20"/>
        <w:ind w:left="138" w:right="0"/>
        <w:jc w:val="left"/>
      </w:pPr>
      <w:r>
        <w:rPr/>
        <w:t>预案和资本公积金转增股本预案。</w:t>
      </w:r>
    </w:p>
    <w:p>
      <w:pPr>
        <w:spacing w:line="240" w:lineRule="auto" w:before="2"/>
        <w:rPr>
          <w:rFonts w:ascii="宋体" w:hAnsi="宋体" w:cs="宋体" w:eastAsia="宋体" w:hint="default"/>
          <w:sz w:val="28"/>
          <w:szCs w:val="28"/>
        </w:rPr>
      </w:pPr>
    </w:p>
    <w:p>
      <w:pPr>
        <w:pStyle w:val="Heading3"/>
        <w:spacing w:line="240" w:lineRule="auto"/>
        <w:ind w:left="138" w:right="0"/>
        <w:jc w:val="left"/>
        <w:rPr>
          <w:b w:val="0"/>
          <w:bCs w:val="0"/>
        </w:rPr>
      </w:pPr>
      <w:r>
        <w:rPr/>
        <w:t>六、</w:t>
      </w:r>
      <w:r>
        <w:rPr>
          <w:spacing w:val="-24"/>
        </w:rPr>
        <w:t> </w:t>
      </w:r>
      <w:r>
        <w:rPr/>
        <w:t>前瞻性陈述的风险声明</w:t>
      </w:r>
      <w:r>
        <w:rPr>
          <w:b w:val="0"/>
          <w:bCs w:val="0"/>
        </w:rPr>
      </w:r>
    </w:p>
    <w:p>
      <w:pPr>
        <w:pStyle w:val="BodyText"/>
        <w:tabs>
          <w:tab w:pos="980" w:val="left" w:leader="none"/>
        </w:tabs>
        <w:spacing w:line="304" w:lineRule="auto" w:before="133"/>
        <w:ind w:left="558" w:right="157" w:hanging="420"/>
        <w:jc w:val="left"/>
      </w:pPr>
      <w:r>
        <w:rPr/>
        <w:t>√适用</w:t>
        <w:tab/>
        <w:t>□不适用</w:t>
      </w:r>
      <w:r>
        <w:rPr>
          <w:w w:val="100"/>
        </w:rPr>
        <w:t> </w:t>
      </w:r>
      <w:r>
        <w:rPr>
          <w:spacing w:val="-2"/>
        </w:rPr>
        <w:t>报告中所涉及的未来计划、发展战略等前瞻性描述不构成公司对投资者的实质承诺，敬请投</w:t>
      </w:r>
    </w:p>
    <w:p>
      <w:pPr>
        <w:pStyle w:val="BodyText"/>
        <w:spacing w:line="240" w:lineRule="auto" w:before="28"/>
        <w:ind w:left="138" w:right="0"/>
        <w:jc w:val="left"/>
      </w:pPr>
      <w:r>
        <w:rPr/>
        <w:t>资者注意投资风险。</w:t>
      </w:r>
    </w:p>
    <w:p>
      <w:pPr>
        <w:spacing w:line="240" w:lineRule="auto" w:before="2"/>
        <w:rPr>
          <w:rFonts w:ascii="宋体" w:hAnsi="宋体" w:cs="宋体" w:eastAsia="宋体" w:hint="default"/>
          <w:sz w:val="28"/>
          <w:szCs w:val="28"/>
        </w:rPr>
      </w:pPr>
    </w:p>
    <w:p>
      <w:pPr>
        <w:pStyle w:val="Heading3"/>
        <w:spacing w:line="424" w:lineRule="auto"/>
        <w:ind w:left="138" w:right="3487"/>
        <w:jc w:val="left"/>
        <w:rPr>
          <w:rFonts w:ascii="宋体" w:hAnsi="宋体" w:cs="宋体" w:eastAsia="宋体" w:hint="default"/>
          <w:b w:val="0"/>
          <w:bCs w:val="0"/>
        </w:rPr>
      </w:pPr>
      <w:r>
        <w:rPr/>
        <w:t>七、是否存在被控股股东及其关联方非经营性占用资金情况</w:t>
      </w:r>
      <w:r>
        <w:rPr>
          <w:spacing w:val="-97"/>
        </w:rPr>
        <w:t> </w:t>
      </w:r>
      <w:r>
        <w:rPr>
          <w:spacing w:val="-97"/>
        </w:rPr>
      </w:r>
      <w:r>
        <w:rPr>
          <w:rFonts w:ascii="宋体" w:hAnsi="宋体" w:cs="宋体" w:eastAsia="宋体" w:hint="default"/>
          <w:b w:val="0"/>
          <w:bCs w:val="0"/>
        </w:rPr>
        <w:t>否</w:t>
      </w:r>
    </w:p>
    <w:p>
      <w:pPr>
        <w:spacing w:line="240" w:lineRule="auto" w:before="10"/>
        <w:rPr>
          <w:rFonts w:ascii="宋体" w:hAnsi="宋体" w:cs="宋体" w:eastAsia="宋体" w:hint="default"/>
          <w:sz w:val="15"/>
          <w:szCs w:val="15"/>
        </w:rPr>
      </w:pPr>
    </w:p>
    <w:p>
      <w:pPr>
        <w:pStyle w:val="Heading3"/>
        <w:tabs>
          <w:tab w:pos="781" w:val="left" w:leader="none"/>
        </w:tabs>
        <w:spacing w:line="355" w:lineRule="auto"/>
        <w:ind w:left="138" w:right="3914"/>
        <w:jc w:val="left"/>
        <w:rPr>
          <w:rFonts w:ascii="宋体" w:hAnsi="宋体" w:cs="宋体" w:eastAsia="宋体" w:hint="default"/>
          <w:b w:val="0"/>
          <w:bCs w:val="0"/>
        </w:rPr>
      </w:pPr>
      <w:r>
        <w:rPr/>
        <w:t>八、</w:t>
        <w:tab/>
      </w:r>
      <w:r>
        <w:rPr>
          <w:spacing w:val="-1"/>
        </w:rPr>
        <w:t>是否存在违反规定决策程序对外提供担保的情况</w:t>
      </w:r>
      <w:r>
        <w:rPr>
          <w:spacing w:val="-86"/>
        </w:rPr>
        <w:t> </w:t>
      </w:r>
      <w:r>
        <w:rPr>
          <w:spacing w:val="-86"/>
        </w:rPr>
      </w:r>
      <w:r>
        <w:rPr>
          <w:rFonts w:ascii="宋体" w:hAnsi="宋体" w:cs="宋体" w:eastAsia="宋体" w:hint="default"/>
          <w:b w:val="0"/>
          <w:bCs w:val="0"/>
        </w:rPr>
        <w:t>否</w:t>
      </w:r>
    </w:p>
    <w:p>
      <w:pPr>
        <w:pStyle w:val="Heading3"/>
        <w:tabs>
          <w:tab w:pos="781" w:val="left" w:leader="none"/>
        </w:tabs>
        <w:spacing w:line="240" w:lineRule="auto" w:before="169"/>
        <w:ind w:left="138" w:right="0"/>
        <w:jc w:val="left"/>
        <w:rPr>
          <w:b w:val="0"/>
          <w:bCs w:val="0"/>
        </w:rPr>
      </w:pPr>
      <w:r>
        <w:rPr/>
        <w:t>九、</w:t>
        <w:tab/>
        <w:t>重大风险提示</w:t>
      </w:r>
      <w:r>
        <w:rPr>
          <w:b w:val="0"/>
          <w:bCs w:val="0"/>
        </w:rPr>
      </w:r>
    </w:p>
    <w:p>
      <w:pPr>
        <w:pStyle w:val="BodyText"/>
        <w:spacing w:line="240" w:lineRule="auto" w:before="133"/>
        <w:ind w:left="138" w:right="0"/>
        <w:jc w:val="left"/>
      </w:pPr>
      <w:r>
        <w:rPr/>
        <w:t>√适用</w:t>
      </w:r>
      <w:r>
        <w:rPr>
          <w:spacing w:val="-1"/>
        </w:rPr>
        <w:t> </w:t>
      </w:r>
      <w:r>
        <w:rPr/>
        <w:t>□不适用</w:t>
      </w:r>
    </w:p>
    <w:p>
      <w:pPr>
        <w:spacing w:after="0" w:line="240" w:lineRule="auto"/>
        <w:jc w:val="left"/>
        <w:sectPr>
          <w:pgSz w:w="11910" w:h="16840"/>
          <w:pgMar w:header="855" w:footer="1195" w:top="1320" w:bottom="1380" w:left="1660" w:right="1120"/>
        </w:sectPr>
      </w:pPr>
    </w:p>
    <w:p>
      <w:pPr>
        <w:spacing w:line="240" w:lineRule="auto" w:before="4"/>
        <w:rPr>
          <w:rFonts w:ascii="宋体" w:hAnsi="宋体" w:cs="宋体" w:eastAsia="宋体" w:hint="default"/>
          <w:sz w:val="9"/>
          <w:szCs w:val="9"/>
        </w:rPr>
      </w:pPr>
    </w:p>
    <w:p>
      <w:pPr>
        <w:pStyle w:val="BodyText"/>
        <w:spacing w:line="237" w:lineRule="auto" w:before="38"/>
        <w:ind w:left="138" w:right="148"/>
        <w:jc w:val="both"/>
      </w:pPr>
      <w:r>
        <w:rPr>
          <w:spacing w:val="-2"/>
        </w:rPr>
        <w:t>公司存在的风险因素主要是新业务发展的不确定性，有关风险因素内容与对策措施已在本报告中</w:t>
      </w:r>
      <w:r>
        <w:rPr>
          <w:spacing w:val="-25"/>
        </w:rPr>
        <w:t> </w:t>
      </w:r>
      <w:r>
        <w:rPr>
          <w:spacing w:val="-25"/>
        </w:rPr>
      </w:r>
      <w:r>
        <w:rPr/>
        <w:t>“第四节</w:t>
      </w:r>
      <w:r>
        <w:rPr>
          <w:spacing w:val="39"/>
        </w:rPr>
        <w:t> </w:t>
      </w:r>
      <w:r>
        <w:rPr>
          <w:spacing w:val="-4"/>
        </w:rPr>
        <w:t>经营情况讨论与分析”中“三、公司关于公司未来发展的讨论与分析”中“（四）可能</w:t>
      </w:r>
      <w:r>
        <w:rPr>
          <w:spacing w:val="-96"/>
        </w:rPr>
        <w:t> </w:t>
      </w:r>
      <w:r>
        <w:rPr>
          <w:spacing w:val="-96"/>
        </w:rPr>
      </w:r>
      <w:r>
        <w:rPr/>
        <w:t>面对的风险”中予以了详细描述，敬请查阅相关内容。</w:t>
      </w:r>
    </w:p>
    <w:p>
      <w:pPr>
        <w:spacing w:line="240" w:lineRule="auto" w:before="2"/>
        <w:rPr>
          <w:rFonts w:ascii="宋体" w:hAnsi="宋体" w:cs="宋体" w:eastAsia="宋体" w:hint="default"/>
          <w:sz w:val="20"/>
          <w:szCs w:val="20"/>
        </w:rPr>
      </w:pPr>
    </w:p>
    <w:p>
      <w:pPr>
        <w:spacing w:before="0"/>
        <w:ind w:left="138" w:right="0" w:firstLine="0"/>
        <w:jc w:val="both"/>
        <w:rPr>
          <w:rFonts w:ascii="宋体" w:hAnsi="宋体" w:cs="宋体" w:eastAsia="宋体" w:hint="default"/>
          <w:sz w:val="24"/>
          <w:szCs w:val="24"/>
        </w:rPr>
      </w:pPr>
      <w:r>
        <w:rPr>
          <w:rFonts w:ascii="宋体" w:hAnsi="宋体" w:cs="宋体" w:eastAsia="宋体" w:hint="default"/>
          <w:b/>
          <w:bCs/>
          <w:sz w:val="21"/>
          <w:szCs w:val="21"/>
        </w:rPr>
        <w:t>十、</w:t>
      </w:r>
      <w:r>
        <w:rPr>
          <w:rFonts w:ascii="宋体" w:hAnsi="宋体" w:cs="宋体" w:eastAsia="宋体" w:hint="default"/>
          <w:b/>
          <w:bCs/>
          <w:spacing w:val="61"/>
          <w:sz w:val="21"/>
          <w:szCs w:val="21"/>
        </w:rPr>
        <w:t> </w:t>
      </w:r>
      <w:r>
        <w:rPr>
          <w:rFonts w:ascii="宋体" w:hAnsi="宋体" w:cs="宋体" w:eastAsia="宋体" w:hint="default"/>
          <w:b/>
          <w:bCs/>
          <w:sz w:val="24"/>
          <w:szCs w:val="24"/>
        </w:rPr>
        <w:t>其他</w:t>
      </w:r>
      <w:r>
        <w:rPr>
          <w:rFonts w:ascii="宋体" w:hAnsi="宋体" w:cs="宋体" w:eastAsia="宋体" w:hint="default"/>
          <w:sz w:val="24"/>
          <w:szCs w:val="24"/>
        </w:rPr>
      </w:r>
    </w:p>
    <w:p>
      <w:pPr>
        <w:pStyle w:val="BodyText"/>
        <w:spacing w:line="240" w:lineRule="auto" w:before="160"/>
        <w:ind w:left="138" w:right="0"/>
        <w:jc w:val="both"/>
      </w:pPr>
      <w:r>
        <w:rPr/>
        <w:t>□适用  √不适用</w:t>
      </w:r>
    </w:p>
    <w:p>
      <w:pPr>
        <w:spacing w:after="0" w:line="240" w:lineRule="auto"/>
        <w:jc w:val="both"/>
        <w:sectPr>
          <w:pgSz w:w="11910" w:h="16840"/>
          <w:pgMar w:header="855" w:footer="1195" w:top="1320" w:bottom="1380" w:left="1660" w:right="1120"/>
        </w:sectPr>
      </w:pPr>
    </w:p>
    <w:p>
      <w:pPr>
        <w:spacing w:line="240" w:lineRule="auto" w:before="1"/>
        <w:rPr>
          <w:rFonts w:ascii="宋体" w:hAnsi="宋体" w:cs="宋体" w:eastAsia="宋体" w:hint="default"/>
          <w:sz w:val="10"/>
          <w:szCs w:val="10"/>
        </w:rPr>
      </w:pPr>
    </w:p>
    <w:p>
      <w:pPr>
        <w:spacing w:before="14"/>
        <w:ind w:left="3062" w:right="3077" w:firstLine="0"/>
        <w:jc w:val="center"/>
        <w:rPr>
          <w:rFonts w:ascii="宋体" w:hAnsi="宋体" w:cs="宋体" w:eastAsia="宋体" w:hint="default"/>
          <w:sz w:val="28"/>
          <w:szCs w:val="28"/>
        </w:rPr>
      </w:pPr>
      <w:r>
        <w:rPr>
          <w:rFonts w:ascii="宋体" w:hAnsi="宋体" w:cs="宋体" w:eastAsia="宋体" w:hint="default"/>
          <w:b/>
          <w:bCs/>
          <w:sz w:val="28"/>
          <w:szCs w:val="28"/>
        </w:rPr>
        <w:t>目录</w:t>
      </w:r>
      <w:r>
        <w:rPr>
          <w:rFonts w:ascii="宋体" w:hAnsi="宋体" w:cs="宋体" w:eastAsia="宋体" w:hint="default"/>
          <w:sz w:val="28"/>
          <w:szCs w:val="28"/>
        </w:rPr>
      </w:r>
    </w:p>
    <w:sdt>
      <w:sdtPr>
        <w:docPartObj>
          <w:docPartGallery w:val="Table of Contents"/>
          <w:docPartUnique/>
        </w:docPartObj>
      </w:sdtPr>
      <w:sdtEndPr/>
      <w:sdtContent>
        <w:p>
          <w:pPr>
            <w:pStyle w:val="TOC1"/>
            <w:tabs>
              <w:tab w:pos="1397" w:val="left" w:leader="none"/>
              <w:tab w:pos="8961" w:val="right" w:leader="dot"/>
            </w:tabs>
            <w:spacing w:line="240" w:lineRule="auto" w:before="373"/>
            <w:ind w:right="0"/>
            <w:jc w:val="left"/>
            <w:rPr>
              <w:rFonts w:ascii="Times New Roman" w:hAnsi="Times New Roman" w:cs="Times New Roman" w:eastAsia="Times New Roman" w:hint="default"/>
              <w:b w:val="0"/>
              <w:bCs w:val="0"/>
            </w:rPr>
          </w:pPr>
          <w:r>
            <w:fldChar w:fldCharType="begin"/>
          </w:r>
          <w:r>
            <w:instrText>TOC \o "1-1" \h \z \u </w:instrText>
          </w:r>
          <w:r>
            <w:fldChar w:fldCharType="separate"/>
          </w:r>
          <w:hyperlink w:history="true" w:anchor="_TOC_250011">
            <w:r>
              <w:rPr/>
              <w:t>第一节</w:t>
              <w:tab/>
              <w:t>释义</w:t>
            </w:r>
            <w:r>
              <w:rPr>
                <w:rFonts w:ascii="Times New Roman" w:hAnsi="Times New Roman" w:cs="Times New Roman" w:eastAsia="Times New Roman" w:hint="default"/>
              </w:rPr>
              <w:tab/>
              <w:t>8</w:t>
            </w:r>
            <w:r>
              <w:rPr>
                <w:rFonts w:ascii="Times New Roman" w:hAnsi="Times New Roman" w:cs="Times New Roman" w:eastAsia="Times New Roman" w:hint="default"/>
                <w:b w:val="0"/>
                <w:bCs w:val="0"/>
              </w:rPr>
            </w:r>
          </w:hyperlink>
        </w:p>
        <w:p>
          <w:pPr>
            <w:pStyle w:val="TOC1"/>
            <w:tabs>
              <w:tab w:pos="1397" w:val="left" w:leader="none"/>
              <w:tab w:pos="8961" w:val="right" w:leader="dot"/>
            </w:tabs>
            <w:spacing w:line="240" w:lineRule="auto"/>
            <w:ind w:right="0"/>
            <w:jc w:val="left"/>
            <w:rPr>
              <w:rFonts w:ascii="Times New Roman" w:hAnsi="Times New Roman" w:cs="Times New Roman" w:eastAsia="Times New Roman" w:hint="default"/>
              <w:b w:val="0"/>
              <w:bCs w:val="0"/>
            </w:rPr>
          </w:pPr>
          <w:hyperlink w:history="true" w:anchor="_TOC_250010">
            <w:r>
              <w:rPr/>
              <w:t>第二节</w:t>
              <w:tab/>
              <w:t>公司简介和主要财务指标</w:t>
            </w:r>
            <w:r>
              <w:rPr>
                <w:rFonts w:ascii="Times New Roman" w:hAnsi="Times New Roman" w:cs="Times New Roman" w:eastAsia="Times New Roman" w:hint="default"/>
              </w:rPr>
              <w:tab/>
              <w:t>9</w:t>
            </w:r>
            <w:r>
              <w:rPr>
                <w:rFonts w:ascii="Times New Roman" w:hAnsi="Times New Roman" w:cs="Times New Roman" w:eastAsia="Times New Roman" w:hint="default"/>
                <w:b w:val="0"/>
                <w:bCs w:val="0"/>
              </w:rPr>
            </w:r>
          </w:hyperlink>
        </w:p>
        <w:p>
          <w:pPr>
            <w:pStyle w:val="TOC1"/>
            <w:tabs>
              <w:tab w:pos="1397" w:val="left" w:leader="none"/>
              <w:tab w:pos="8961" w:val="right" w:leader="dot"/>
            </w:tabs>
            <w:spacing w:line="240" w:lineRule="auto"/>
            <w:ind w:right="0"/>
            <w:jc w:val="left"/>
            <w:rPr>
              <w:rFonts w:ascii="Times New Roman" w:hAnsi="Times New Roman" w:cs="Times New Roman" w:eastAsia="Times New Roman" w:hint="default"/>
              <w:b w:val="0"/>
              <w:bCs w:val="0"/>
            </w:rPr>
          </w:pPr>
          <w:hyperlink w:history="true" w:anchor="_TOC_250009">
            <w:r>
              <w:rPr/>
              <w:t>第三节</w:t>
              <w:tab/>
              <w:t>公司业务概要</w:t>
            </w:r>
            <w:r>
              <w:rPr>
                <w:rFonts w:ascii="Times New Roman" w:hAnsi="Times New Roman" w:cs="Times New Roman" w:eastAsia="Times New Roman" w:hint="default"/>
              </w:rPr>
              <w:tab/>
              <w:t>13</w:t>
            </w:r>
            <w:r>
              <w:rPr>
                <w:rFonts w:ascii="Times New Roman" w:hAnsi="Times New Roman" w:cs="Times New Roman" w:eastAsia="Times New Roman" w:hint="default"/>
                <w:b w:val="0"/>
                <w:bCs w:val="0"/>
              </w:rPr>
            </w:r>
          </w:hyperlink>
        </w:p>
        <w:p>
          <w:pPr>
            <w:pStyle w:val="TOC1"/>
            <w:tabs>
              <w:tab w:pos="1397" w:val="left" w:leader="none"/>
              <w:tab w:pos="8961" w:val="right" w:leader="dot"/>
            </w:tabs>
            <w:spacing w:line="240" w:lineRule="auto" w:before="119"/>
            <w:ind w:right="0"/>
            <w:jc w:val="left"/>
            <w:rPr>
              <w:rFonts w:ascii="Times New Roman" w:hAnsi="Times New Roman" w:cs="Times New Roman" w:eastAsia="Times New Roman" w:hint="default"/>
              <w:b w:val="0"/>
              <w:bCs w:val="0"/>
            </w:rPr>
          </w:pPr>
          <w:hyperlink w:history="true" w:anchor="_TOC_250008">
            <w:r>
              <w:rPr/>
              <w:t>第四节</w:t>
              <w:tab/>
              <w:t>经营情况讨论与分析</w:t>
            </w:r>
            <w:r>
              <w:rPr>
                <w:rFonts w:ascii="Times New Roman" w:hAnsi="Times New Roman" w:cs="Times New Roman" w:eastAsia="Times New Roman" w:hint="default"/>
              </w:rPr>
              <w:tab/>
              <w:t>24</w:t>
            </w:r>
            <w:r>
              <w:rPr>
                <w:rFonts w:ascii="Times New Roman" w:hAnsi="Times New Roman" w:cs="Times New Roman" w:eastAsia="Times New Roman" w:hint="default"/>
                <w:b w:val="0"/>
                <w:bCs w:val="0"/>
              </w:rPr>
            </w:r>
          </w:hyperlink>
        </w:p>
        <w:p>
          <w:pPr>
            <w:pStyle w:val="TOC1"/>
            <w:tabs>
              <w:tab w:pos="1397" w:val="left" w:leader="none"/>
              <w:tab w:pos="8961" w:val="right" w:leader="dot"/>
            </w:tabs>
            <w:spacing w:line="240" w:lineRule="auto"/>
            <w:ind w:right="0"/>
            <w:jc w:val="left"/>
            <w:rPr>
              <w:rFonts w:ascii="Times New Roman" w:hAnsi="Times New Roman" w:cs="Times New Roman" w:eastAsia="Times New Roman" w:hint="default"/>
              <w:b w:val="0"/>
              <w:bCs w:val="0"/>
            </w:rPr>
          </w:pPr>
          <w:hyperlink w:history="true" w:anchor="_TOC_250007">
            <w:r>
              <w:rPr/>
              <w:t>第五节</w:t>
              <w:tab/>
              <w:t>重要事项</w:t>
            </w:r>
            <w:r>
              <w:rPr>
                <w:rFonts w:ascii="Times New Roman" w:hAnsi="Times New Roman" w:cs="Times New Roman" w:eastAsia="Times New Roman" w:hint="default"/>
              </w:rPr>
              <w:tab/>
              <w:t>45</w:t>
            </w:r>
            <w:r>
              <w:rPr>
                <w:rFonts w:ascii="Times New Roman" w:hAnsi="Times New Roman" w:cs="Times New Roman" w:eastAsia="Times New Roman" w:hint="default"/>
                <w:b w:val="0"/>
                <w:bCs w:val="0"/>
              </w:rPr>
            </w:r>
          </w:hyperlink>
        </w:p>
        <w:p>
          <w:pPr>
            <w:pStyle w:val="TOC1"/>
            <w:tabs>
              <w:tab w:pos="1397" w:val="left" w:leader="none"/>
              <w:tab w:pos="8961" w:val="right" w:leader="dot"/>
            </w:tabs>
            <w:spacing w:line="240" w:lineRule="auto"/>
            <w:ind w:right="0"/>
            <w:jc w:val="left"/>
            <w:rPr>
              <w:rFonts w:ascii="Times New Roman" w:hAnsi="Times New Roman" w:cs="Times New Roman" w:eastAsia="Times New Roman" w:hint="default"/>
              <w:b w:val="0"/>
              <w:bCs w:val="0"/>
            </w:rPr>
          </w:pPr>
          <w:hyperlink w:history="true" w:anchor="_TOC_250006">
            <w:r>
              <w:rPr/>
              <w:t>第六节</w:t>
              <w:tab/>
              <w:t>普通股股份变动及股东情况</w:t>
            </w:r>
            <w:r>
              <w:rPr>
                <w:rFonts w:ascii="Times New Roman" w:hAnsi="Times New Roman" w:cs="Times New Roman" w:eastAsia="Times New Roman" w:hint="default"/>
              </w:rPr>
              <w:tab/>
              <w:t>54</w:t>
            </w:r>
            <w:r>
              <w:rPr>
                <w:rFonts w:ascii="Times New Roman" w:hAnsi="Times New Roman" w:cs="Times New Roman" w:eastAsia="Times New Roman" w:hint="default"/>
                <w:b w:val="0"/>
                <w:bCs w:val="0"/>
              </w:rPr>
            </w:r>
          </w:hyperlink>
        </w:p>
        <w:p>
          <w:pPr>
            <w:pStyle w:val="TOC1"/>
            <w:tabs>
              <w:tab w:pos="1397" w:val="left" w:leader="none"/>
              <w:tab w:pos="8961" w:val="right" w:leader="dot"/>
            </w:tabs>
            <w:spacing w:line="240" w:lineRule="auto" w:before="118"/>
            <w:ind w:right="0"/>
            <w:jc w:val="left"/>
            <w:rPr>
              <w:rFonts w:ascii="Times New Roman" w:hAnsi="Times New Roman" w:cs="Times New Roman" w:eastAsia="Times New Roman" w:hint="default"/>
              <w:b w:val="0"/>
              <w:bCs w:val="0"/>
            </w:rPr>
          </w:pPr>
          <w:hyperlink w:history="true" w:anchor="_TOC_250005">
            <w:r>
              <w:rPr/>
              <w:t>第七节</w:t>
              <w:tab/>
              <w:t>优先股相关情况</w:t>
            </w:r>
            <w:r>
              <w:rPr>
                <w:rFonts w:ascii="Times New Roman" w:hAnsi="Times New Roman" w:cs="Times New Roman" w:eastAsia="Times New Roman" w:hint="default"/>
              </w:rPr>
              <w:tab/>
              <w:t>61</w:t>
            </w:r>
            <w:r>
              <w:rPr>
                <w:rFonts w:ascii="Times New Roman" w:hAnsi="Times New Roman" w:cs="Times New Roman" w:eastAsia="Times New Roman" w:hint="default"/>
                <w:b w:val="0"/>
                <w:bCs w:val="0"/>
              </w:rPr>
            </w:r>
          </w:hyperlink>
        </w:p>
        <w:p>
          <w:pPr>
            <w:pStyle w:val="TOC1"/>
            <w:tabs>
              <w:tab w:pos="1397" w:val="left" w:leader="none"/>
              <w:tab w:pos="8961" w:val="right" w:leader="dot"/>
            </w:tabs>
            <w:spacing w:line="240" w:lineRule="auto" w:before="119"/>
            <w:ind w:right="0"/>
            <w:jc w:val="left"/>
            <w:rPr>
              <w:rFonts w:ascii="Times New Roman" w:hAnsi="Times New Roman" w:cs="Times New Roman" w:eastAsia="Times New Roman" w:hint="default"/>
              <w:b w:val="0"/>
              <w:bCs w:val="0"/>
            </w:rPr>
          </w:pPr>
          <w:hyperlink w:history="true" w:anchor="_TOC_250004">
            <w:r>
              <w:rPr/>
              <w:t>第八节</w:t>
              <w:tab/>
              <w:t>董事、监事、高级管理人员和员工情况</w:t>
            </w:r>
            <w:r>
              <w:rPr>
                <w:rFonts w:ascii="Times New Roman" w:hAnsi="Times New Roman" w:cs="Times New Roman" w:eastAsia="Times New Roman" w:hint="default"/>
              </w:rPr>
              <w:tab/>
              <w:t>62</w:t>
            </w:r>
            <w:r>
              <w:rPr>
                <w:rFonts w:ascii="Times New Roman" w:hAnsi="Times New Roman" w:cs="Times New Roman" w:eastAsia="Times New Roman" w:hint="default"/>
                <w:b w:val="0"/>
                <w:bCs w:val="0"/>
              </w:rPr>
            </w:r>
          </w:hyperlink>
        </w:p>
        <w:p>
          <w:pPr>
            <w:pStyle w:val="TOC1"/>
            <w:tabs>
              <w:tab w:pos="1397" w:val="left" w:leader="none"/>
              <w:tab w:pos="8961" w:val="right" w:leader="dot"/>
            </w:tabs>
            <w:spacing w:line="240" w:lineRule="auto"/>
            <w:ind w:right="0"/>
            <w:jc w:val="left"/>
            <w:rPr>
              <w:rFonts w:ascii="Times New Roman" w:hAnsi="Times New Roman" w:cs="Times New Roman" w:eastAsia="Times New Roman" w:hint="default"/>
              <w:b w:val="0"/>
              <w:bCs w:val="0"/>
            </w:rPr>
          </w:pPr>
          <w:hyperlink w:history="true" w:anchor="_TOC_250003">
            <w:r>
              <w:rPr/>
              <w:t>第九节</w:t>
              <w:tab/>
              <w:t>公司治理</w:t>
            </w:r>
            <w:r>
              <w:rPr>
                <w:rFonts w:ascii="Times New Roman" w:hAnsi="Times New Roman" w:cs="Times New Roman" w:eastAsia="Times New Roman" w:hint="default"/>
              </w:rPr>
              <w:tab/>
              <w:t>74</w:t>
            </w:r>
            <w:r>
              <w:rPr>
                <w:rFonts w:ascii="Times New Roman" w:hAnsi="Times New Roman" w:cs="Times New Roman" w:eastAsia="Times New Roman" w:hint="default"/>
                <w:b w:val="0"/>
                <w:bCs w:val="0"/>
              </w:rPr>
            </w:r>
          </w:hyperlink>
        </w:p>
        <w:p>
          <w:pPr>
            <w:pStyle w:val="TOC1"/>
            <w:tabs>
              <w:tab w:pos="1397" w:val="left" w:leader="none"/>
              <w:tab w:pos="8961" w:val="right" w:leader="dot"/>
            </w:tabs>
            <w:spacing w:line="240" w:lineRule="auto"/>
            <w:ind w:right="0"/>
            <w:jc w:val="left"/>
            <w:rPr>
              <w:rFonts w:ascii="Times New Roman" w:hAnsi="Times New Roman" w:cs="Times New Roman" w:eastAsia="Times New Roman" w:hint="default"/>
              <w:b w:val="0"/>
              <w:bCs w:val="0"/>
            </w:rPr>
          </w:pPr>
          <w:hyperlink w:history="true" w:anchor="_TOC_250002">
            <w:r>
              <w:rPr/>
              <w:t>第十节</w:t>
              <w:tab/>
              <w:t>公司债券相关情况</w:t>
            </w:r>
            <w:r>
              <w:rPr>
                <w:rFonts w:ascii="Times New Roman" w:hAnsi="Times New Roman" w:cs="Times New Roman" w:eastAsia="Times New Roman" w:hint="default"/>
              </w:rPr>
              <w:tab/>
              <w:t>77</w:t>
            </w:r>
            <w:r>
              <w:rPr>
                <w:rFonts w:ascii="Times New Roman" w:hAnsi="Times New Roman" w:cs="Times New Roman" w:eastAsia="Times New Roman" w:hint="default"/>
                <w:b w:val="0"/>
                <w:bCs w:val="0"/>
              </w:rPr>
            </w:r>
          </w:hyperlink>
        </w:p>
        <w:p>
          <w:pPr>
            <w:pStyle w:val="TOC1"/>
            <w:tabs>
              <w:tab w:pos="1397" w:val="left" w:leader="none"/>
              <w:tab w:pos="8964" w:val="right" w:leader="dot"/>
            </w:tabs>
            <w:spacing w:line="240" w:lineRule="auto"/>
            <w:ind w:right="0"/>
            <w:jc w:val="left"/>
            <w:rPr>
              <w:rFonts w:ascii="Times New Roman" w:hAnsi="Times New Roman" w:cs="Times New Roman" w:eastAsia="Times New Roman" w:hint="default"/>
              <w:b w:val="0"/>
              <w:bCs w:val="0"/>
            </w:rPr>
          </w:pPr>
          <w:hyperlink w:history="true" w:anchor="_TOC_250001">
            <w:r>
              <w:rPr/>
              <w:t>第十一节</w:t>
              <w:tab/>
              <w:t>财务报告</w:t>
            </w:r>
            <w:r>
              <w:rPr>
                <w:rFonts w:ascii="Times New Roman" w:hAnsi="Times New Roman" w:cs="Times New Roman" w:eastAsia="Times New Roman" w:hint="default"/>
              </w:rPr>
              <w:tab/>
              <w:t>202</w:t>
            </w:r>
            <w:r>
              <w:rPr>
                <w:rFonts w:ascii="Times New Roman" w:hAnsi="Times New Roman" w:cs="Times New Roman" w:eastAsia="Times New Roman" w:hint="default"/>
                <w:b w:val="0"/>
                <w:bCs w:val="0"/>
              </w:rPr>
            </w:r>
          </w:hyperlink>
        </w:p>
        <w:p>
          <w:pPr>
            <w:pStyle w:val="TOC1"/>
            <w:tabs>
              <w:tab w:pos="1397" w:val="left" w:leader="none"/>
              <w:tab w:pos="8964" w:val="right" w:leader="dot"/>
            </w:tabs>
            <w:spacing w:line="240" w:lineRule="auto"/>
            <w:ind w:right="0"/>
            <w:jc w:val="left"/>
            <w:rPr>
              <w:rFonts w:ascii="Times New Roman" w:hAnsi="Times New Roman" w:cs="Times New Roman" w:eastAsia="Times New Roman" w:hint="default"/>
              <w:b w:val="0"/>
              <w:bCs w:val="0"/>
            </w:rPr>
          </w:pPr>
          <w:hyperlink w:history="true" w:anchor="_TOC_250000">
            <w:r>
              <w:rPr/>
              <w:t>第十二节</w:t>
              <w:tab/>
              <w:t>备查文件目录</w:t>
            </w:r>
            <w:r>
              <w:rPr>
                <w:rFonts w:ascii="Times New Roman" w:hAnsi="Times New Roman" w:cs="Times New Roman" w:eastAsia="Times New Roman" w:hint="default"/>
              </w:rPr>
              <w:tab/>
              <w:t>202</w:t>
            </w:r>
            <w:r>
              <w:rPr>
                <w:rFonts w:ascii="Times New Roman" w:hAnsi="Times New Roman" w:cs="Times New Roman" w:eastAsia="Times New Roman" w:hint="default"/>
                <w:b w:val="0"/>
                <w:bCs w:val="0"/>
              </w:rPr>
            </w:r>
          </w:hyperlink>
        </w:p>
        <w:p>
          <w:pPr/>
          <w:r>
            <w:fldChar w:fldCharType="end"/>
          </w:r>
        </w:p>
      </w:sdtContent>
    </w:sdt>
    <w:p>
      <w:pPr>
        <w:spacing w:after="0"/>
        <w:sectPr>
          <w:pgSz w:w="11910" w:h="16840"/>
          <w:pgMar w:header="855" w:footer="1195" w:top="1320" w:bottom="1380" w:left="1660" w:right="1120"/>
        </w:sectPr>
      </w:pPr>
    </w:p>
    <w:p>
      <w:pPr>
        <w:pStyle w:val="Heading1"/>
        <w:tabs>
          <w:tab w:pos="1321" w:val="left" w:leader="none"/>
        </w:tabs>
        <w:spacing w:line="240" w:lineRule="auto" w:before="203"/>
        <w:ind w:left="60" w:right="0"/>
        <w:jc w:val="center"/>
        <w:rPr>
          <w:b w:val="0"/>
          <w:bCs w:val="0"/>
        </w:rPr>
      </w:pPr>
      <w:bookmarkStart w:name="_TOC_250011" w:id="1"/>
      <w:r>
        <w:rPr>
          <w:w w:val="95"/>
        </w:rPr>
        <w:t>第一节</w:t>
        <w:tab/>
      </w:r>
      <w:r>
        <w:rPr/>
        <w:t>释义</w:t>
      </w:r>
      <w:bookmarkEnd w:id="1"/>
      <w:r>
        <w:rPr>
          <w:b w:val="0"/>
          <w:bCs w:val="0"/>
        </w:rPr>
      </w:r>
    </w:p>
    <w:p>
      <w:pPr>
        <w:pStyle w:val="BodyText"/>
        <w:spacing w:line="290" w:lineRule="auto" w:before="253"/>
        <w:ind w:right="2836"/>
        <w:jc w:val="left"/>
      </w:pPr>
      <w:r>
        <w:rPr>
          <w:rFonts w:ascii="宋体" w:hAnsi="宋体" w:cs="宋体" w:eastAsia="宋体" w:hint="default"/>
          <w:b/>
          <w:bCs/>
        </w:rPr>
        <w:t>一、</w:t>
      </w:r>
      <w:r>
        <w:rPr>
          <w:rFonts w:ascii="宋体" w:hAnsi="宋体" w:cs="宋体" w:eastAsia="宋体" w:hint="default"/>
          <w:b/>
          <w:bCs/>
          <w:spacing w:val="58"/>
        </w:rPr>
        <w:t> </w:t>
      </w:r>
      <w:r>
        <w:rPr>
          <w:rFonts w:ascii="宋体" w:hAnsi="宋体" w:cs="宋体" w:eastAsia="宋体" w:hint="default"/>
          <w:b/>
          <w:bCs/>
        </w:rPr>
        <w:t>释义</w:t>
      </w:r>
      <w:r>
        <w:rPr>
          <w:rFonts w:ascii="宋体" w:hAnsi="宋体" w:cs="宋体" w:eastAsia="宋体" w:hint="default"/>
          <w:b/>
          <w:bCs/>
          <w:w w:val="100"/>
        </w:rPr>
        <w:t> </w:t>
      </w:r>
      <w:r>
        <w:rPr>
          <w:spacing w:val="-2"/>
        </w:rPr>
        <w:t>在本报告书中，除非文义另有所指，下列词语具有如下含义：</w:t>
      </w:r>
    </w:p>
    <w:tbl>
      <w:tblPr>
        <w:tblW w:w="0" w:type="auto"/>
        <w:jc w:val="left"/>
        <w:tblInd w:w="105" w:type="dxa"/>
        <w:tblLayout w:type="fixed"/>
        <w:tblCellMar>
          <w:top w:w="0" w:type="dxa"/>
          <w:left w:w="0" w:type="dxa"/>
          <w:bottom w:w="0" w:type="dxa"/>
          <w:right w:w="0" w:type="dxa"/>
        </w:tblCellMar>
        <w:tblLook w:val="01E0"/>
      </w:tblPr>
      <w:tblGrid>
        <w:gridCol w:w="1980"/>
        <w:gridCol w:w="1136"/>
        <w:gridCol w:w="5708"/>
      </w:tblGrid>
      <w:tr>
        <w:trPr>
          <w:trHeight w:val="283" w:hRule="exact"/>
        </w:trPr>
        <w:tc>
          <w:tcPr>
            <w:tcW w:w="8824" w:type="dxa"/>
            <w:gridSpan w:val="3"/>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常用词语释义</w:t>
            </w:r>
          </w:p>
        </w:tc>
      </w:tr>
      <w:tr>
        <w:trPr>
          <w:trHeight w:val="554"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sz w:val="21"/>
              </w:rPr>
              <w:t>ERP</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1"/>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708"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 w:right="0"/>
              <w:jc w:val="left"/>
              <w:rPr>
                <w:rFonts w:ascii="宋体" w:hAnsi="宋体" w:cs="宋体" w:eastAsia="宋体" w:hint="default"/>
                <w:sz w:val="21"/>
                <w:szCs w:val="21"/>
              </w:rPr>
            </w:pPr>
            <w:r>
              <w:rPr>
                <w:rFonts w:ascii="宋体" w:hAnsi="宋体" w:cs="宋体" w:eastAsia="宋体" w:hint="default"/>
                <w:sz w:val="21"/>
                <w:szCs w:val="21"/>
              </w:rPr>
              <w:t>“企业资源计划”（</w:t>
            </w:r>
            <w:r>
              <w:rPr>
                <w:rFonts w:ascii="宋体" w:hAnsi="宋体" w:cs="宋体" w:eastAsia="宋体" w:hint="default"/>
                <w:sz w:val="21"/>
                <w:szCs w:val="21"/>
              </w:rPr>
              <w:t>Enterprise Resources</w:t>
            </w:r>
            <w:r>
              <w:rPr>
                <w:rFonts w:ascii="宋体" w:hAnsi="宋体" w:cs="宋体" w:eastAsia="宋体" w:hint="default"/>
                <w:spacing w:val="-77"/>
                <w:sz w:val="21"/>
                <w:szCs w:val="21"/>
              </w:rPr>
              <w:t> </w:t>
            </w:r>
            <w:r>
              <w:rPr>
                <w:rFonts w:ascii="宋体" w:hAnsi="宋体" w:cs="宋体" w:eastAsia="宋体" w:hint="default"/>
                <w:sz w:val="21"/>
                <w:szCs w:val="21"/>
              </w:rPr>
              <w:t>Planning</w:t>
            </w:r>
            <w:r>
              <w:rPr>
                <w:rFonts w:ascii="宋体" w:hAnsi="宋体" w:cs="宋体" w:eastAsia="宋体" w:hint="default"/>
                <w:sz w:val="21"/>
                <w:szCs w:val="21"/>
              </w:rPr>
              <w:t>）的英</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文缩写，是一种企业应用软件系统。</w:t>
            </w:r>
          </w:p>
        </w:tc>
      </w:tr>
      <w:tr>
        <w:trPr>
          <w:trHeight w:val="554"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sz w:val="21"/>
              </w:rPr>
              <w:t>HRM</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1"/>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708"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 w:right="0"/>
              <w:jc w:val="left"/>
              <w:rPr>
                <w:rFonts w:ascii="宋体" w:hAnsi="宋体" w:cs="宋体" w:eastAsia="宋体" w:hint="default"/>
                <w:sz w:val="21"/>
                <w:szCs w:val="21"/>
              </w:rPr>
            </w:pPr>
            <w:r>
              <w:rPr>
                <w:rFonts w:ascii="宋体" w:hAnsi="宋体" w:cs="宋体" w:eastAsia="宋体" w:hint="default"/>
                <w:sz w:val="21"/>
                <w:szCs w:val="21"/>
              </w:rPr>
              <w:t>“人力资源管理”（</w:t>
            </w:r>
            <w:r>
              <w:rPr>
                <w:rFonts w:ascii="宋体" w:hAnsi="宋体" w:cs="宋体" w:eastAsia="宋体" w:hint="default"/>
                <w:sz w:val="21"/>
                <w:szCs w:val="21"/>
              </w:rPr>
              <w:t>Human Resources</w:t>
            </w:r>
            <w:r>
              <w:rPr>
                <w:rFonts w:ascii="宋体" w:hAnsi="宋体" w:cs="宋体" w:eastAsia="宋体" w:hint="default"/>
                <w:spacing w:val="29"/>
                <w:sz w:val="21"/>
                <w:szCs w:val="21"/>
              </w:rPr>
              <w:t> </w:t>
            </w:r>
            <w:r>
              <w:rPr>
                <w:rFonts w:ascii="宋体" w:hAnsi="宋体" w:cs="宋体" w:eastAsia="宋体" w:hint="default"/>
                <w:sz w:val="21"/>
                <w:szCs w:val="21"/>
              </w:rPr>
              <w:t>Management</w:t>
            </w:r>
            <w:r>
              <w:rPr>
                <w:rFonts w:ascii="宋体" w:hAnsi="宋体" w:cs="宋体" w:eastAsia="宋体" w:hint="default"/>
                <w:sz w:val="21"/>
                <w:szCs w:val="21"/>
              </w:rPr>
              <w:t>）的英文</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缩写，是一种企业应用软件系统。</w:t>
            </w:r>
          </w:p>
        </w:tc>
      </w:tr>
      <w:tr>
        <w:trPr>
          <w:trHeight w:val="554"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sz w:val="21"/>
              </w:rPr>
              <w:t>OA</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1"/>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708"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 w:right="0"/>
              <w:jc w:val="left"/>
              <w:rPr>
                <w:rFonts w:ascii="宋体" w:hAnsi="宋体" w:cs="宋体" w:eastAsia="宋体" w:hint="default"/>
                <w:sz w:val="21"/>
                <w:szCs w:val="21"/>
              </w:rPr>
            </w:pPr>
            <w:r>
              <w:rPr>
                <w:rFonts w:ascii="宋体" w:hAnsi="宋体" w:cs="宋体" w:eastAsia="宋体" w:hint="default"/>
                <w:spacing w:val="-2"/>
                <w:sz w:val="21"/>
                <w:szCs w:val="21"/>
              </w:rPr>
              <w:t>“办公自动化”（</w:t>
            </w:r>
            <w:r>
              <w:rPr>
                <w:rFonts w:ascii="宋体" w:hAnsi="宋体" w:cs="宋体" w:eastAsia="宋体" w:hint="default"/>
                <w:spacing w:val="-2"/>
                <w:sz w:val="21"/>
                <w:szCs w:val="21"/>
              </w:rPr>
              <w:t>Office</w:t>
            </w:r>
            <w:r>
              <w:rPr>
                <w:rFonts w:ascii="宋体" w:hAnsi="宋体" w:cs="宋体" w:eastAsia="宋体" w:hint="default"/>
                <w:spacing w:val="-8"/>
                <w:sz w:val="21"/>
                <w:szCs w:val="21"/>
              </w:rPr>
              <w:t> </w:t>
            </w:r>
            <w:r>
              <w:rPr>
                <w:rFonts w:ascii="宋体" w:hAnsi="宋体" w:cs="宋体" w:eastAsia="宋体" w:hint="default"/>
                <w:spacing w:val="-2"/>
                <w:sz w:val="21"/>
                <w:szCs w:val="21"/>
              </w:rPr>
              <w:t>Automation</w:t>
            </w:r>
            <w:r>
              <w:rPr>
                <w:rFonts w:ascii="宋体" w:hAnsi="宋体" w:cs="宋体" w:eastAsia="宋体" w:hint="default"/>
                <w:spacing w:val="-2"/>
                <w:sz w:val="21"/>
                <w:szCs w:val="21"/>
              </w:rPr>
              <w:t>）的英文缩写，是一种</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企业应用软件系统。</w:t>
            </w:r>
          </w:p>
        </w:tc>
      </w:tr>
      <w:tr>
        <w:trPr>
          <w:trHeight w:val="555"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w:t>
            </w:r>
            <w:r>
              <w:rPr>
                <w:rFonts w:ascii="宋体" w:hAnsi="宋体" w:cs="宋体" w:eastAsia="宋体" w:hint="default"/>
                <w:spacing w:val="-57"/>
                <w:sz w:val="21"/>
                <w:szCs w:val="21"/>
              </w:rPr>
              <w:t> </w:t>
            </w:r>
            <w:r>
              <w:rPr>
                <w:rFonts w:ascii="宋体" w:hAnsi="宋体" w:cs="宋体" w:eastAsia="宋体" w:hint="default"/>
                <w:sz w:val="21"/>
                <w:szCs w:val="21"/>
              </w:rPr>
              <w:t>ERP-NC</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right="1"/>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708"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0" w:right="0"/>
              <w:jc w:val="left"/>
              <w:rPr>
                <w:rFonts w:ascii="宋体" w:hAnsi="宋体" w:cs="宋体" w:eastAsia="宋体" w:hint="default"/>
                <w:sz w:val="21"/>
                <w:szCs w:val="21"/>
              </w:rPr>
            </w:pPr>
            <w:r>
              <w:rPr>
                <w:rFonts w:ascii="宋体" w:hAnsi="宋体" w:cs="宋体" w:eastAsia="宋体" w:hint="default"/>
                <w:sz w:val="21"/>
                <w:szCs w:val="21"/>
              </w:rPr>
              <w:t>NC </w:t>
            </w:r>
            <w:r>
              <w:rPr>
                <w:rFonts w:ascii="宋体" w:hAnsi="宋体" w:cs="宋体" w:eastAsia="宋体" w:hint="default"/>
                <w:sz w:val="21"/>
                <w:szCs w:val="21"/>
              </w:rPr>
              <w:t>是“新世纪”（</w:t>
            </w:r>
            <w:r>
              <w:rPr>
                <w:rFonts w:ascii="宋体" w:hAnsi="宋体" w:cs="宋体" w:eastAsia="宋体" w:hint="default"/>
                <w:sz w:val="21"/>
                <w:szCs w:val="21"/>
              </w:rPr>
              <w:t>New</w:t>
            </w:r>
            <w:r>
              <w:rPr>
                <w:rFonts w:ascii="宋体" w:hAnsi="宋体" w:cs="宋体" w:eastAsia="宋体" w:hint="default"/>
                <w:spacing w:val="31"/>
                <w:sz w:val="21"/>
                <w:szCs w:val="21"/>
              </w:rPr>
              <w:t> </w:t>
            </w:r>
            <w:r>
              <w:rPr>
                <w:rFonts w:ascii="宋体" w:hAnsi="宋体" w:cs="宋体" w:eastAsia="宋体" w:hint="default"/>
                <w:sz w:val="21"/>
                <w:szCs w:val="21"/>
              </w:rPr>
              <w:t>Century</w:t>
            </w:r>
            <w:r>
              <w:rPr>
                <w:rFonts w:ascii="宋体" w:hAnsi="宋体" w:cs="宋体" w:eastAsia="宋体" w:hint="default"/>
                <w:sz w:val="21"/>
                <w:szCs w:val="21"/>
              </w:rPr>
              <w:t>）的英文缩写，公司推出的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面向大型客户的企业应用软件系列产品名称。</w:t>
            </w:r>
          </w:p>
        </w:tc>
      </w:tr>
      <w:tr>
        <w:trPr>
          <w:trHeight w:val="283"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w:t>
            </w:r>
            <w:r>
              <w:rPr>
                <w:rFonts w:ascii="宋体" w:hAnsi="宋体" w:cs="宋体" w:eastAsia="宋体" w:hint="default"/>
                <w:spacing w:val="-57"/>
                <w:sz w:val="21"/>
                <w:szCs w:val="21"/>
              </w:rPr>
              <w:t> </w:t>
            </w:r>
            <w:r>
              <w:rPr>
                <w:rFonts w:ascii="宋体" w:hAnsi="宋体" w:cs="宋体" w:eastAsia="宋体" w:hint="default"/>
                <w:sz w:val="21"/>
                <w:szCs w:val="21"/>
              </w:rPr>
              <w:t>ERP-U8</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1"/>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708"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公司推出的面向中型客户的企业应用软件系列产品名称。</w:t>
            </w:r>
          </w:p>
        </w:tc>
      </w:tr>
      <w:tr>
        <w:trPr>
          <w:trHeight w:val="283"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畅捷通系列产品</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1"/>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708"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公司推出的面向小微型客户的企业应用软件系列产品名称。</w:t>
            </w:r>
          </w:p>
        </w:tc>
      </w:tr>
      <w:tr>
        <w:trPr>
          <w:trHeight w:val="554"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sz w:val="21"/>
              </w:rPr>
              <w:t>CRM</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1"/>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708"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left="100" w:right="-5"/>
              <w:jc w:val="left"/>
              <w:rPr>
                <w:rFonts w:ascii="宋体" w:hAnsi="宋体" w:cs="宋体" w:eastAsia="宋体" w:hint="default"/>
                <w:sz w:val="21"/>
                <w:szCs w:val="21"/>
              </w:rPr>
            </w:pPr>
            <w:r>
              <w:rPr>
                <w:rFonts w:ascii="宋体" w:hAnsi="宋体" w:cs="宋体" w:eastAsia="宋体" w:hint="default"/>
                <w:w w:val="100"/>
                <w:sz w:val="21"/>
                <w:szCs w:val="21"/>
              </w:rPr>
              <w:t>“客</w:t>
            </w:r>
            <w:r>
              <w:rPr>
                <w:rFonts w:ascii="宋体" w:hAnsi="宋体" w:cs="宋体" w:eastAsia="宋体" w:hint="default"/>
                <w:spacing w:val="-3"/>
                <w:w w:val="100"/>
                <w:sz w:val="21"/>
                <w:szCs w:val="21"/>
              </w:rPr>
              <w:t>户</w:t>
            </w:r>
            <w:r>
              <w:rPr>
                <w:rFonts w:ascii="宋体" w:hAnsi="宋体" w:cs="宋体" w:eastAsia="宋体" w:hint="default"/>
                <w:w w:val="100"/>
                <w:sz w:val="21"/>
                <w:szCs w:val="21"/>
              </w:rPr>
              <w:t>关</w:t>
            </w:r>
            <w:r>
              <w:rPr>
                <w:rFonts w:ascii="宋体" w:hAnsi="宋体" w:cs="宋体" w:eastAsia="宋体" w:hint="default"/>
                <w:spacing w:val="-3"/>
                <w:w w:val="100"/>
                <w:sz w:val="21"/>
                <w:szCs w:val="21"/>
              </w:rPr>
              <w:t>系</w:t>
            </w:r>
            <w:r>
              <w:rPr>
                <w:rFonts w:ascii="宋体" w:hAnsi="宋体" w:cs="宋体" w:eastAsia="宋体" w:hint="default"/>
                <w:w w:val="100"/>
                <w:sz w:val="21"/>
                <w:szCs w:val="21"/>
              </w:rPr>
              <w:t>管</w:t>
            </w:r>
            <w:r>
              <w:rPr>
                <w:rFonts w:ascii="宋体" w:hAnsi="宋体" w:cs="宋体" w:eastAsia="宋体" w:hint="default"/>
                <w:spacing w:val="-3"/>
                <w:w w:val="100"/>
                <w:sz w:val="21"/>
                <w:szCs w:val="21"/>
              </w:rPr>
              <w:t>理</w:t>
            </w:r>
            <w:r>
              <w:rPr>
                <w:rFonts w:ascii="宋体" w:hAnsi="宋体" w:cs="宋体" w:eastAsia="宋体" w:hint="default"/>
                <w:w w:val="100"/>
                <w:sz w:val="21"/>
                <w:szCs w:val="21"/>
              </w:rPr>
              <w:t>软</w:t>
            </w:r>
            <w:r>
              <w:rPr>
                <w:rFonts w:ascii="宋体" w:hAnsi="宋体" w:cs="宋体" w:eastAsia="宋体" w:hint="default"/>
                <w:spacing w:val="-3"/>
                <w:w w:val="100"/>
                <w:sz w:val="21"/>
                <w:szCs w:val="21"/>
              </w:rPr>
              <w:t>件</w:t>
            </w:r>
            <w:r>
              <w:rPr>
                <w:rFonts w:ascii="宋体" w:hAnsi="宋体" w:cs="宋体" w:eastAsia="宋体" w:hint="default"/>
                <w:spacing w:val="-178"/>
                <w:w w:val="100"/>
                <w:sz w:val="21"/>
                <w:szCs w:val="21"/>
              </w:rPr>
              <w:t>”</w:t>
            </w:r>
            <w:r>
              <w:rPr>
                <w:rFonts w:ascii="宋体" w:hAnsi="宋体" w:cs="宋体" w:eastAsia="宋体" w:hint="default"/>
                <w:w w:val="100"/>
                <w:sz w:val="21"/>
                <w:szCs w:val="21"/>
              </w:rPr>
              <w:t>（</w:t>
            </w:r>
            <w:r>
              <w:rPr>
                <w:rFonts w:ascii="宋体" w:hAnsi="宋体" w:cs="宋体" w:eastAsia="宋体" w:hint="default"/>
                <w:spacing w:val="-3"/>
                <w:w w:val="100"/>
                <w:sz w:val="21"/>
                <w:szCs w:val="21"/>
              </w:rPr>
              <w:t>C</w:t>
            </w:r>
            <w:r>
              <w:rPr>
                <w:rFonts w:ascii="宋体" w:hAnsi="宋体" w:cs="宋体" w:eastAsia="宋体" w:hint="default"/>
                <w:w w:val="100"/>
                <w:sz w:val="21"/>
                <w:szCs w:val="21"/>
              </w:rPr>
              <w:t>u</w:t>
            </w:r>
            <w:r>
              <w:rPr>
                <w:rFonts w:ascii="宋体" w:hAnsi="宋体" w:cs="宋体" w:eastAsia="宋体" w:hint="default"/>
                <w:spacing w:val="-3"/>
                <w:w w:val="100"/>
                <w:sz w:val="21"/>
                <w:szCs w:val="21"/>
              </w:rPr>
              <w:t>s</w:t>
            </w:r>
            <w:r>
              <w:rPr>
                <w:rFonts w:ascii="宋体" w:hAnsi="宋体" w:cs="宋体" w:eastAsia="宋体" w:hint="default"/>
                <w:w w:val="100"/>
                <w:sz w:val="21"/>
                <w:szCs w:val="21"/>
              </w:rPr>
              <w:t>tomer</w:t>
            </w:r>
            <w:r>
              <w:rPr>
                <w:rFonts w:ascii="宋体" w:hAnsi="宋体" w:cs="宋体" w:eastAsia="宋体" w:hint="default"/>
                <w:spacing w:val="-55"/>
                <w:sz w:val="21"/>
                <w:szCs w:val="21"/>
              </w:rPr>
              <w:t> </w:t>
            </w:r>
            <w:r>
              <w:rPr>
                <w:rFonts w:ascii="宋体" w:hAnsi="宋体" w:cs="宋体" w:eastAsia="宋体" w:hint="default"/>
                <w:w w:val="100"/>
                <w:sz w:val="21"/>
                <w:szCs w:val="21"/>
              </w:rPr>
              <w:t>Rel</w:t>
            </w:r>
            <w:r>
              <w:rPr>
                <w:rFonts w:ascii="宋体" w:hAnsi="宋体" w:cs="宋体" w:eastAsia="宋体" w:hint="default"/>
                <w:spacing w:val="-3"/>
                <w:w w:val="100"/>
                <w:sz w:val="21"/>
                <w:szCs w:val="21"/>
              </w:rPr>
              <w:t>a</w:t>
            </w:r>
            <w:r>
              <w:rPr>
                <w:rFonts w:ascii="宋体" w:hAnsi="宋体" w:cs="宋体" w:eastAsia="宋体" w:hint="default"/>
                <w:w w:val="100"/>
                <w:sz w:val="21"/>
                <w:szCs w:val="21"/>
              </w:rPr>
              <w:t>tio</w:t>
            </w:r>
            <w:r>
              <w:rPr>
                <w:rFonts w:ascii="宋体" w:hAnsi="宋体" w:cs="宋体" w:eastAsia="宋体" w:hint="default"/>
                <w:spacing w:val="-3"/>
                <w:w w:val="100"/>
                <w:sz w:val="21"/>
                <w:szCs w:val="21"/>
              </w:rPr>
              <w:t>n</w:t>
            </w:r>
            <w:r>
              <w:rPr>
                <w:rFonts w:ascii="宋体" w:hAnsi="宋体" w:cs="宋体" w:eastAsia="宋体" w:hint="default"/>
                <w:w w:val="100"/>
                <w:sz w:val="21"/>
                <w:szCs w:val="21"/>
              </w:rPr>
              <w:t>ship</w:t>
            </w:r>
            <w:r>
              <w:rPr>
                <w:rFonts w:ascii="宋体" w:hAnsi="宋体" w:cs="宋体" w:eastAsia="宋体" w:hint="default"/>
                <w:spacing w:val="-55"/>
                <w:sz w:val="21"/>
                <w:szCs w:val="21"/>
              </w:rPr>
              <w:t> </w:t>
            </w:r>
            <w:r>
              <w:rPr>
                <w:rFonts w:ascii="宋体" w:hAnsi="宋体" w:cs="宋体" w:eastAsia="宋体" w:hint="default"/>
                <w:w w:val="100"/>
                <w:sz w:val="21"/>
                <w:szCs w:val="21"/>
              </w:rPr>
              <w:t>Man</w:t>
            </w:r>
            <w:r>
              <w:rPr>
                <w:rFonts w:ascii="宋体" w:hAnsi="宋体" w:cs="宋体" w:eastAsia="宋体" w:hint="default"/>
                <w:spacing w:val="-3"/>
                <w:w w:val="100"/>
                <w:sz w:val="21"/>
                <w:szCs w:val="21"/>
              </w:rPr>
              <w:t>ag</w:t>
            </w:r>
            <w:r>
              <w:rPr>
                <w:rFonts w:ascii="宋体" w:hAnsi="宋体" w:cs="宋体" w:eastAsia="宋体" w:hint="default"/>
                <w:w w:val="100"/>
                <w:sz w:val="21"/>
                <w:szCs w:val="21"/>
              </w:rPr>
              <w:t>ement</w:t>
            </w:r>
            <w:r>
              <w:rPr>
                <w:rFonts w:ascii="宋体" w:hAnsi="宋体" w:cs="宋体" w:eastAsia="宋体" w:hint="default"/>
                <w:w w:val="100"/>
                <w:sz w:val="21"/>
                <w:szCs w:val="21"/>
              </w:rPr>
              <w:t>）</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的英文缩写，是一种企业应用软件系统。</w:t>
            </w:r>
          </w:p>
        </w:tc>
      </w:tr>
      <w:tr>
        <w:trPr>
          <w:trHeight w:val="826"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sz w:val="21"/>
              </w:rPr>
              <w:t>PLM</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1"/>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708"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36"/>
                <w:sz w:val="21"/>
                <w:szCs w:val="21"/>
              </w:rPr>
              <w:t> </w:t>
            </w:r>
            <w:r>
              <w:rPr>
                <w:rFonts w:ascii="宋体" w:hAnsi="宋体" w:cs="宋体" w:eastAsia="宋体" w:hint="default"/>
                <w:sz w:val="21"/>
                <w:szCs w:val="21"/>
              </w:rPr>
              <w:t>产</w:t>
            </w:r>
            <w:r>
              <w:rPr>
                <w:rFonts w:ascii="宋体" w:hAnsi="宋体" w:cs="宋体" w:eastAsia="宋体" w:hint="default"/>
                <w:spacing w:val="-36"/>
                <w:sz w:val="21"/>
                <w:szCs w:val="21"/>
              </w:rPr>
              <w:t> </w:t>
            </w:r>
            <w:r>
              <w:rPr>
                <w:rFonts w:ascii="宋体" w:hAnsi="宋体" w:cs="宋体" w:eastAsia="宋体" w:hint="default"/>
                <w:sz w:val="21"/>
                <w:szCs w:val="21"/>
              </w:rPr>
              <w:t>品</w:t>
            </w:r>
            <w:r>
              <w:rPr>
                <w:rFonts w:ascii="宋体" w:hAnsi="宋体" w:cs="宋体" w:eastAsia="宋体" w:hint="default"/>
                <w:spacing w:val="-39"/>
                <w:sz w:val="21"/>
                <w:szCs w:val="21"/>
              </w:rPr>
              <w:t> </w:t>
            </w:r>
            <w:r>
              <w:rPr>
                <w:rFonts w:ascii="宋体" w:hAnsi="宋体" w:cs="宋体" w:eastAsia="宋体" w:hint="default"/>
                <w:sz w:val="21"/>
                <w:szCs w:val="21"/>
              </w:rPr>
              <w:t>生</w:t>
            </w:r>
            <w:r>
              <w:rPr>
                <w:rFonts w:ascii="宋体" w:hAnsi="宋体" w:cs="宋体" w:eastAsia="宋体" w:hint="default"/>
                <w:spacing w:val="-36"/>
                <w:sz w:val="21"/>
                <w:szCs w:val="21"/>
              </w:rPr>
              <w:t> </w:t>
            </w:r>
            <w:r>
              <w:rPr>
                <w:rFonts w:ascii="宋体" w:hAnsi="宋体" w:cs="宋体" w:eastAsia="宋体" w:hint="default"/>
                <w:sz w:val="21"/>
                <w:szCs w:val="21"/>
              </w:rPr>
              <w:t>命</w:t>
            </w:r>
            <w:r>
              <w:rPr>
                <w:rFonts w:ascii="宋体" w:hAnsi="宋体" w:cs="宋体" w:eastAsia="宋体" w:hint="default"/>
                <w:spacing w:val="-36"/>
                <w:sz w:val="21"/>
                <w:szCs w:val="21"/>
              </w:rPr>
              <w:t> </w:t>
            </w:r>
            <w:r>
              <w:rPr>
                <w:rFonts w:ascii="宋体" w:hAnsi="宋体" w:cs="宋体" w:eastAsia="宋体" w:hint="default"/>
                <w:sz w:val="21"/>
                <w:szCs w:val="21"/>
              </w:rPr>
              <w:t>周</w:t>
            </w:r>
            <w:r>
              <w:rPr>
                <w:rFonts w:ascii="宋体" w:hAnsi="宋体" w:cs="宋体" w:eastAsia="宋体" w:hint="default"/>
                <w:spacing w:val="-39"/>
                <w:sz w:val="21"/>
                <w:szCs w:val="21"/>
              </w:rPr>
              <w:t> </w:t>
            </w:r>
            <w:r>
              <w:rPr>
                <w:rFonts w:ascii="宋体" w:hAnsi="宋体" w:cs="宋体" w:eastAsia="宋体" w:hint="default"/>
                <w:sz w:val="21"/>
                <w:szCs w:val="21"/>
              </w:rPr>
              <w:t>期</w:t>
            </w:r>
            <w:r>
              <w:rPr>
                <w:rFonts w:ascii="宋体" w:hAnsi="宋体" w:cs="宋体" w:eastAsia="宋体" w:hint="default"/>
                <w:spacing w:val="-36"/>
                <w:sz w:val="21"/>
                <w:szCs w:val="21"/>
              </w:rPr>
              <w:t> </w:t>
            </w:r>
            <w:r>
              <w:rPr>
                <w:rFonts w:ascii="宋体" w:hAnsi="宋体" w:cs="宋体" w:eastAsia="宋体" w:hint="default"/>
                <w:sz w:val="21"/>
                <w:szCs w:val="21"/>
              </w:rPr>
              <w:t>管</w:t>
            </w:r>
            <w:r>
              <w:rPr>
                <w:rFonts w:ascii="宋体" w:hAnsi="宋体" w:cs="宋体" w:eastAsia="宋体" w:hint="default"/>
                <w:spacing w:val="-39"/>
                <w:sz w:val="21"/>
                <w:szCs w:val="21"/>
              </w:rPr>
              <w:t> </w:t>
            </w:r>
            <w:r>
              <w:rPr>
                <w:rFonts w:ascii="宋体" w:hAnsi="宋体" w:cs="宋体" w:eastAsia="宋体" w:hint="default"/>
                <w:sz w:val="21"/>
                <w:szCs w:val="21"/>
              </w:rPr>
              <w:t>理</w:t>
            </w:r>
            <w:r>
              <w:rPr>
                <w:rFonts w:ascii="宋体" w:hAnsi="宋体" w:cs="宋体" w:eastAsia="宋体" w:hint="default"/>
                <w:spacing w:val="-36"/>
                <w:sz w:val="21"/>
                <w:szCs w:val="21"/>
              </w:rPr>
              <w:t> </w:t>
            </w:r>
            <w:r>
              <w:rPr>
                <w:rFonts w:ascii="宋体" w:hAnsi="宋体" w:cs="宋体" w:eastAsia="宋体" w:hint="default"/>
                <w:sz w:val="21"/>
                <w:szCs w:val="21"/>
              </w:rPr>
              <w:t>软</w:t>
            </w:r>
            <w:r>
              <w:rPr>
                <w:rFonts w:ascii="宋体" w:hAnsi="宋体" w:cs="宋体" w:eastAsia="宋体" w:hint="default"/>
                <w:spacing w:val="-36"/>
                <w:sz w:val="21"/>
                <w:szCs w:val="21"/>
              </w:rPr>
              <w:t> </w:t>
            </w:r>
            <w:r>
              <w:rPr>
                <w:rFonts w:ascii="宋体" w:hAnsi="宋体" w:cs="宋体" w:eastAsia="宋体" w:hint="default"/>
                <w:sz w:val="21"/>
                <w:szCs w:val="21"/>
              </w:rPr>
              <w:t>件</w:t>
            </w:r>
            <w:r>
              <w:rPr>
                <w:rFonts w:ascii="宋体" w:hAnsi="宋体" w:cs="宋体" w:eastAsia="宋体" w:hint="default"/>
                <w:spacing w:val="-39"/>
                <w:sz w:val="21"/>
                <w:szCs w:val="21"/>
              </w:rPr>
              <w:t> </w:t>
            </w:r>
            <w:r>
              <w:rPr>
                <w:rFonts w:ascii="宋体" w:hAnsi="宋体" w:cs="宋体" w:eastAsia="宋体" w:hint="default"/>
                <w:sz w:val="21"/>
                <w:szCs w:val="21"/>
              </w:rPr>
              <w:t>”</w:t>
            </w:r>
            <w:r>
              <w:rPr>
                <w:rFonts w:ascii="宋体" w:hAnsi="宋体" w:cs="宋体" w:eastAsia="宋体" w:hint="default"/>
                <w:spacing w:val="-36"/>
                <w:sz w:val="21"/>
                <w:szCs w:val="21"/>
              </w:rPr>
              <w:t> </w:t>
            </w:r>
            <w:r>
              <w:rPr>
                <w:rFonts w:ascii="宋体" w:hAnsi="宋体" w:cs="宋体" w:eastAsia="宋体" w:hint="default"/>
                <w:sz w:val="21"/>
                <w:szCs w:val="21"/>
              </w:rPr>
              <w:t>（</w:t>
            </w:r>
            <w:r>
              <w:rPr>
                <w:rFonts w:ascii="宋体" w:hAnsi="宋体" w:cs="宋体" w:eastAsia="宋体" w:hint="default"/>
                <w:spacing w:val="-34"/>
                <w:sz w:val="21"/>
                <w:szCs w:val="21"/>
              </w:rPr>
              <w:t> </w:t>
            </w:r>
            <w:r>
              <w:rPr>
                <w:rFonts w:ascii="宋体" w:hAnsi="宋体" w:cs="宋体" w:eastAsia="宋体" w:hint="default"/>
                <w:sz w:val="21"/>
                <w:szCs w:val="21"/>
              </w:rPr>
              <w:t>Product</w:t>
            </w:r>
            <w:r>
              <w:rPr>
                <w:rFonts w:ascii="宋体" w:hAnsi="宋体" w:cs="宋体" w:eastAsia="宋体" w:hint="default"/>
                <w:spacing w:val="72"/>
                <w:sz w:val="21"/>
                <w:szCs w:val="21"/>
              </w:rPr>
              <w:t> </w:t>
            </w:r>
            <w:r>
              <w:rPr>
                <w:rFonts w:ascii="宋体" w:hAnsi="宋体" w:cs="宋体" w:eastAsia="宋体" w:hint="default"/>
                <w:sz w:val="21"/>
                <w:szCs w:val="21"/>
              </w:rPr>
              <w:t>Lifecycle</w:t>
            </w:r>
          </w:p>
          <w:p>
            <w:pPr>
              <w:pStyle w:val="TableParagraph"/>
              <w:spacing w:line="240" w:lineRule="auto"/>
              <w:ind w:left="100" w:right="100"/>
              <w:jc w:val="left"/>
              <w:rPr>
                <w:rFonts w:ascii="宋体" w:hAnsi="宋体" w:cs="宋体" w:eastAsia="宋体" w:hint="default"/>
                <w:sz w:val="21"/>
                <w:szCs w:val="21"/>
              </w:rPr>
            </w:pPr>
            <w:r>
              <w:rPr>
                <w:rFonts w:ascii="宋体" w:hAnsi="宋体" w:cs="宋体" w:eastAsia="宋体" w:hint="default"/>
                <w:sz w:val="21"/>
                <w:szCs w:val="21"/>
              </w:rPr>
              <w:t>Management</w:t>
            </w:r>
            <w:r>
              <w:rPr>
                <w:rFonts w:ascii="宋体" w:hAnsi="宋体" w:cs="宋体" w:eastAsia="宋体" w:hint="default"/>
                <w:sz w:val="21"/>
                <w:szCs w:val="21"/>
              </w:rPr>
              <w:t>）的英文缩写，是一种支持产品全生命周期信息</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创建、管理、分发和应用的解决方案。</w:t>
            </w:r>
          </w:p>
        </w:tc>
      </w:tr>
      <w:tr>
        <w:trPr>
          <w:trHeight w:val="828"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21"/>
                <w:szCs w:val="21"/>
              </w:rPr>
            </w:pPr>
            <w:r>
              <w:rPr>
                <w:rFonts w:ascii="宋体"/>
                <w:sz w:val="21"/>
              </w:rPr>
              <w:t>PDM</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1"/>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708"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0" w:right="-3"/>
              <w:jc w:val="left"/>
              <w:rPr>
                <w:rFonts w:ascii="宋体" w:hAnsi="宋体" w:cs="宋体" w:eastAsia="宋体" w:hint="default"/>
                <w:sz w:val="21"/>
                <w:szCs w:val="21"/>
              </w:rPr>
            </w:pPr>
            <w:r>
              <w:rPr>
                <w:rFonts w:ascii="宋体" w:hAnsi="宋体" w:cs="宋体" w:eastAsia="宋体" w:hint="default"/>
                <w:spacing w:val="-5"/>
                <w:sz w:val="21"/>
                <w:szCs w:val="21"/>
              </w:rPr>
              <w:t>“产品数据管理”（</w:t>
            </w:r>
            <w:r>
              <w:rPr>
                <w:rFonts w:ascii="宋体" w:hAnsi="宋体" w:cs="宋体" w:eastAsia="宋体" w:hint="default"/>
                <w:spacing w:val="-5"/>
                <w:sz w:val="21"/>
                <w:szCs w:val="21"/>
              </w:rPr>
              <w:t>Product </w:t>
            </w:r>
            <w:r>
              <w:rPr>
                <w:rFonts w:ascii="宋体" w:hAnsi="宋体" w:cs="宋体" w:eastAsia="宋体" w:hint="default"/>
                <w:sz w:val="21"/>
                <w:szCs w:val="21"/>
              </w:rPr>
              <w:t>Data</w:t>
            </w:r>
            <w:r>
              <w:rPr>
                <w:rFonts w:ascii="宋体" w:hAnsi="宋体" w:cs="宋体" w:eastAsia="宋体" w:hint="default"/>
                <w:spacing w:val="-51"/>
                <w:sz w:val="21"/>
                <w:szCs w:val="21"/>
              </w:rPr>
              <w:t> </w:t>
            </w:r>
            <w:r>
              <w:rPr>
                <w:rFonts w:ascii="宋体" w:hAnsi="宋体" w:cs="宋体" w:eastAsia="宋体" w:hint="default"/>
                <w:spacing w:val="-3"/>
                <w:sz w:val="21"/>
                <w:szCs w:val="21"/>
              </w:rPr>
              <w:t>Management</w:t>
            </w:r>
            <w:r>
              <w:rPr>
                <w:rFonts w:ascii="宋体" w:hAnsi="宋体" w:cs="宋体" w:eastAsia="宋体" w:hint="default"/>
                <w:spacing w:val="-3"/>
                <w:sz w:val="21"/>
                <w:szCs w:val="21"/>
              </w:rPr>
              <w:t>）的英文缩写，</w:t>
            </w:r>
          </w:p>
          <w:p>
            <w:pPr>
              <w:pStyle w:val="TableParagraph"/>
              <w:spacing w:line="240" w:lineRule="auto"/>
              <w:ind w:left="100" w:right="98"/>
              <w:jc w:val="left"/>
              <w:rPr>
                <w:rFonts w:ascii="宋体" w:hAnsi="宋体" w:cs="宋体" w:eastAsia="宋体" w:hint="default"/>
                <w:sz w:val="21"/>
                <w:szCs w:val="21"/>
              </w:rPr>
            </w:pPr>
            <w:r>
              <w:rPr>
                <w:rFonts w:ascii="宋体" w:hAnsi="宋体" w:cs="宋体" w:eastAsia="宋体" w:hint="default"/>
                <w:sz w:val="21"/>
                <w:szCs w:val="21"/>
              </w:rPr>
              <w:t>是一种以产品为核心，对产品相关的数据、过程、资源一体</w:t>
            </w:r>
            <w:r>
              <w:rPr>
                <w:rFonts w:ascii="宋体" w:hAnsi="宋体" w:cs="宋体" w:eastAsia="宋体" w:hint="default"/>
                <w:spacing w:val="-68"/>
                <w:sz w:val="21"/>
                <w:szCs w:val="21"/>
              </w:rPr>
              <w:t> </w:t>
            </w:r>
            <w:r>
              <w:rPr>
                <w:rFonts w:ascii="宋体" w:hAnsi="宋体" w:cs="宋体" w:eastAsia="宋体" w:hint="default"/>
                <w:spacing w:val="-68"/>
                <w:sz w:val="21"/>
                <w:szCs w:val="21"/>
              </w:rPr>
            </w:r>
            <w:r>
              <w:rPr>
                <w:rFonts w:ascii="宋体" w:hAnsi="宋体" w:cs="宋体" w:eastAsia="宋体" w:hint="default"/>
                <w:sz w:val="21"/>
                <w:szCs w:val="21"/>
              </w:rPr>
              <w:t>化集成管理的系统。</w:t>
            </w:r>
          </w:p>
        </w:tc>
      </w:tr>
      <w:tr>
        <w:trPr>
          <w:trHeight w:val="555"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sz w:val="21"/>
              </w:rPr>
              <w:t>CPD</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1"/>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708"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0" w:right="0"/>
              <w:jc w:val="left"/>
              <w:rPr>
                <w:rFonts w:ascii="宋体" w:hAnsi="宋体" w:cs="宋体" w:eastAsia="宋体" w:hint="default"/>
                <w:sz w:val="21"/>
                <w:szCs w:val="21"/>
              </w:rPr>
            </w:pPr>
            <w:r>
              <w:rPr>
                <w:rFonts w:ascii="宋体" w:hAnsi="宋体" w:cs="宋体" w:eastAsia="宋体" w:hint="default"/>
                <w:sz w:val="21"/>
                <w:szCs w:val="21"/>
              </w:rPr>
              <w:t>“集成产品开发”（</w:t>
            </w:r>
            <w:r>
              <w:rPr>
                <w:rFonts w:ascii="宋体" w:hAnsi="宋体" w:cs="宋体" w:eastAsia="宋体" w:hint="default"/>
                <w:sz w:val="21"/>
                <w:szCs w:val="21"/>
              </w:rPr>
              <w:t>Collaborative Product</w:t>
            </w:r>
            <w:r>
              <w:rPr>
                <w:rFonts w:ascii="宋体" w:hAnsi="宋体" w:cs="宋体" w:eastAsia="宋体" w:hint="default"/>
                <w:spacing w:val="-9"/>
                <w:sz w:val="21"/>
                <w:szCs w:val="21"/>
              </w:rPr>
              <w:t> </w:t>
            </w:r>
            <w:r>
              <w:rPr>
                <w:rFonts w:ascii="宋体" w:hAnsi="宋体" w:cs="宋体" w:eastAsia="宋体" w:hint="default"/>
                <w:sz w:val="21"/>
                <w:szCs w:val="21"/>
              </w:rPr>
              <w:t>Development</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的英文缩写</w:t>
            </w:r>
            <w:r>
              <w:rPr>
                <w:rFonts w:ascii="宋体" w:hAnsi="宋体" w:cs="宋体" w:eastAsia="宋体" w:hint="default"/>
                <w:sz w:val="21"/>
                <w:szCs w:val="21"/>
              </w:rPr>
              <w:t>,</w:t>
            </w:r>
            <w:r>
              <w:rPr>
                <w:rFonts w:ascii="宋体" w:hAnsi="宋体" w:cs="宋体" w:eastAsia="宋体" w:hint="default"/>
                <w:spacing w:val="-3"/>
                <w:sz w:val="21"/>
                <w:szCs w:val="21"/>
              </w:rPr>
              <w:t> </w:t>
            </w:r>
            <w:r>
              <w:rPr>
                <w:rFonts w:ascii="宋体" w:hAnsi="宋体" w:cs="宋体" w:eastAsia="宋体" w:hint="default"/>
                <w:sz w:val="21"/>
                <w:szCs w:val="21"/>
              </w:rPr>
              <w:t>是一种产品开发管理的应用系统。</w:t>
            </w:r>
          </w:p>
        </w:tc>
      </w:tr>
      <w:tr>
        <w:trPr>
          <w:trHeight w:val="554"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sz w:val="21"/>
              </w:rPr>
              <w:t>EAM</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1"/>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708"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 w:right="0"/>
              <w:jc w:val="left"/>
              <w:rPr>
                <w:rFonts w:ascii="宋体" w:hAnsi="宋体" w:cs="宋体" w:eastAsia="宋体" w:hint="default"/>
                <w:sz w:val="21"/>
                <w:szCs w:val="21"/>
              </w:rPr>
            </w:pPr>
            <w:r>
              <w:rPr>
                <w:rFonts w:ascii="宋体" w:hAnsi="宋体" w:cs="宋体" w:eastAsia="宋体" w:hint="default"/>
                <w:sz w:val="21"/>
                <w:szCs w:val="21"/>
              </w:rPr>
              <w:t>“企业资产管理”（</w:t>
            </w:r>
            <w:r>
              <w:rPr>
                <w:rFonts w:ascii="宋体" w:hAnsi="宋体" w:cs="宋体" w:eastAsia="宋体" w:hint="default"/>
                <w:sz w:val="21"/>
                <w:szCs w:val="21"/>
              </w:rPr>
              <w:t>Enterprise Asset</w:t>
            </w:r>
            <w:r>
              <w:rPr>
                <w:rFonts w:ascii="宋体" w:hAnsi="宋体" w:cs="宋体" w:eastAsia="宋体" w:hint="default"/>
                <w:spacing w:val="-77"/>
                <w:sz w:val="21"/>
                <w:szCs w:val="21"/>
              </w:rPr>
              <w:t> </w:t>
            </w:r>
            <w:r>
              <w:rPr>
                <w:rFonts w:ascii="宋体" w:hAnsi="宋体" w:cs="宋体" w:eastAsia="宋体" w:hint="default"/>
                <w:sz w:val="21"/>
                <w:szCs w:val="21"/>
              </w:rPr>
              <w:t>Management</w:t>
            </w:r>
            <w:r>
              <w:rPr>
                <w:rFonts w:ascii="宋体" w:hAnsi="宋体" w:cs="宋体" w:eastAsia="宋体" w:hint="default"/>
                <w:sz w:val="21"/>
                <w:szCs w:val="21"/>
              </w:rPr>
              <w:t>）的英文</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缩写，是一种企业应用软件系统。</w:t>
            </w:r>
          </w:p>
        </w:tc>
      </w:tr>
      <w:tr>
        <w:trPr>
          <w:trHeight w:val="283"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sz w:val="21"/>
              </w:rPr>
              <w:t>iUAP</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1"/>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708"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0" w:right="0"/>
              <w:jc w:val="left"/>
              <w:rPr>
                <w:rFonts w:ascii="宋体" w:hAnsi="宋体" w:cs="宋体" w:eastAsia="宋体" w:hint="default"/>
                <w:sz w:val="21"/>
                <w:szCs w:val="21"/>
              </w:rPr>
            </w:pPr>
            <w:r>
              <w:rPr>
                <w:rFonts w:ascii="宋体" w:hAnsi="宋体" w:cs="宋体" w:eastAsia="宋体" w:hint="default"/>
                <w:sz w:val="21"/>
                <w:szCs w:val="21"/>
              </w:rPr>
              <w:t>是公司开发的面向大中型企业的企业互联网开放平台。</w:t>
            </w:r>
          </w:p>
        </w:tc>
      </w:tr>
      <w:tr>
        <w:trPr>
          <w:trHeight w:val="554"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21"/>
                <w:szCs w:val="21"/>
              </w:rPr>
            </w:pPr>
            <w:r>
              <w:rPr>
                <w:rFonts w:ascii="宋体" w:hAnsi="宋体" w:cs="宋体" w:eastAsia="宋体" w:hint="default"/>
                <w:spacing w:val="8"/>
                <w:sz w:val="21"/>
                <w:szCs w:val="21"/>
              </w:rPr>
              <w:t>小微企业云服务平</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台</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1"/>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708"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 w:right="0"/>
              <w:jc w:val="left"/>
              <w:rPr>
                <w:rFonts w:ascii="宋体" w:hAnsi="宋体" w:cs="宋体" w:eastAsia="宋体" w:hint="default"/>
                <w:sz w:val="21"/>
                <w:szCs w:val="21"/>
              </w:rPr>
            </w:pPr>
            <w:r>
              <w:rPr>
                <w:rFonts w:ascii="宋体" w:hAnsi="宋体" w:cs="宋体" w:eastAsia="宋体" w:hint="default"/>
                <w:sz w:val="21"/>
                <w:szCs w:val="21"/>
              </w:rPr>
              <w:t>是公司控股子公司畅捷通信息技术股份有限公司开发的面向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小型、微型企业的云服务平台。</w:t>
            </w:r>
          </w:p>
        </w:tc>
      </w:tr>
      <w:tr>
        <w:trPr>
          <w:trHeight w:val="554"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sz w:val="21"/>
              </w:rPr>
              <w:t>SaaS</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1"/>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708"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 w:right="0"/>
              <w:jc w:val="left"/>
              <w:rPr>
                <w:rFonts w:ascii="宋体" w:hAnsi="宋体" w:cs="宋体" w:eastAsia="宋体" w:hint="default"/>
                <w:sz w:val="21"/>
                <w:szCs w:val="21"/>
              </w:rPr>
            </w:pPr>
            <w:r>
              <w:rPr>
                <w:rFonts w:ascii="宋体" w:hAnsi="宋体" w:cs="宋体" w:eastAsia="宋体" w:hint="default"/>
                <w:sz w:val="21"/>
                <w:szCs w:val="21"/>
              </w:rPr>
              <w:t>“软件作为服务”（</w:t>
            </w:r>
            <w:r>
              <w:rPr>
                <w:rFonts w:ascii="宋体" w:hAnsi="宋体" w:cs="宋体" w:eastAsia="宋体" w:hint="default"/>
                <w:sz w:val="21"/>
                <w:szCs w:val="21"/>
              </w:rPr>
              <w:t>Software as a</w:t>
            </w:r>
            <w:r>
              <w:rPr>
                <w:rFonts w:ascii="宋体" w:hAnsi="宋体" w:cs="宋体" w:eastAsia="宋体" w:hint="default"/>
                <w:spacing w:val="-5"/>
                <w:sz w:val="21"/>
                <w:szCs w:val="21"/>
              </w:rPr>
              <w:t> </w:t>
            </w:r>
            <w:r>
              <w:rPr>
                <w:rFonts w:ascii="宋体" w:hAnsi="宋体" w:cs="宋体" w:eastAsia="宋体" w:hint="default"/>
                <w:sz w:val="21"/>
                <w:szCs w:val="21"/>
              </w:rPr>
              <w:t>Service</w:t>
            </w:r>
            <w:r>
              <w:rPr>
                <w:rFonts w:ascii="宋体" w:hAnsi="宋体" w:cs="宋体" w:eastAsia="宋体" w:hint="default"/>
                <w:sz w:val="21"/>
                <w:szCs w:val="21"/>
              </w:rPr>
              <w:t>）的英文缩写，</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是云计算模式下的应用软件服务。</w:t>
            </w:r>
          </w:p>
        </w:tc>
      </w:tr>
      <w:tr>
        <w:trPr>
          <w:trHeight w:val="554"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sz w:val="21"/>
              </w:rPr>
              <w:t>PaaS</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1"/>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708"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 w:right="0"/>
              <w:jc w:val="left"/>
              <w:rPr>
                <w:rFonts w:ascii="宋体" w:hAnsi="宋体" w:cs="宋体" w:eastAsia="宋体" w:hint="default"/>
                <w:sz w:val="21"/>
                <w:szCs w:val="21"/>
              </w:rPr>
            </w:pPr>
            <w:r>
              <w:rPr>
                <w:rFonts w:ascii="宋体" w:hAnsi="宋体" w:cs="宋体" w:eastAsia="宋体" w:hint="default"/>
                <w:sz w:val="21"/>
                <w:szCs w:val="21"/>
              </w:rPr>
              <w:t>“平台作为服务”（</w:t>
            </w:r>
            <w:r>
              <w:rPr>
                <w:rFonts w:ascii="宋体" w:hAnsi="宋体" w:cs="宋体" w:eastAsia="宋体" w:hint="default"/>
                <w:sz w:val="21"/>
                <w:szCs w:val="21"/>
              </w:rPr>
              <w:t>Platform as a</w:t>
            </w:r>
            <w:r>
              <w:rPr>
                <w:rFonts w:ascii="宋体" w:hAnsi="宋体" w:cs="宋体" w:eastAsia="宋体" w:hint="default"/>
                <w:spacing w:val="-5"/>
                <w:sz w:val="21"/>
                <w:szCs w:val="21"/>
              </w:rPr>
              <w:t> </w:t>
            </w:r>
            <w:r>
              <w:rPr>
                <w:rFonts w:ascii="宋体" w:hAnsi="宋体" w:cs="宋体" w:eastAsia="宋体" w:hint="default"/>
                <w:sz w:val="21"/>
                <w:szCs w:val="21"/>
              </w:rPr>
              <w:t>Service</w:t>
            </w:r>
            <w:r>
              <w:rPr>
                <w:rFonts w:ascii="宋体" w:hAnsi="宋体" w:cs="宋体" w:eastAsia="宋体" w:hint="default"/>
                <w:sz w:val="21"/>
                <w:szCs w:val="21"/>
              </w:rPr>
              <w:t>）的英文缩写，</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是云计算模式下的平台软件服务。</w:t>
            </w:r>
          </w:p>
        </w:tc>
      </w:tr>
      <w:tr>
        <w:trPr>
          <w:trHeight w:val="555"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sz w:val="21"/>
              </w:rPr>
              <w:t>ABU</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1"/>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708"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0" w:right="0"/>
              <w:jc w:val="left"/>
              <w:rPr>
                <w:rFonts w:ascii="宋体" w:hAnsi="宋体" w:cs="宋体" w:eastAsia="宋体" w:hint="default"/>
                <w:sz w:val="21"/>
                <w:szCs w:val="21"/>
              </w:rPr>
            </w:pPr>
            <w:r>
              <w:rPr>
                <w:rFonts w:ascii="宋体" w:hAnsi="宋体" w:cs="宋体" w:eastAsia="宋体" w:hint="default"/>
                <w:sz w:val="21"/>
                <w:szCs w:val="21"/>
              </w:rPr>
              <w:t>Account Business Unit</w:t>
            </w:r>
            <w:r>
              <w:rPr>
                <w:rFonts w:ascii="宋体" w:hAnsi="宋体" w:cs="宋体" w:eastAsia="宋体" w:hint="default"/>
                <w:spacing w:val="28"/>
                <w:sz w:val="21"/>
                <w:szCs w:val="21"/>
              </w:rPr>
              <w:t> </w:t>
            </w:r>
            <w:r>
              <w:rPr>
                <w:rFonts w:ascii="宋体" w:hAnsi="宋体" w:cs="宋体" w:eastAsia="宋体" w:hint="default"/>
                <w:sz w:val="21"/>
                <w:szCs w:val="21"/>
              </w:rPr>
              <w:t>的英文缩写，是针对公司级原型项</w:t>
            </w:r>
          </w:p>
          <w:p>
            <w:pPr>
              <w:pStyle w:val="TableParagraph"/>
              <w:spacing w:line="275" w:lineRule="exact"/>
              <w:ind w:left="100" w:right="0"/>
              <w:jc w:val="left"/>
              <w:rPr>
                <w:rFonts w:ascii="宋体" w:hAnsi="宋体" w:cs="宋体" w:eastAsia="宋体" w:hint="default"/>
                <w:sz w:val="21"/>
                <w:szCs w:val="21"/>
              </w:rPr>
            </w:pPr>
            <w:r>
              <w:rPr>
                <w:rFonts w:ascii="宋体" w:hAnsi="宋体" w:cs="宋体" w:eastAsia="宋体" w:hint="default"/>
                <w:sz w:val="21"/>
                <w:szCs w:val="21"/>
              </w:rPr>
              <w:t>目、战略项目建立的专属、独立的客户经营组织。</w:t>
            </w:r>
          </w:p>
        </w:tc>
      </w:tr>
      <w:tr>
        <w:trPr>
          <w:trHeight w:val="557"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21"/>
                <w:szCs w:val="21"/>
              </w:rPr>
            </w:pPr>
            <w:r>
              <w:rPr>
                <w:rFonts w:ascii="宋体"/>
                <w:sz w:val="21"/>
              </w:rPr>
              <w:t>SPS</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1"/>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708"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0" w:right="0"/>
              <w:jc w:val="left"/>
              <w:rPr>
                <w:rFonts w:ascii="宋体" w:hAnsi="宋体" w:cs="宋体" w:eastAsia="宋体" w:hint="default"/>
                <w:sz w:val="21"/>
                <w:szCs w:val="21"/>
              </w:rPr>
            </w:pPr>
            <w:r>
              <w:rPr>
                <w:rFonts w:ascii="宋体" w:hAnsi="宋体" w:cs="宋体" w:eastAsia="宋体" w:hint="default"/>
                <w:sz w:val="21"/>
                <w:szCs w:val="21"/>
              </w:rPr>
              <w:t>Standard Product Support</w:t>
            </w:r>
            <w:r>
              <w:rPr>
                <w:rFonts w:ascii="宋体" w:hAnsi="宋体" w:cs="宋体" w:eastAsia="宋体" w:hint="default"/>
                <w:spacing w:val="-76"/>
                <w:sz w:val="21"/>
                <w:szCs w:val="21"/>
              </w:rPr>
              <w:t> </w:t>
            </w:r>
            <w:r>
              <w:rPr>
                <w:rFonts w:ascii="宋体" w:hAnsi="宋体" w:cs="宋体" w:eastAsia="宋体" w:hint="default"/>
                <w:sz w:val="21"/>
                <w:szCs w:val="21"/>
              </w:rPr>
              <w:t>的英文缩写，是公司标准产品支</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持服务。</w:t>
            </w:r>
          </w:p>
        </w:tc>
      </w:tr>
      <w:tr>
        <w:trPr>
          <w:trHeight w:val="826"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工资</w:t>
            </w:r>
            <w:r>
              <w:rPr>
                <w:rFonts w:ascii="宋体" w:hAnsi="宋体" w:cs="宋体" w:eastAsia="宋体" w:hint="default"/>
                <w:sz w:val="21"/>
                <w:szCs w:val="21"/>
              </w:rPr>
              <w:t>+</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1"/>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708"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公司的控股子公司深圳前海用友力合金融服务有限公司与公</w:t>
            </w:r>
          </w:p>
          <w:p>
            <w:pPr>
              <w:pStyle w:val="TableParagraph"/>
              <w:spacing w:line="240" w:lineRule="auto"/>
              <w:ind w:left="100" w:right="100"/>
              <w:jc w:val="left"/>
              <w:rPr>
                <w:rFonts w:ascii="宋体" w:hAnsi="宋体" w:cs="宋体" w:eastAsia="宋体" w:hint="default"/>
                <w:sz w:val="21"/>
                <w:szCs w:val="21"/>
              </w:rPr>
            </w:pPr>
            <w:r>
              <w:rPr>
                <w:rFonts w:ascii="宋体" w:hAnsi="宋体" w:cs="宋体" w:eastAsia="宋体" w:hint="default"/>
                <w:sz w:val="21"/>
                <w:szCs w:val="21"/>
              </w:rPr>
              <w:t>司</w:t>
            </w:r>
            <w:r>
              <w:rPr>
                <w:rFonts w:ascii="宋体" w:hAnsi="宋体" w:cs="宋体" w:eastAsia="宋体" w:hint="default"/>
                <w:spacing w:val="15"/>
                <w:sz w:val="21"/>
                <w:szCs w:val="21"/>
              </w:rPr>
              <w:t> </w:t>
            </w:r>
            <w:r>
              <w:rPr>
                <w:rFonts w:ascii="宋体" w:hAnsi="宋体" w:cs="宋体" w:eastAsia="宋体" w:hint="default"/>
                <w:sz w:val="21"/>
                <w:szCs w:val="21"/>
              </w:rPr>
              <w:t>HR</w:t>
            </w:r>
            <w:r>
              <w:rPr>
                <w:rFonts w:ascii="宋体" w:hAnsi="宋体" w:cs="宋体" w:eastAsia="宋体" w:hint="default"/>
                <w:spacing w:val="15"/>
                <w:sz w:val="21"/>
                <w:szCs w:val="21"/>
              </w:rPr>
              <w:t> </w:t>
            </w:r>
            <w:r>
              <w:rPr>
                <w:rFonts w:ascii="宋体" w:hAnsi="宋体" w:cs="宋体" w:eastAsia="宋体" w:hint="default"/>
                <w:sz w:val="21"/>
                <w:szCs w:val="21"/>
              </w:rPr>
              <w:t>系统合作推出的为企业员工提供基于移动互联网的安</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全、便捷、可信的企业员工专享薪金理财服务。</w:t>
            </w:r>
          </w:p>
        </w:tc>
      </w:tr>
      <w:tr>
        <w:trPr>
          <w:trHeight w:val="554"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客户</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1"/>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708"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 w:right="0"/>
              <w:jc w:val="left"/>
              <w:rPr>
                <w:rFonts w:ascii="宋体" w:hAnsi="宋体" w:cs="宋体" w:eastAsia="宋体" w:hint="default"/>
                <w:sz w:val="21"/>
                <w:szCs w:val="21"/>
              </w:rPr>
            </w:pPr>
            <w:r>
              <w:rPr>
                <w:rFonts w:ascii="宋体" w:hAnsi="宋体" w:cs="宋体" w:eastAsia="宋体" w:hint="default"/>
                <w:sz w:val="21"/>
                <w:szCs w:val="21"/>
              </w:rPr>
              <w:t>购买和应用了用友网络的软件及服务、企业互联网服务、金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融服务的企业和公共组织。</w:t>
            </w:r>
          </w:p>
        </w:tc>
      </w:tr>
      <w:tr>
        <w:trPr>
          <w:trHeight w:val="557"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用户</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1"/>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5708"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 w:right="0"/>
              <w:jc w:val="left"/>
              <w:rPr>
                <w:rFonts w:ascii="宋体" w:hAnsi="宋体" w:cs="宋体" w:eastAsia="宋体" w:hint="default"/>
                <w:sz w:val="21"/>
                <w:szCs w:val="21"/>
              </w:rPr>
            </w:pPr>
            <w:r>
              <w:rPr>
                <w:rFonts w:ascii="宋体" w:hAnsi="宋体" w:cs="宋体" w:eastAsia="宋体" w:hint="default"/>
                <w:sz w:val="21"/>
                <w:szCs w:val="21"/>
              </w:rPr>
              <w:t>使用了用友网络的软件及软件服务、企业互联网服务、金融</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服务的个人，可能明确归属于某个客户或无确定客户归属。</w:t>
            </w:r>
          </w:p>
        </w:tc>
      </w:tr>
    </w:tbl>
    <w:p>
      <w:pPr>
        <w:spacing w:after="0" w:line="274" w:lineRule="exact"/>
        <w:jc w:val="left"/>
        <w:rPr>
          <w:rFonts w:ascii="宋体" w:hAnsi="宋体" w:cs="宋体" w:eastAsia="宋体" w:hint="default"/>
          <w:sz w:val="21"/>
          <w:szCs w:val="21"/>
        </w:rPr>
        <w:sectPr>
          <w:pgSz w:w="11910" w:h="16840"/>
          <w:pgMar w:header="855" w:footer="1195" w:top="1320" w:bottom="1380" w:left="1580" w:right="1120"/>
        </w:sectPr>
      </w:pPr>
    </w:p>
    <w:p>
      <w:pPr>
        <w:spacing w:line="240" w:lineRule="auto" w:before="12"/>
        <w:rPr>
          <w:rFonts w:ascii="宋体" w:hAnsi="宋体" w:cs="宋体" w:eastAsia="宋体" w:hint="default"/>
          <w:sz w:val="9"/>
          <w:szCs w:val="9"/>
        </w:rPr>
      </w:pPr>
    </w:p>
    <w:p>
      <w:pPr>
        <w:pStyle w:val="Heading1"/>
        <w:tabs>
          <w:tab w:pos="3717" w:val="left" w:leader="none"/>
        </w:tabs>
        <w:spacing w:line="240" w:lineRule="auto"/>
        <w:ind w:left="2457" w:right="147"/>
        <w:jc w:val="left"/>
        <w:rPr>
          <w:b w:val="0"/>
          <w:bCs w:val="0"/>
        </w:rPr>
      </w:pPr>
      <w:bookmarkStart w:name="_TOC_250010" w:id="2"/>
      <w:r>
        <w:rPr>
          <w:w w:val="95"/>
        </w:rPr>
        <w:t>第二节</w:t>
        <w:tab/>
      </w:r>
      <w:r>
        <w:rPr/>
        <w:t>公司简介和主要财务指标</w:t>
      </w:r>
      <w:bookmarkEnd w:id="2"/>
      <w:r>
        <w:rPr>
          <w:b w:val="0"/>
          <w:bCs w:val="0"/>
        </w:rPr>
      </w:r>
    </w:p>
    <w:p>
      <w:pPr>
        <w:spacing w:line="240" w:lineRule="auto" w:before="7"/>
        <w:rPr>
          <w:rFonts w:ascii="黑体" w:hAnsi="黑体" w:cs="黑体" w:eastAsia="黑体" w:hint="default"/>
          <w:b/>
          <w:bCs/>
          <w:sz w:val="16"/>
          <w:szCs w:val="16"/>
        </w:rPr>
      </w:pPr>
    </w:p>
    <w:p>
      <w:pPr>
        <w:pStyle w:val="Heading3"/>
        <w:spacing w:line="240" w:lineRule="auto" w:before="36"/>
        <w:ind w:right="147"/>
        <w:jc w:val="left"/>
        <w:rPr>
          <w:b w:val="0"/>
          <w:bCs w:val="0"/>
        </w:rPr>
      </w:pPr>
      <w:r>
        <w:rPr/>
        <w:t>一、</w:t>
      </w:r>
      <w:r>
        <w:rPr>
          <w:spacing w:val="40"/>
        </w:rPr>
        <w:t> </w:t>
      </w:r>
      <w:r>
        <w:rPr/>
        <w:t>公司信息</w:t>
      </w:r>
      <w:r>
        <w:rPr>
          <w:b w:val="0"/>
          <w:bCs w:val="0"/>
        </w:rPr>
      </w:r>
    </w:p>
    <w:p>
      <w:pPr>
        <w:spacing w:line="240" w:lineRule="auto" w:before="1"/>
        <w:rPr>
          <w:rFonts w:ascii="宋体" w:hAnsi="宋体" w:cs="宋体" w:eastAsia="宋体" w:hint="default"/>
          <w:b/>
          <w:bCs/>
          <w:sz w:val="7"/>
          <w:szCs w:val="7"/>
        </w:rPr>
      </w:pPr>
    </w:p>
    <w:tbl>
      <w:tblPr>
        <w:tblW w:w="0" w:type="auto"/>
        <w:jc w:val="left"/>
        <w:tblInd w:w="182" w:type="dxa"/>
        <w:tblLayout w:type="fixed"/>
        <w:tblCellMar>
          <w:top w:w="0" w:type="dxa"/>
          <w:left w:w="0" w:type="dxa"/>
          <w:bottom w:w="0" w:type="dxa"/>
          <w:right w:w="0" w:type="dxa"/>
        </w:tblCellMar>
        <w:tblLook w:val="01E0"/>
      </w:tblPr>
      <w:tblGrid>
        <w:gridCol w:w="3829"/>
        <w:gridCol w:w="4998"/>
      </w:tblGrid>
      <w:tr>
        <w:trPr>
          <w:trHeight w:val="302" w:hRule="exact"/>
        </w:trPr>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公司的中文名称</w:t>
            </w:r>
          </w:p>
        </w:tc>
        <w:tc>
          <w:tcPr>
            <w:tcW w:w="49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用友网络科技股份有限公司</w:t>
            </w:r>
          </w:p>
        </w:tc>
      </w:tr>
      <w:tr>
        <w:trPr>
          <w:trHeight w:val="302" w:hRule="exact"/>
        </w:trPr>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公司的中文简称</w:t>
            </w:r>
          </w:p>
        </w:tc>
        <w:tc>
          <w:tcPr>
            <w:tcW w:w="49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用友网络</w:t>
            </w:r>
          </w:p>
        </w:tc>
      </w:tr>
      <w:tr>
        <w:trPr>
          <w:trHeight w:val="305" w:hRule="exact"/>
        </w:trPr>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公司的外文名称</w:t>
            </w:r>
          </w:p>
        </w:tc>
        <w:tc>
          <w:tcPr>
            <w:tcW w:w="49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4" w:right="0"/>
              <w:jc w:val="left"/>
              <w:rPr>
                <w:rFonts w:ascii="宋体" w:hAnsi="宋体" w:cs="宋体" w:eastAsia="宋体" w:hint="default"/>
                <w:sz w:val="21"/>
                <w:szCs w:val="21"/>
              </w:rPr>
            </w:pPr>
            <w:r>
              <w:rPr>
                <w:rFonts w:ascii="宋体"/>
                <w:sz w:val="21"/>
              </w:rPr>
              <w:t>YONYOU NETWORK TECHNOLOGY</w:t>
            </w:r>
            <w:r>
              <w:rPr>
                <w:rFonts w:ascii="宋体"/>
                <w:spacing w:val="-4"/>
                <w:sz w:val="21"/>
              </w:rPr>
              <w:t> </w:t>
            </w:r>
            <w:r>
              <w:rPr>
                <w:rFonts w:ascii="宋体"/>
                <w:sz w:val="21"/>
              </w:rPr>
              <w:t>CO.,LTD.</w:t>
            </w:r>
          </w:p>
        </w:tc>
      </w:tr>
      <w:tr>
        <w:trPr>
          <w:trHeight w:val="302" w:hRule="exact"/>
        </w:trPr>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公司的外文名称缩写</w:t>
            </w:r>
          </w:p>
        </w:tc>
        <w:tc>
          <w:tcPr>
            <w:tcW w:w="49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sz w:val="21"/>
              </w:rPr>
              <w:t>yonyou</w:t>
            </w:r>
          </w:p>
        </w:tc>
      </w:tr>
      <w:tr>
        <w:trPr>
          <w:trHeight w:val="302" w:hRule="exact"/>
        </w:trPr>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公司的法定代表人</w:t>
            </w:r>
          </w:p>
        </w:tc>
        <w:tc>
          <w:tcPr>
            <w:tcW w:w="49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王文京</w:t>
            </w:r>
          </w:p>
        </w:tc>
      </w:tr>
    </w:tbl>
    <w:p>
      <w:pPr>
        <w:spacing w:line="240" w:lineRule="auto" w:before="2"/>
        <w:rPr>
          <w:rFonts w:ascii="宋体" w:hAnsi="宋体" w:cs="宋体" w:eastAsia="宋体" w:hint="default"/>
          <w:b/>
          <w:bCs/>
          <w:sz w:val="20"/>
          <w:szCs w:val="20"/>
        </w:rPr>
      </w:pPr>
    </w:p>
    <w:p>
      <w:pPr>
        <w:pStyle w:val="Heading3"/>
        <w:spacing w:line="240" w:lineRule="auto" w:before="36"/>
        <w:ind w:right="147"/>
        <w:jc w:val="left"/>
        <w:rPr>
          <w:b w:val="0"/>
          <w:bCs w:val="0"/>
        </w:rPr>
      </w:pPr>
      <w:r>
        <w:rPr/>
        <w:t>二、</w:t>
      </w:r>
      <w:r>
        <w:rPr>
          <w:spacing w:val="41"/>
        </w:rPr>
        <w:t> </w:t>
      </w:r>
      <w:r>
        <w:rPr/>
        <w:t>联系人和联系方式</w:t>
      </w:r>
      <w:r>
        <w:rPr>
          <w:b w:val="0"/>
          <w:bCs w:val="0"/>
        </w:rPr>
      </w:r>
    </w:p>
    <w:p>
      <w:pPr>
        <w:spacing w:line="240" w:lineRule="auto" w:before="12"/>
        <w:rPr>
          <w:rFonts w:ascii="宋体" w:hAnsi="宋体" w:cs="宋体" w:eastAsia="宋体" w:hint="default"/>
          <w:b/>
          <w:bCs/>
          <w:sz w:val="6"/>
          <w:szCs w:val="6"/>
        </w:rPr>
      </w:pPr>
    </w:p>
    <w:tbl>
      <w:tblPr>
        <w:tblW w:w="0" w:type="auto"/>
        <w:jc w:val="left"/>
        <w:tblInd w:w="182" w:type="dxa"/>
        <w:tblLayout w:type="fixed"/>
        <w:tblCellMar>
          <w:top w:w="0" w:type="dxa"/>
          <w:left w:w="0" w:type="dxa"/>
          <w:bottom w:w="0" w:type="dxa"/>
          <w:right w:w="0" w:type="dxa"/>
        </w:tblCellMar>
        <w:tblLook w:val="01E0"/>
      </w:tblPr>
      <w:tblGrid>
        <w:gridCol w:w="2941"/>
        <w:gridCol w:w="2943"/>
        <w:gridCol w:w="2943"/>
      </w:tblGrid>
      <w:tr>
        <w:trPr>
          <w:trHeight w:val="284" w:hRule="exact"/>
        </w:trPr>
        <w:tc>
          <w:tcPr>
            <w:tcW w:w="2941" w:type="dxa"/>
            <w:tcBorders>
              <w:top w:val="single" w:sz="4" w:space="0" w:color="000000"/>
              <w:left w:val="single" w:sz="4" w:space="0" w:color="000000"/>
              <w:bottom w:val="single" w:sz="4" w:space="0" w:color="000000"/>
              <w:right w:val="single" w:sz="4" w:space="0" w:color="000000"/>
            </w:tcBorders>
          </w:tcPr>
          <w:p>
            <w:pP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38" w:right="0"/>
              <w:jc w:val="left"/>
              <w:rPr>
                <w:rFonts w:ascii="宋体" w:hAnsi="宋体" w:cs="宋体" w:eastAsia="宋体" w:hint="default"/>
                <w:sz w:val="21"/>
                <w:szCs w:val="21"/>
              </w:rPr>
            </w:pPr>
            <w:r>
              <w:rPr>
                <w:rFonts w:ascii="宋体" w:hAnsi="宋体" w:cs="宋体" w:eastAsia="宋体" w:hint="default"/>
                <w:sz w:val="21"/>
                <w:szCs w:val="21"/>
              </w:rPr>
              <w:t>董事会秘书</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35" w:right="0"/>
              <w:jc w:val="left"/>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281"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欧阳青</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孙炎子</w:t>
            </w:r>
          </w:p>
        </w:tc>
      </w:tr>
      <w:tr>
        <w:trPr>
          <w:trHeight w:val="283"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联系地址</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宋体" w:hAnsi="宋体" w:cs="宋体" w:eastAsia="宋体" w:hint="default"/>
                <w:sz w:val="21"/>
                <w:szCs w:val="21"/>
              </w:rPr>
              <w:t>北京市海淀区北清路</w:t>
            </w:r>
            <w:r>
              <w:rPr>
                <w:rFonts w:ascii="宋体" w:hAnsi="宋体" w:cs="宋体" w:eastAsia="宋体" w:hint="default"/>
                <w:sz w:val="21"/>
                <w:szCs w:val="21"/>
              </w:rPr>
              <w:t>68</w:t>
            </w:r>
            <w:r>
              <w:rPr>
                <w:rFonts w:ascii="宋体" w:hAnsi="宋体" w:cs="宋体" w:eastAsia="宋体" w:hint="default"/>
                <w:sz w:val="21"/>
                <w:szCs w:val="21"/>
              </w:rPr>
              <w:t>号</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宋体" w:hAnsi="宋体" w:cs="宋体" w:eastAsia="宋体" w:hint="default"/>
                <w:sz w:val="21"/>
                <w:szCs w:val="21"/>
              </w:rPr>
              <w:t>北京市海淀区北清路</w:t>
            </w:r>
            <w:r>
              <w:rPr>
                <w:rFonts w:ascii="宋体" w:hAnsi="宋体" w:cs="宋体" w:eastAsia="宋体" w:hint="default"/>
                <w:sz w:val="21"/>
                <w:szCs w:val="21"/>
              </w:rPr>
              <w:t>68</w:t>
            </w:r>
            <w:r>
              <w:rPr>
                <w:rFonts w:ascii="宋体" w:hAnsi="宋体" w:cs="宋体" w:eastAsia="宋体" w:hint="default"/>
                <w:sz w:val="21"/>
                <w:szCs w:val="21"/>
              </w:rPr>
              <w:t>号</w:t>
            </w:r>
          </w:p>
        </w:tc>
      </w:tr>
      <w:tr>
        <w:trPr>
          <w:trHeight w:val="283"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电话</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sz w:val="21"/>
              </w:rPr>
              <w:t>010-62436838</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sz w:val="21"/>
              </w:rPr>
              <w:t>010-62436356</w:t>
            </w:r>
          </w:p>
        </w:tc>
      </w:tr>
      <w:tr>
        <w:trPr>
          <w:trHeight w:val="281"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传真</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sz w:val="21"/>
              </w:rPr>
              <w:t>010-62436639</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sz w:val="21"/>
              </w:rPr>
              <w:t>010-62436639</w:t>
            </w:r>
          </w:p>
        </w:tc>
      </w:tr>
      <w:tr>
        <w:trPr>
          <w:trHeight w:val="283"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hyperlink r:id="rId11">
              <w:r>
                <w:rPr>
                  <w:rFonts w:ascii="宋体"/>
                  <w:sz w:val="21"/>
                </w:rPr>
                <w:t>ir@yonyou.com</w:t>
              </w:r>
            </w:hyperlink>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hyperlink r:id="rId11">
              <w:r>
                <w:rPr>
                  <w:rFonts w:ascii="宋体"/>
                  <w:sz w:val="21"/>
                </w:rPr>
                <w:t>ir@yonyou.com</w:t>
              </w:r>
            </w:hyperlink>
          </w:p>
        </w:tc>
      </w:tr>
    </w:tbl>
    <w:p>
      <w:pPr>
        <w:spacing w:line="240" w:lineRule="auto" w:before="2"/>
        <w:rPr>
          <w:rFonts w:ascii="宋体" w:hAnsi="宋体" w:cs="宋体" w:eastAsia="宋体" w:hint="default"/>
          <w:b/>
          <w:bCs/>
          <w:sz w:val="20"/>
          <w:szCs w:val="20"/>
        </w:rPr>
      </w:pPr>
    </w:p>
    <w:p>
      <w:pPr>
        <w:pStyle w:val="Heading3"/>
        <w:spacing w:line="240" w:lineRule="auto" w:before="36"/>
        <w:ind w:right="147"/>
        <w:jc w:val="left"/>
        <w:rPr>
          <w:b w:val="0"/>
          <w:bCs w:val="0"/>
        </w:rPr>
      </w:pPr>
      <w:r>
        <w:rPr/>
        <w:t>三、</w:t>
      </w:r>
      <w:r>
        <w:rPr>
          <w:spacing w:val="-29"/>
        </w:rPr>
        <w:t> </w:t>
      </w:r>
      <w:r>
        <w:rPr/>
        <w:t>基本情况简介</w:t>
      </w:r>
      <w:r>
        <w:rPr>
          <w:b w:val="0"/>
          <w:bCs w:val="0"/>
        </w:rPr>
      </w:r>
    </w:p>
    <w:p>
      <w:pPr>
        <w:spacing w:line="240" w:lineRule="auto" w:before="12"/>
        <w:rPr>
          <w:rFonts w:ascii="宋体" w:hAnsi="宋体" w:cs="宋体" w:eastAsia="宋体" w:hint="default"/>
          <w:b/>
          <w:bCs/>
          <w:sz w:val="6"/>
          <w:szCs w:val="6"/>
        </w:rPr>
      </w:pPr>
    </w:p>
    <w:tbl>
      <w:tblPr>
        <w:tblW w:w="0" w:type="auto"/>
        <w:jc w:val="left"/>
        <w:tblInd w:w="182" w:type="dxa"/>
        <w:tblLayout w:type="fixed"/>
        <w:tblCellMar>
          <w:top w:w="0" w:type="dxa"/>
          <w:left w:w="0" w:type="dxa"/>
          <w:bottom w:w="0" w:type="dxa"/>
          <w:right w:w="0" w:type="dxa"/>
        </w:tblCellMar>
        <w:tblLook w:val="01E0"/>
      </w:tblPr>
      <w:tblGrid>
        <w:gridCol w:w="3829"/>
        <w:gridCol w:w="4998"/>
      </w:tblGrid>
      <w:tr>
        <w:trPr>
          <w:trHeight w:val="302" w:hRule="exact"/>
        </w:trPr>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公司注册地址</w:t>
            </w:r>
          </w:p>
        </w:tc>
        <w:tc>
          <w:tcPr>
            <w:tcW w:w="49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北京市海淀区北清路</w:t>
            </w:r>
            <w:r>
              <w:rPr>
                <w:rFonts w:ascii="宋体" w:hAnsi="宋体" w:cs="宋体" w:eastAsia="宋体" w:hint="default"/>
                <w:sz w:val="21"/>
                <w:szCs w:val="21"/>
              </w:rPr>
              <w:t>68</w:t>
            </w:r>
            <w:r>
              <w:rPr>
                <w:rFonts w:ascii="宋体" w:hAnsi="宋体" w:cs="宋体" w:eastAsia="宋体" w:hint="default"/>
                <w:sz w:val="21"/>
                <w:szCs w:val="21"/>
              </w:rPr>
              <w:t>号</w:t>
            </w:r>
          </w:p>
        </w:tc>
      </w:tr>
      <w:tr>
        <w:trPr>
          <w:trHeight w:val="305" w:hRule="exact"/>
        </w:trPr>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公司注册地址的邮政编码</w:t>
            </w:r>
          </w:p>
        </w:tc>
        <w:tc>
          <w:tcPr>
            <w:tcW w:w="49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4" w:right="0"/>
              <w:jc w:val="left"/>
              <w:rPr>
                <w:rFonts w:ascii="宋体" w:hAnsi="宋体" w:cs="宋体" w:eastAsia="宋体" w:hint="default"/>
                <w:sz w:val="21"/>
                <w:szCs w:val="21"/>
              </w:rPr>
            </w:pPr>
            <w:r>
              <w:rPr>
                <w:rFonts w:ascii="宋体"/>
                <w:sz w:val="21"/>
              </w:rPr>
              <w:t>100094</w:t>
            </w:r>
          </w:p>
        </w:tc>
      </w:tr>
      <w:tr>
        <w:trPr>
          <w:trHeight w:val="302" w:hRule="exact"/>
        </w:trPr>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公司办公地址</w:t>
            </w:r>
          </w:p>
        </w:tc>
        <w:tc>
          <w:tcPr>
            <w:tcW w:w="49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北京市海淀区北清路</w:t>
            </w:r>
            <w:r>
              <w:rPr>
                <w:rFonts w:ascii="宋体" w:hAnsi="宋体" w:cs="宋体" w:eastAsia="宋体" w:hint="default"/>
                <w:sz w:val="21"/>
                <w:szCs w:val="21"/>
              </w:rPr>
              <w:t>68</w:t>
            </w:r>
            <w:r>
              <w:rPr>
                <w:rFonts w:ascii="宋体" w:hAnsi="宋体" w:cs="宋体" w:eastAsia="宋体" w:hint="default"/>
                <w:sz w:val="21"/>
                <w:szCs w:val="21"/>
              </w:rPr>
              <w:t>号</w:t>
            </w:r>
          </w:p>
        </w:tc>
      </w:tr>
      <w:tr>
        <w:trPr>
          <w:trHeight w:val="303" w:hRule="exact"/>
        </w:trPr>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公司办公地址的邮政编码</w:t>
            </w:r>
          </w:p>
        </w:tc>
        <w:tc>
          <w:tcPr>
            <w:tcW w:w="49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sz w:val="21"/>
              </w:rPr>
              <w:t>100094</w:t>
            </w:r>
          </w:p>
        </w:tc>
      </w:tr>
      <w:tr>
        <w:trPr>
          <w:trHeight w:val="302" w:hRule="exact"/>
        </w:trPr>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公司网址</w:t>
            </w:r>
          </w:p>
        </w:tc>
        <w:tc>
          <w:tcPr>
            <w:tcW w:w="49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hyperlink r:id="rId12">
              <w:r>
                <w:rPr>
                  <w:rFonts w:ascii="宋体"/>
                  <w:sz w:val="21"/>
                </w:rPr>
                <w:t>http://www.yonyou.com</w:t>
              </w:r>
            </w:hyperlink>
          </w:p>
        </w:tc>
      </w:tr>
      <w:tr>
        <w:trPr>
          <w:trHeight w:val="305" w:hRule="exact"/>
        </w:trPr>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49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4" w:right="0"/>
              <w:jc w:val="left"/>
              <w:rPr>
                <w:rFonts w:ascii="宋体" w:hAnsi="宋体" w:cs="宋体" w:eastAsia="宋体" w:hint="default"/>
                <w:sz w:val="21"/>
                <w:szCs w:val="21"/>
              </w:rPr>
            </w:pPr>
            <w:hyperlink r:id="rId11">
              <w:r>
                <w:rPr>
                  <w:rFonts w:ascii="宋体"/>
                  <w:sz w:val="21"/>
                </w:rPr>
                <w:t>ir@yonyou.com</w:t>
              </w:r>
            </w:hyperlink>
          </w:p>
        </w:tc>
      </w:tr>
    </w:tbl>
    <w:p>
      <w:pPr>
        <w:spacing w:line="240" w:lineRule="auto" w:before="12"/>
        <w:rPr>
          <w:rFonts w:ascii="宋体" w:hAnsi="宋体" w:cs="宋体" w:eastAsia="宋体" w:hint="default"/>
          <w:b/>
          <w:bCs/>
          <w:sz w:val="19"/>
          <w:szCs w:val="19"/>
        </w:rPr>
      </w:pPr>
    </w:p>
    <w:p>
      <w:pPr>
        <w:pStyle w:val="Heading3"/>
        <w:spacing w:line="240" w:lineRule="auto" w:before="36"/>
        <w:ind w:right="147"/>
        <w:jc w:val="left"/>
        <w:rPr>
          <w:b w:val="0"/>
          <w:bCs w:val="0"/>
        </w:rPr>
      </w:pPr>
      <w:r>
        <w:rPr/>
        <w:t>四、</w:t>
      </w:r>
      <w:r>
        <w:rPr>
          <w:spacing w:val="-28"/>
        </w:rPr>
        <w:t> </w:t>
      </w:r>
      <w:r>
        <w:rPr/>
        <w:t>信息披露及备置地点</w:t>
      </w:r>
      <w:r>
        <w:rPr>
          <w:b w:val="0"/>
          <w:bCs w:val="0"/>
        </w:rPr>
      </w:r>
    </w:p>
    <w:p>
      <w:pPr>
        <w:spacing w:line="240" w:lineRule="auto" w:before="1"/>
        <w:rPr>
          <w:rFonts w:ascii="宋体" w:hAnsi="宋体" w:cs="宋体" w:eastAsia="宋体" w:hint="default"/>
          <w:b/>
          <w:bCs/>
          <w:sz w:val="7"/>
          <w:szCs w:val="7"/>
        </w:rPr>
      </w:pPr>
    </w:p>
    <w:tbl>
      <w:tblPr>
        <w:tblW w:w="0" w:type="auto"/>
        <w:jc w:val="left"/>
        <w:tblInd w:w="182" w:type="dxa"/>
        <w:tblLayout w:type="fixed"/>
        <w:tblCellMar>
          <w:top w:w="0" w:type="dxa"/>
          <w:left w:w="0" w:type="dxa"/>
          <w:bottom w:w="0" w:type="dxa"/>
          <w:right w:w="0" w:type="dxa"/>
        </w:tblCellMar>
        <w:tblLook w:val="01E0"/>
      </w:tblPr>
      <w:tblGrid>
        <w:gridCol w:w="4109"/>
        <w:gridCol w:w="4717"/>
      </w:tblGrid>
      <w:tr>
        <w:trPr>
          <w:trHeight w:val="554" w:hRule="exact"/>
        </w:trPr>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公司选定的信息披露媒体名称</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3" w:right="0"/>
              <w:jc w:val="left"/>
              <w:rPr>
                <w:rFonts w:ascii="宋体" w:hAnsi="宋体" w:cs="宋体" w:eastAsia="宋体" w:hint="default"/>
                <w:sz w:val="21"/>
                <w:szCs w:val="21"/>
              </w:rPr>
            </w:pPr>
            <w:r>
              <w:rPr>
                <w:rFonts w:ascii="宋体" w:hAnsi="宋体" w:cs="宋体" w:eastAsia="宋体" w:hint="default"/>
                <w:sz w:val="21"/>
                <w:szCs w:val="21"/>
              </w:rPr>
              <w:t>《上海证券报》、《中国证券报》、《证券时报》</w:t>
            </w:r>
          </w:p>
          <w:p>
            <w:pPr>
              <w:pStyle w:val="TableParagraph"/>
              <w:spacing w:line="273" w:lineRule="exact"/>
              <w:ind w:left="23" w:right="0"/>
              <w:jc w:val="left"/>
              <w:rPr>
                <w:rFonts w:ascii="宋体" w:hAnsi="宋体" w:cs="宋体" w:eastAsia="宋体" w:hint="default"/>
                <w:sz w:val="21"/>
                <w:szCs w:val="21"/>
              </w:rPr>
            </w:pPr>
            <w:r>
              <w:rPr>
                <w:rFonts w:ascii="宋体" w:hAnsi="宋体" w:cs="宋体" w:eastAsia="宋体" w:hint="default"/>
                <w:sz w:val="21"/>
                <w:szCs w:val="21"/>
              </w:rPr>
              <w:t>、《证券日报》</w:t>
            </w:r>
          </w:p>
        </w:tc>
      </w:tr>
      <w:tr>
        <w:trPr>
          <w:trHeight w:val="302" w:hRule="exact"/>
        </w:trPr>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登载年度报告的中国证监会指定网站的网址</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hyperlink r:id="rId13">
              <w:r>
                <w:rPr>
                  <w:rFonts w:ascii="宋体"/>
                  <w:sz w:val="21"/>
                </w:rPr>
                <w:t>http://www.sse.com.cn</w:t>
              </w:r>
            </w:hyperlink>
          </w:p>
        </w:tc>
      </w:tr>
      <w:tr>
        <w:trPr>
          <w:trHeight w:val="305" w:hRule="exact"/>
        </w:trPr>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公司年度报告备置地点</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公司证券与投资者关系部</w:t>
            </w:r>
          </w:p>
        </w:tc>
      </w:tr>
    </w:tbl>
    <w:p>
      <w:pPr>
        <w:spacing w:line="240" w:lineRule="auto" w:before="12"/>
        <w:rPr>
          <w:rFonts w:ascii="宋体" w:hAnsi="宋体" w:cs="宋体" w:eastAsia="宋体" w:hint="default"/>
          <w:b/>
          <w:bCs/>
          <w:sz w:val="19"/>
          <w:szCs w:val="19"/>
        </w:rPr>
      </w:pPr>
    </w:p>
    <w:p>
      <w:pPr>
        <w:pStyle w:val="Heading3"/>
        <w:spacing w:line="240" w:lineRule="auto" w:before="36"/>
        <w:ind w:right="147"/>
        <w:jc w:val="left"/>
        <w:rPr>
          <w:b w:val="0"/>
          <w:bCs w:val="0"/>
        </w:rPr>
      </w:pPr>
      <w:r>
        <w:rPr/>
        <w:t>五、</w:t>
      </w:r>
      <w:r>
        <w:rPr>
          <w:spacing w:val="41"/>
        </w:rPr>
        <w:t> </w:t>
      </w:r>
      <w:r>
        <w:rPr/>
        <w:t>公司股票简况</w:t>
      </w:r>
      <w:r>
        <w:rPr>
          <w:b w:val="0"/>
          <w:bCs w:val="0"/>
        </w:rPr>
      </w:r>
    </w:p>
    <w:p>
      <w:pPr>
        <w:spacing w:line="240" w:lineRule="auto" w:before="1"/>
        <w:rPr>
          <w:rFonts w:ascii="宋体" w:hAnsi="宋体" w:cs="宋体" w:eastAsia="宋体" w:hint="default"/>
          <w:b/>
          <w:bCs/>
          <w:sz w:val="7"/>
          <w:szCs w:val="7"/>
        </w:rPr>
      </w:pPr>
    </w:p>
    <w:tbl>
      <w:tblPr>
        <w:tblW w:w="0" w:type="auto"/>
        <w:jc w:val="left"/>
        <w:tblInd w:w="182" w:type="dxa"/>
        <w:tblLayout w:type="fixed"/>
        <w:tblCellMar>
          <w:top w:w="0" w:type="dxa"/>
          <w:left w:w="0" w:type="dxa"/>
          <w:bottom w:w="0" w:type="dxa"/>
          <w:right w:w="0" w:type="dxa"/>
        </w:tblCellMar>
        <w:tblLook w:val="01E0"/>
      </w:tblPr>
      <w:tblGrid>
        <w:gridCol w:w="1766"/>
        <w:gridCol w:w="1765"/>
        <w:gridCol w:w="1764"/>
        <w:gridCol w:w="1764"/>
        <w:gridCol w:w="1767"/>
      </w:tblGrid>
      <w:tr>
        <w:trPr>
          <w:trHeight w:val="303" w:hRule="exact"/>
        </w:trPr>
        <w:tc>
          <w:tcPr>
            <w:tcW w:w="8826" w:type="dxa"/>
            <w:gridSpan w:val="5"/>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公司股票简况</w:t>
            </w:r>
          </w:p>
        </w:tc>
      </w:tr>
      <w:tr>
        <w:trPr>
          <w:trHeight w:val="302" w:hRule="exact"/>
        </w:trPr>
        <w:tc>
          <w:tcPr>
            <w:tcW w:w="17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58" w:right="0"/>
              <w:jc w:val="left"/>
              <w:rPr>
                <w:rFonts w:ascii="宋体" w:hAnsi="宋体" w:cs="宋体" w:eastAsia="宋体" w:hint="default"/>
                <w:sz w:val="21"/>
                <w:szCs w:val="21"/>
              </w:rPr>
            </w:pPr>
            <w:r>
              <w:rPr>
                <w:rFonts w:ascii="宋体" w:hAnsi="宋体" w:cs="宋体" w:eastAsia="宋体" w:hint="default"/>
                <w:sz w:val="21"/>
                <w:szCs w:val="21"/>
              </w:rPr>
              <w:t>股票种类</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39" w:right="0"/>
              <w:jc w:val="left"/>
              <w:rPr>
                <w:rFonts w:ascii="宋体" w:hAnsi="宋体" w:cs="宋体" w:eastAsia="宋体" w:hint="default"/>
                <w:sz w:val="21"/>
                <w:szCs w:val="21"/>
              </w:rPr>
            </w:pPr>
            <w:r>
              <w:rPr>
                <w:rFonts w:ascii="宋体" w:hAnsi="宋体" w:cs="宋体" w:eastAsia="宋体" w:hint="default"/>
                <w:sz w:val="21"/>
                <w:szCs w:val="21"/>
              </w:rPr>
              <w:t>股票上市交易所</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56" w:right="0"/>
              <w:jc w:val="left"/>
              <w:rPr>
                <w:rFonts w:ascii="宋体" w:hAnsi="宋体" w:cs="宋体" w:eastAsia="宋体" w:hint="default"/>
                <w:sz w:val="21"/>
                <w:szCs w:val="21"/>
              </w:rPr>
            </w:pPr>
            <w:r>
              <w:rPr>
                <w:rFonts w:ascii="宋体" w:hAnsi="宋体" w:cs="宋体" w:eastAsia="宋体" w:hint="default"/>
                <w:sz w:val="21"/>
                <w:szCs w:val="21"/>
              </w:rPr>
              <w:t>股票简称</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56" w:right="0"/>
              <w:jc w:val="left"/>
              <w:rPr>
                <w:rFonts w:ascii="宋体" w:hAnsi="宋体" w:cs="宋体" w:eastAsia="宋体" w:hint="default"/>
                <w:sz w:val="21"/>
                <w:szCs w:val="21"/>
              </w:rPr>
            </w:pPr>
            <w:r>
              <w:rPr>
                <w:rFonts w:ascii="宋体" w:hAnsi="宋体" w:cs="宋体" w:eastAsia="宋体" w:hint="default"/>
                <w:sz w:val="21"/>
                <w:szCs w:val="21"/>
              </w:rPr>
              <w:t>股票代码</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42" w:right="0"/>
              <w:jc w:val="left"/>
              <w:rPr>
                <w:rFonts w:ascii="宋体" w:hAnsi="宋体" w:cs="宋体" w:eastAsia="宋体" w:hint="default"/>
                <w:sz w:val="21"/>
                <w:szCs w:val="21"/>
              </w:rPr>
            </w:pPr>
            <w:r>
              <w:rPr>
                <w:rFonts w:ascii="宋体" w:hAnsi="宋体" w:cs="宋体" w:eastAsia="宋体" w:hint="default"/>
                <w:sz w:val="21"/>
                <w:szCs w:val="21"/>
              </w:rPr>
              <w:t>变更前股票简称</w:t>
            </w:r>
          </w:p>
        </w:tc>
      </w:tr>
      <w:tr>
        <w:trPr>
          <w:trHeight w:val="302" w:hRule="exact"/>
        </w:trPr>
        <w:tc>
          <w:tcPr>
            <w:tcW w:w="17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A</w:t>
            </w:r>
            <w:r>
              <w:rPr>
                <w:rFonts w:ascii="宋体" w:hAnsi="宋体" w:cs="宋体" w:eastAsia="宋体" w:hint="default"/>
                <w:sz w:val="21"/>
                <w:szCs w:val="21"/>
              </w:rPr>
              <w:t>股</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上海证券交易所</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用友网络</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sz w:val="21"/>
              </w:rPr>
              <w:t>600588</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用友软件</w:t>
            </w:r>
          </w:p>
        </w:tc>
      </w:tr>
    </w:tbl>
    <w:p>
      <w:pPr>
        <w:spacing w:line="240" w:lineRule="auto" w:before="2"/>
        <w:rPr>
          <w:rFonts w:ascii="宋体" w:hAnsi="宋体" w:cs="宋体" w:eastAsia="宋体" w:hint="default"/>
          <w:b/>
          <w:bCs/>
          <w:sz w:val="20"/>
          <w:szCs w:val="20"/>
        </w:rPr>
      </w:pPr>
    </w:p>
    <w:p>
      <w:pPr>
        <w:pStyle w:val="Heading3"/>
        <w:spacing w:line="240" w:lineRule="auto" w:before="36"/>
        <w:ind w:right="147"/>
        <w:jc w:val="left"/>
        <w:rPr>
          <w:b w:val="0"/>
          <w:bCs w:val="0"/>
        </w:rPr>
      </w:pPr>
      <w:r>
        <w:rPr/>
        <w:t>六、</w:t>
      </w:r>
      <w:r>
        <w:rPr>
          <w:spacing w:val="-29"/>
        </w:rPr>
        <w:t> </w:t>
      </w:r>
      <w:r>
        <w:rPr/>
        <w:t>其他相关资料</w:t>
      </w:r>
      <w:r>
        <w:rPr>
          <w:b w:val="0"/>
          <w:bCs w:val="0"/>
        </w:rPr>
      </w:r>
    </w:p>
    <w:p>
      <w:pPr>
        <w:spacing w:line="240" w:lineRule="auto" w:before="12"/>
        <w:rPr>
          <w:rFonts w:ascii="宋体" w:hAnsi="宋体" w:cs="宋体" w:eastAsia="宋体" w:hint="default"/>
          <w:b/>
          <w:bCs/>
          <w:sz w:val="6"/>
          <w:szCs w:val="6"/>
        </w:rPr>
      </w:pPr>
    </w:p>
    <w:tbl>
      <w:tblPr>
        <w:tblW w:w="0" w:type="auto"/>
        <w:jc w:val="left"/>
        <w:tblInd w:w="105" w:type="dxa"/>
        <w:tblLayout w:type="fixed"/>
        <w:tblCellMar>
          <w:top w:w="0" w:type="dxa"/>
          <w:left w:w="0" w:type="dxa"/>
          <w:bottom w:w="0" w:type="dxa"/>
          <w:right w:w="0" w:type="dxa"/>
        </w:tblCellMar>
        <w:tblLook w:val="01E0"/>
      </w:tblPr>
      <w:tblGrid>
        <w:gridCol w:w="2919"/>
        <w:gridCol w:w="1750"/>
        <w:gridCol w:w="4155"/>
      </w:tblGrid>
      <w:tr>
        <w:trPr>
          <w:trHeight w:val="283" w:hRule="exact"/>
        </w:trPr>
        <w:tc>
          <w:tcPr>
            <w:tcW w:w="2919" w:type="dxa"/>
            <w:vMerge w:val="restart"/>
            <w:tcBorders>
              <w:top w:val="single" w:sz="4" w:space="0" w:color="000000"/>
              <w:left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19"/>
                <w:szCs w:val="19"/>
              </w:rPr>
            </w:pPr>
          </w:p>
          <w:p>
            <w:pPr>
              <w:pStyle w:val="TableParagraph"/>
              <w:spacing w:line="240" w:lineRule="auto"/>
              <w:ind w:left="103" w:right="99"/>
              <w:jc w:val="left"/>
              <w:rPr>
                <w:rFonts w:ascii="宋体" w:hAnsi="宋体" w:cs="宋体" w:eastAsia="宋体" w:hint="default"/>
                <w:sz w:val="21"/>
                <w:szCs w:val="21"/>
              </w:rPr>
            </w:pPr>
            <w:r>
              <w:rPr>
                <w:rFonts w:ascii="宋体" w:hAnsi="宋体" w:cs="宋体" w:eastAsia="宋体" w:hint="default"/>
                <w:spacing w:val="-4"/>
                <w:sz w:val="21"/>
                <w:szCs w:val="21"/>
              </w:rPr>
              <w:t>公司聘请的会计师事务所（境</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内）</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名称</w:t>
            </w:r>
          </w:p>
        </w:tc>
        <w:tc>
          <w:tcPr>
            <w:tcW w:w="415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安永华明会计师事务所（特殊普通合伙）</w:t>
            </w:r>
          </w:p>
        </w:tc>
      </w:tr>
      <w:tr>
        <w:trPr>
          <w:trHeight w:val="554" w:hRule="exact"/>
        </w:trPr>
        <w:tc>
          <w:tcPr>
            <w:tcW w:w="2919" w:type="dxa"/>
            <w:vMerge/>
            <w:tcBorders>
              <w:left w:val="single" w:sz="4" w:space="0" w:color="000000"/>
              <w:right w:val="single" w:sz="4" w:space="0" w:color="000000"/>
            </w:tcBorders>
          </w:tcPr>
          <w:p>
            <w:pP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办公地址</w:t>
            </w:r>
          </w:p>
        </w:tc>
        <w:tc>
          <w:tcPr>
            <w:tcW w:w="415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北京市东城区东长安街</w:t>
            </w:r>
            <w:r>
              <w:rPr>
                <w:rFonts w:ascii="宋体" w:hAnsi="宋体" w:cs="宋体" w:eastAsia="宋体" w:hint="default"/>
                <w:spacing w:val="-77"/>
                <w:sz w:val="21"/>
                <w:szCs w:val="21"/>
              </w:rPr>
              <w:t> </w:t>
            </w:r>
            <w:r>
              <w:rPr>
                <w:rFonts w:ascii="宋体" w:hAnsi="宋体" w:cs="宋体" w:eastAsia="宋体" w:hint="default"/>
                <w:sz w:val="21"/>
                <w:szCs w:val="21"/>
              </w:rPr>
              <w:t>1</w:t>
            </w:r>
            <w:r>
              <w:rPr>
                <w:rFonts w:ascii="宋体" w:hAnsi="宋体" w:cs="宋体" w:eastAsia="宋体" w:hint="default"/>
                <w:spacing w:val="-79"/>
                <w:sz w:val="21"/>
                <w:szCs w:val="21"/>
              </w:rPr>
              <w:t> </w:t>
            </w:r>
            <w:r>
              <w:rPr>
                <w:rFonts w:ascii="宋体" w:hAnsi="宋体" w:cs="宋体" w:eastAsia="宋体" w:hint="default"/>
                <w:sz w:val="21"/>
                <w:szCs w:val="21"/>
              </w:rPr>
              <w:t>号东方广场安永大</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楼（东三办公楼）</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层</w:t>
            </w:r>
          </w:p>
        </w:tc>
      </w:tr>
      <w:tr>
        <w:trPr>
          <w:trHeight w:val="283" w:hRule="exact"/>
        </w:trPr>
        <w:tc>
          <w:tcPr>
            <w:tcW w:w="2919" w:type="dxa"/>
            <w:vMerge/>
            <w:tcBorders>
              <w:left w:val="single" w:sz="4" w:space="0" w:color="000000"/>
              <w:bottom w:val="single" w:sz="4" w:space="0" w:color="000000"/>
              <w:right w:val="single" w:sz="4" w:space="0" w:color="000000"/>
            </w:tcBorders>
          </w:tcPr>
          <w:p>
            <w:pP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签字会计师姓名</w:t>
            </w:r>
          </w:p>
        </w:tc>
        <w:tc>
          <w:tcPr>
            <w:tcW w:w="41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林扬、张苏苏</w:t>
            </w:r>
          </w:p>
        </w:tc>
      </w:tr>
      <w:tr>
        <w:trPr>
          <w:trHeight w:val="281" w:hRule="exact"/>
        </w:trPr>
        <w:tc>
          <w:tcPr>
            <w:tcW w:w="2919" w:type="dxa"/>
            <w:vMerge w:val="restart"/>
            <w:tcBorders>
              <w:top w:val="single" w:sz="4" w:space="0" w:color="000000"/>
              <w:left w:val="single" w:sz="4" w:space="0" w:color="000000"/>
              <w:right w:val="single" w:sz="4" w:space="0" w:color="000000"/>
            </w:tcBorders>
          </w:tcPr>
          <w:p>
            <w:pPr>
              <w:pStyle w:val="TableParagraph"/>
              <w:spacing w:line="272" w:lineRule="exact" w:before="140"/>
              <w:ind w:left="103" w:right="99"/>
              <w:jc w:val="left"/>
              <w:rPr>
                <w:rFonts w:ascii="宋体" w:hAnsi="宋体" w:cs="宋体" w:eastAsia="宋体" w:hint="default"/>
                <w:sz w:val="21"/>
                <w:szCs w:val="21"/>
              </w:rPr>
            </w:pPr>
            <w:r>
              <w:rPr>
                <w:rFonts w:ascii="宋体" w:hAnsi="宋体" w:cs="宋体" w:eastAsia="宋体" w:hint="default"/>
                <w:spacing w:val="-4"/>
                <w:sz w:val="21"/>
                <w:szCs w:val="21"/>
              </w:rPr>
              <w:t>公司聘请的会计师事务所（境</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外）</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名称</w:t>
            </w:r>
          </w:p>
        </w:tc>
        <w:tc>
          <w:tcPr>
            <w:tcW w:w="41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283" w:hRule="exact"/>
        </w:trPr>
        <w:tc>
          <w:tcPr>
            <w:tcW w:w="2919" w:type="dxa"/>
            <w:vMerge/>
            <w:tcBorders>
              <w:left w:val="single" w:sz="4" w:space="0" w:color="000000"/>
              <w:right w:val="single" w:sz="4" w:space="0" w:color="000000"/>
            </w:tcBorders>
          </w:tcPr>
          <w:p>
            <w:pP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办公地址</w:t>
            </w:r>
          </w:p>
        </w:tc>
        <w:tc>
          <w:tcPr>
            <w:tcW w:w="415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284" w:hRule="exact"/>
        </w:trPr>
        <w:tc>
          <w:tcPr>
            <w:tcW w:w="2919" w:type="dxa"/>
            <w:vMerge/>
            <w:tcBorders>
              <w:left w:val="single" w:sz="4" w:space="0" w:color="000000"/>
              <w:bottom w:val="single" w:sz="4" w:space="0" w:color="000000"/>
              <w:right w:val="single" w:sz="4" w:space="0" w:color="000000"/>
            </w:tcBorders>
          </w:tcPr>
          <w:p>
            <w:pP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签字会计师姓名</w:t>
            </w:r>
          </w:p>
        </w:tc>
        <w:tc>
          <w:tcPr>
            <w:tcW w:w="41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283" w:hRule="exact"/>
        </w:trPr>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报告期内履行持续督导职责</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名称</w:t>
            </w:r>
          </w:p>
        </w:tc>
        <w:tc>
          <w:tcPr>
            <w:tcW w:w="41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国泰君安证券股份有限公司</w:t>
            </w:r>
          </w:p>
        </w:tc>
      </w:tr>
    </w:tbl>
    <w:p>
      <w:pPr>
        <w:spacing w:after="0" w:line="241" w:lineRule="exact"/>
        <w:jc w:val="left"/>
        <w:rPr>
          <w:rFonts w:ascii="宋体" w:hAnsi="宋体" w:cs="宋体" w:eastAsia="宋体" w:hint="default"/>
          <w:sz w:val="21"/>
          <w:szCs w:val="21"/>
        </w:rPr>
        <w:sectPr>
          <w:pgSz w:w="11910" w:h="16840"/>
          <w:pgMar w:header="855" w:footer="1195" w:top="1320" w:bottom="1380" w:left="1580" w:right="1120"/>
        </w:sectPr>
      </w:pPr>
    </w:p>
    <w:p>
      <w:pPr>
        <w:spacing w:line="240" w:lineRule="auto" w:before="9"/>
        <w:rPr>
          <w:rFonts w:ascii="宋体" w:hAnsi="宋体" w:cs="宋体" w:eastAsia="宋体" w:hint="default"/>
          <w:b/>
          <w:bCs/>
          <w:sz w:val="14"/>
          <w:szCs w:val="14"/>
        </w:rPr>
      </w:pPr>
    </w:p>
    <w:tbl>
      <w:tblPr>
        <w:tblW w:w="0" w:type="auto"/>
        <w:jc w:val="left"/>
        <w:tblInd w:w="105" w:type="dxa"/>
        <w:tblLayout w:type="fixed"/>
        <w:tblCellMar>
          <w:top w:w="0" w:type="dxa"/>
          <w:left w:w="0" w:type="dxa"/>
          <w:bottom w:w="0" w:type="dxa"/>
          <w:right w:w="0" w:type="dxa"/>
        </w:tblCellMar>
        <w:tblLook w:val="01E0"/>
      </w:tblPr>
      <w:tblGrid>
        <w:gridCol w:w="2919"/>
        <w:gridCol w:w="1750"/>
        <w:gridCol w:w="4155"/>
      </w:tblGrid>
      <w:tr>
        <w:trPr>
          <w:trHeight w:val="284" w:hRule="exact"/>
        </w:trPr>
        <w:tc>
          <w:tcPr>
            <w:tcW w:w="2919" w:type="dxa"/>
            <w:vMerge w:val="restart"/>
            <w:tcBorders>
              <w:top w:val="single" w:sz="4" w:space="0" w:color="000000"/>
              <w:left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的保荐机构</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办公地址</w:t>
            </w:r>
          </w:p>
        </w:tc>
        <w:tc>
          <w:tcPr>
            <w:tcW w:w="4155"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北京市金融大街盈泰中心</w:t>
            </w:r>
            <w:r>
              <w:rPr>
                <w:rFonts w:ascii="宋体" w:hAnsi="宋体" w:cs="宋体" w:eastAsia="宋体" w:hint="default"/>
                <w:spacing w:val="-55"/>
                <w:sz w:val="21"/>
                <w:szCs w:val="21"/>
              </w:rPr>
              <w:t> </w:t>
            </w: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号楼</w:t>
            </w:r>
            <w:r>
              <w:rPr>
                <w:rFonts w:ascii="宋体" w:hAnsi="宋体" w:cs="宋体" w:eastAsia="宋体" w:hint="default"/>
                <w:spacing w:val="-55"/>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层</w:t>
            </w:r>
          </w:p>
        </w:tc>
      </w:tr>
      <w:tr>
        <w:trPr>
          <w:trHeight w:val="554" w:hRule="exact"/>
        </w:trPr>
        <w:tc>
          <w:tcPr>
            <w:tcW w:w="2919" w:type="dxa"/>
            <w:vMerge/>
            <w:tcBorders>
              <w:left w:val="single" w:sz="4" w:space="0" w:color="000000"/>
              <w:right w:val="single" w:sz="4" w:space="0" w:color="000000"/>
            </w:tcBorders>
          </w:tcPr>
          <w:p>
            <w:pP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8"/>
                <w:sz w:val="21"/>
                <w:szCs w:val="21"/>
              </w:rPr>
              <w:t>签字的保荐代表</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人姓名</w:t>
            </w:r>
          </w:p>
        </w:tc>
        <w:tc>
          <w:tcPr>
            <w:tcW w:w="41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陈琦、刘向前</w:t>
            </w:r>
          </w:p>
        </w:tc>
      </w:tr>
      <w:tr>
        <w:trPr>
          <w:trHeight w:val="828" w:hRule="exact"/>
        </w:trPr>
        <w:tc>
          <w:tcPr>
            <w:tcW w:w="2919" w:type="dxa"/>
            <w:vMerge/>
            <w:tcBorders>
              <w:left w:val="single" w:sz="4" w:space="0" w:color="000000"/>
              <w:bottom w:val="single" w:sz="4" w:space="0" w:color="000000"/>
              <w:right w:val="single" w:sz="4" w:space="0" w:color="000000"/>
            </w:tcBorders>
          </w:tcPr>
          <w:p>
            <w:pP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持续督导的期间</w:t>
            </w:r>
          </w:p>
        </w:tc>
        <w:tc>
          <w:tcPr>
            <w:tcW w:w="415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2015 </w:t>
            </w:r>
            <w:r>
              <w:rPr>
                <w:rFonts w:ascii="宋体" w:hAnsi="宋体" w:cs="宋体" w:eastAsia="宋体" w:hint="default"/>
                <w:sz w:val="21"/>
                <w:szCs w:val="21"/>
              </w:rPr>
              <w:t>年－</w:t>
            </w:r>
            <w:r>
              <w:rPr>
                <w:rFonts w:ascii="宋体" w:hAnsi="宋体" w:cs="宋体" w:eastAsia="宋体" w:hint="default"/>
                <w:sz w:val="21"/>
                <w:szCs w:val="21"/>
              </w:rPr>
              <w:t>2016</w:t>
            </w:r>
            <w:r>
              <w:rPr>
                <w:rFonts w:ascii="宋体" w:hAnsi="宋体" w:cs="宋体" w:eastAsia="宋体" w:hint="default"/>
                <w:spacing w:val="-52"/>
                <w:sz w:val="21"/>
                <w:szCs w:val="21"/>
              </w:rPr>
              <w:t> </w:t>
            </w:r>
            <w:r>
              <w:rPr>
                <w:rFonts w:ascii="宋体" w:hAnsi="宋体" w:cs="宋体" w:eastAsia="宋体" w:hint="default"/>
                <w:sz w:val="21"/>
                <w:szCs w:val="21"/>
              </w:rPr>
              <w:t>年度（募集资金尚未使用完</w:t>
            </w:r>
          </w:p>
          <w:p>
            <w:pPr>
              <w:pStyle w:val="TableParagraph"/>
              <w:spacing w:line="272" w:lineRule="exact" w:before="27"/>
              <w:ind w:left="100" w:right="98"/>
              <w:jc w:val="left"/>
              <w:rPr>
                <w:rFonts w:ascii="宋体" w:hAnsi="宋体" w:cs="宋体" w:eastAsia="宋体" w:hint="default"/>
                <w:sz w:val="21"/>
                <w:szCs w:val="21"/>
              </w:rPr>
            </w:pPr>
            <w:r>
              <w:rPr>
                <w:rFonts w:ascii="宋体" w:hAnsi="宋体" w:cs="宋体" w:eastAsia="宋体" w:hint="default"/>
                <w:spacing w:val="-4"/>
                <w:sz w:val="21"/>
                <w:szCs w:val="21"/>
              </w:rPr>
              <w:t>毕，保荐机构针对募集资金的使用继续履行</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督导义务）</w:t>
            </w:r>
          </w:p>
        </w:tc>
      </w:tr>
      <w:tr>
        <w:trPr>
          <w:trHeight w:val="281" w:hRule="exact"/>
        </w:trPr>
        <w:tc>
          <w:tcPr>
            <w:tcW w:w="2919"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9"/>
                <w:szCs w:val="29"/>
              </w:rPr>
            </w:pPr>
          </w:p>
          <w:p>
            <w:pPr>
              <w:pStyle w:val="TableParagraph"/>
              <w:spacing w:line="240" w:lineRule="auto"/>
              <w:ind w:left="103" w:right="101"/>
              <w:jc w:val="left"/>
              <w:rPr>
                <w:rFonts w:ascii="宋体" w:hAnsi="宋体" w:cs="宋体" w:eastAsia="宋体" w:hint="default"/>
                <w:sz w:val="21"/>
                <w:szCs w:val="21"/>
              </w:rPr>
            </w:pPr>
            <w:r>
              <w:rPr>
                <w:rFonts w:ascii="宋体" w:hAnsi="宋体" w:cs="宋体" w:eastAsia="宋体" w:hint="default"/>
                <w:spacing w:val="12"/>
                <w:sz w:val="21"/>
                <w:szCs w:val="21"/>
              </w:rPr>
              <w:t>报告期内履行持续督导职责</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的财务顾问</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名称</w:t>
            </w:r>
          </w:p>
        </w:tc>
        <w:tc>
          <w:tcPr>
            <w:tcW w:w="41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283" w:hRule="exact"/>
        </w:trPr>
        <w:tc>
          <w:tcPr>
            <w:tcW w:w="2919" w:type="dxa"/>
            <w:vMerge/>
            <w:tcBorders>
              <w:left w:val="single" w:sz="4" w:space="0" w:color="000000"/>
              <w:right w:val="single" w:sz="4" w:space="0" w:color="000000"/>
            </w:tcBorders>
          </w:tcPr>
          <w:p>
            <w:pP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办公地址</w:t>
            </w:r>
          </w:p>
        </w:tc>
        <w:tc>
          <w:tcPr>
            <w:tcW w:w="415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54" w:hRule="exact"/>
        </w:trPr>
        <w:tc>
          <w:tcPr>
            <w:tcW w:w="2919" w:type="dxa"/>
            <w:vMerge/>
            <w:tcBorders>
              <w:left w:val="single" w:sz="4" w:space="0" w:color="000000"/>
              <w:right w:val="single" w:sz="4" w:space="0" w:color="000000"/>
            </w:tcBorders>
          </w:tcPr>
          <w:p>
            <w:pP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8"/>
                <w:sz w:val="21"/>
                <w:szCs w:val="21"/>
              </w:rPr>
              <w:t>签字的财务顾问</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主办人姓名</w:t>
            </w:r>
          </w:p>
        </w:tc>
        <w:tc>
          <w:tcPr>
            <w:tcW w:w="41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283" w:hRule="exact"/>
        </w:trPr>
        <w:tc>
          <w:tcPr>
            <w:tcW w:w="2919" w:type="dxa"/>
            <w:vMerge/>
            <w:tcBorders>
              <w:left w:val="single" w:sz="4" w:space="0" w:color="000000"/>
              <w:bottom w:val="single" w:sz="4" w:space="0" w:color="000000"/>
              <w:right w:val="single" w:sz="4" w:space="0" w:color="000000"/>
            </w:tcBorders>
          </w:tcPr>
          <w:p>
            <w:pP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持续督导的期间</w:t>
            </w:r>
          </w:p>
        </w:tc>
        <w:tc>
          <w:tcPr>
            <w:tcW w:w="41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无</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0"/>
          <w:szCs w:val="20"/>
        </w:rPr>
      </w:pPr>
    </w:p>
    <w:p>
      <w:pPr>
        <w:spacing w:after="0" w:line="240" w:lineRule="auto"/>
        <w:rPr>
          <w:rFonts w:ascii="宋体" w:hAnsi="宋体" w:cs="宋体" w:eastAsia="宋体" w:hint="default"/>
          <w:sz w:val="20"/>
          <w:szCs w:val="20"/>
        </w:rPr>
        <w:sectPr>
          <w:footerReference w:type="default" r:id="rId14"/>
          <w:pgSz w:w="11910" w:h="16840"/>
          <w:pgMar w:footer="1195" w:header="855" w:top="1320" w:bottom="1380" w:left="1580" w:right="1120"/>
        </w:sectPr>
      </w:pPr>
    </w:p>
    <w:p>
      <w:pPr>
        <w:pStyle w:val="Heading3"/>
        <w:spacing w:line="240" w:lineRule="auto" w:before="36"/>
        <w:ind w:right="-18"/>
        <w:jc w:val="left"/>
        <w:rPr>
          <w:b w:val="0"/>
          <w:bCs w:val="0"/>
        </w:rPr>
      </w:pPr>
      <w:r>
        <w:rPr/>
        <w:t>七、</w:t>
      </w:r>
      <w:r>
        <w:rPr>
          <w:spacing w:val="-32"/>
        </w:rPr>
        <w:t> </w:t>
      </w:r>
      <w:r>
        <w:rPr/>
        <w:t>近三年主要会计数据和财务指标</w:t>
      </w:r>
      <w:r>
        <w:rPr>
          <w:b w:val="0"/>
          <w:bCs w:val="0"/>
        </w:rPr>
      </w:r>
    </w:p>
    <w:p>
      <w:pPr>
        <w:pStyle w:val="Heading3"/>
        <w:spacing w:line="240" w:lineRule="auto" w:before="56"/>
        <w:ind w:right="-18"/>
        <w:jc w:val="left"/>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31"/>
        </w:rPr>
        <w:t> </w:t>
      </w:r>
      <w:r>
        <w:rPr/>
        <w:t>主要会计数据</w:t>
      </w:r>
      <w:r>
        <w:rPr>
          <w:b w:val="0"/>
          <w:bCs w:val="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pStyle w:val="BodyText"/>
        <w:tabs>
          <w:tab w:pos="1269" w:val="left" w:leader="none"/>
        </w:tabs>
        <w:spacing w:line="240" w:lineRule="auto" w:before="177"/>
        <w:ind w:right="0"/>
        <w:jc w:val="left"/>
      </w:pPr>
      <w:r>
        <w:rPr>
          <w:spacing w:val="-1"/>
        </w:rPr>
        <w:t>单位：元</w:t>
        <w:tab/>
      </w:r>
      <w:r>
        <w:rPr>
          <w:spacing w:val="-2"/>
        </w:rPr>
        <w:t>币种：人民币</w:t>
      </w:r>
    </w:p>
    <w:p>
      <w:pPr>
        <w:spacing w:after="0" w:line="240" w:lineRule="auto"/>
        <w:jc w:val="left"/>
        <w:sectPr>
          <w:type w:val="continuous"/>
          <w:pgSz w:w="11910" w:h="16840"/>
          <w:pgMar w:top="1320" w:bottom="1380" w:left="1580" w:right="1120"/>
          <w:cols w:num="2" w:equalWidth="0">
            <w:col w:w="3667" w:space="2854"/>
            <w:col w:w="2689"/>
          </w:cols>
        </w:sectPr>
      </w:pPr>
    </w:p>
    <w:p>
      <w:pPr>
        <w:spacing w:line="240" w:lineRule="auto" w:before="3"/>
        <w:rPr>
          <w:rFonts w:ascii="宋体" w:hAnsi="宋体" w:cs="宋体" w:eastAsia="宋体" w:hint="default"/>
          <w:sz w:val="23"/>
          <w:szCs w:val="23"/>
        </w:rPr>
      </w:pPr>
    </w:p>
    <w:tbl>
      <w:tblPr>
        <w:tblW w:w="0" w:type="auto"/>
        <w:jc w:val="left"/>
        <w:tblInd w:w="105" w:type="dxa"/>
        <w:tblLayout w:type="fixed"/>
        <w:tblCellMar>
          <w:top w:w="0" w:type="dxa"/>
          <w:left w:w="0" w:type="dxa"/>
          <w:bottom w:w="0" w:type="dxa"/>
          <w:right w:w="0" w:type="dxa"/>
        </w:tblCellMar>
        <w:tblLook w:val="01E0"/>
      </w:tblPr>
      <w:tblGrid>
        <w:gridCol w:w="2547"/>
        <w:gridCol w:w="1843"/>
        <w:gridCol w:w="1844"/>
        <w:gridCol w:w="992"/>
        <w:gridCol w:w="1598"/>
      </w:tblGrid>
      <w:tr>
        <w:trPr>
          <w:trHeight w:val="1099" w:hRule="exact"/>
        </w:trPr>
        <w:tc>
          <w:tcPr>
            <w:tcW w:w="2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638" w:right="0"/>
              <w:jc w:val="left"/>
              <w:rPr>
                <w:rFonts w:ascii="宋体" w:hAnsi="宋体" w:cs="宋体" w:eastAsia="宋体" w:hint="default"/>
                <w:sz w:val="21"/>
                <w:szCs w:val="21"/>
              </w:rPr>
            </w:pPr>
            <w:r>
              <w:rPr>
                <w:rFonts w:ascii="宋体" w:hAnsi="宋体" w:cs="宋体" w:eastAsia="宋体" w:hint="default"/>
                <w:sz w:val="21"/>
                <w:szCs w:val="21"/>
              </w:rPr>
              <w:t>主要会计数据</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599"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z w:val="21"/>
                <w:szCs w:val="21"/>
              </w:rPr>
              <w:t>年</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600" w:right="0"/>
              <w:jc w:val="left"/>
              <w:rPr>
                <w:rFonts w:ascii="宋体" w:hAnsi="宋体" w:cs="宋体" w:eastAsia="宋体" w:hint="default"/>
                <w:sz w:val="21"/>
                <w:szCs w:val="21"/>
              </w:rPr>
            </w:pPr>
            <w:r>
              <w:rPr>
                <w:rFonts w:ascii="宋体" w:hAnsi="宋体" w:cs="宋体" w:eastAsia="宋体" w:hint="default"/>
                <w:sz w:val="21"/>
                <w:szCs w:val="21"/>
              </w:rPr>
              <w:t>2016</w:t>
            </w:r>
            <w:r>
              <w:rPr>
                <w:rFonts w:ascii="宋体" w:hAnsi="宋体" w:cs="宋体" w:eastAsia="宋体" w:hint="default"/>
                <w:sz w:val="21"/>
                <w:szCs w:val="21"/>
              </w:rPr>
              <w:t>年</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本期比</w:t>
            </w:r>
          </w:p>
          <w:p>
            <w:pPr>
              <w:pStyle w:val="TableParagraph"/>
              <w:spacing w:line="237" w:lineRule="auto"/>
              <w:ind w:left="172" w:right="173"/>
              <w:jc w:val="center"/>
              <w:rPr>
                <w:rFonts w:ascii="宋体" w:hAnsi="宋体" w:cs="宋体" w:eastAsia="宋体" w:hint="default"/>
                <w:sz w:val="21"/>
                <w:szCs w:val="21"/>
              </w:rPr>
            </w:pPr>
            <w:r>
              <w:rPr>
                <w:rFonts w:ascii="宋体" w:hAnsi="宋体" w:cs="宋体" w:eastAsia="宋体" w:hint="default"/>
                <w:sz w:val="21"/>
                <w:szCs w:val="21"/>
              </w:rPr>
              <w:t>上年同</w:t>
            </w:r>
            <w:r>
              <w:rPr>
                <w:rFonts w:ascii="宋体" w:hAnsi="宋体" w:cs="宋体" w:eastAsia="宋体" w:hint="default"/>
                <w:w w:val="100"/>
                <w:sz w:val="21"/>
                <w:szCs w:val="21"/>
              </w:rPr>
              <w:t> </w:t>
            </w:r>
            <w:r>
              <w:rPr>
                <w:rFonts w:ascii="宋体" w:hAnsi="宋体" w:cs="宋体" w:eastAsia="宋体" w:hint="default"/>
                <w:sz w:val="21"/>
                <w:szCs w:val="21"/>
              </w:rPr>
              <w:t>期增减</w:t>
            </w:r>
            <w:r>
              <w:rPr>
                <w:rFonts w:ascii="宋体" w:hAnsi="宋体" w:cs="宋体" w:eastAsia="宋体" w:hint="default"/>
                <w:w w:val="100"/>
                <w:sz w:val="21"/>
                <w:szCs w:val="21"/>
              </w:rPr>
              <w:t> </w:t>
            </w:r>
            <w:r>
              <w:rPr>
                <w:rFonts w:ascii="宋体" w:hAnsi="宋体" w:cs="宋体" w:eastAsia="宋体" w:hint="default"/>
                <w:sz w:val="21"/>
                <w:szCs w:val="21"/>
              </w:rPr>
              <w:t>(%)</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477"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z w:val="21"/>
                <w:szCs w:val="21"/>
              </w:rPr>
              <w:t>年</w:t>
            </w:r>
          </w:p>
        </w:tc>
      </w:tr>
      <w:tr>
        <w:trPr>
          <w:trHeight w:val="295" w:hRule="exact"/>
        </w:trPr>
        <w:tc>
          <w:tcPr>
            <w:tcW w:w="25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6,343,658,549</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5,113,348,861</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24.1</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4,451,272,019</w:t>
            </w:r>
          </w:p>
        </w:tc>
      </w:tr>
      <w:tr>
        <w:trPr>
          <w:trHeight w:val="295" w:hRule="exact"/>
        </w:trPr>
        <w:tc>
          <w:tcPr>
            <w:tcW w:w="25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676,207,321</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-51,528,705</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hAnsi="宋体" w:cs="宋体" w:eastAsia="宋体" w:hint="default"/>
                <w:sz w:val="21"/>
                <w:szCs w:val="21"/>
              </w:rPr>
              <w:t>不适用</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12,706,074</w:t>
            </w:r>
          </w:p>
        </w:tc>
      </w:tr>
      <w:tr>
        <w:trPr>
          <w:trHeight w:val="296" w:hRule="exact"/>
        </w:trPr>
        <w:tc>
          <w:tcPr>
            <w:tcW w:w="25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685,810,775</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295,489,206</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132.1</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362,389,873</w:t>
            </w:r>
          </w:p>
        </w:tc>
      </w:tr>
      <w:tr>
        <w:trPr>
          <w:trHeight w:val="554" w:hRule="exact"/>
        </w:trPr>
        <w:tc>
          <w:tcPr>
            <w:tcW w:w="254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归属于上市公司股东的净</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利润</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389,080,894</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197,391,725</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97.1</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323,745,309</w:t>
            </w:r>
          </w:p>
        </w:tc>
      </w:tr>
      <w:tr>
        <w:trPr>
          <w:trHeight w:val="554" w:hRule="exact"/>
        </w:trPr>
        <w:tc>
          <w:tcPr>
            <w:tcW w:w="254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归属于上市公司股东的扣</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除非经常性损益的净利润</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293,075,149</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137,278,023</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113.5</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105,980,940</w:t>
            </w:r>
          </w:p>
        </w:tc>
      </w:tr>
      <w:tr>
        <w:trPr>
          <w:trHeight w:val="828" w:hRule="exact"/>
        </w:trPr>
        <w:tc>
          <w:tcPr>
            <w:tcW w:w="254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归属于上市公司股东的扣</w:t>
            </w:r>
          </w:p>
          <w:p>
            <w:pPr>
              <w:pStyle w:val="TableParagraph"/>
              <w:spacing w:line="272" w:lineRule="exact" w:before="27"/>
              <w:ind w:left="103" w:right="118"/>
              <w:jc w:val="left"/>
              <w:rPr>
                <w:rFonts w:ascii="宋体" w:hAnsi="宋体" w:cs="宋体" w:eastAsia="宋体" w:hint="default"/>
                <w:sz w:val="21"/>
                <w:szCs w:val="21"/>
              </w:rPr>
            </w:pPr>
            <w:r>
              <w:rPr>
                <w:rFonts w:ascii="宋体" w:hAnsi="宋体" w:cs="宋体" w:eastAsia="宋体" w:hint="default"/>
                <w:spacing w:val="-2"/>
                <w:sz w:val="21"/>
                <w:szCs w:val="21"/>
              </w:rPr>
              <w:t>除非经常性损益和股权激</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励成本的净利润</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488,111,663</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279,496,600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74.6</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268,492,937</w:t>
            </w:r>
          </w:p>
        </w:tc>
      </w:tr>
      <w:tr>
        <w:trPr>
          <w:trHeight w:val="554" w:hRule="exact"/>
        </w:trPr>
        <w:tc>
          <w:tcPr>
            <w:tcW w:w="254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净额</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1,430,325,852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887,081,189</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61.2</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549,715,458</w:t>
            </w:r>
          </w:p>
        </w:tc>
      </w:tr>
      <w:tr>
        <w:trPr>
          <w:trHeight w:val="295" w:hRule="exact"/>
        </w:trPr>
        <w:tc>
          <w:tcPr>
            <w:tcW w:w="2547"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1371" w:hRule="exact"/>
        </w:trPr>
        <w:tc>
          <w:tcPr>
            <w:tcW w:w="2547"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96"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z w:val="21"/>
                <w:szCs w:val="21"/>
              </w:rPr>
              <w:t>年末</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97" w:right="0"/>
              <w:jc w:val="left"/>
              <w:rPr>
                <w:rFonts w:ascii="宋体" w:hAnsi="宋体" w:cs="宋体" w:eastAsia="宋体" w:hint="default"/>
                <w:sz w:val="21"/>
                <w:szCs w:val="21"/>
              </w:rPr>
            </w:pPr>
            <w:r>
              <w:rPr>
                <w:rFonts w:ascii="宋体" w:hAnsi="宋体" w:cs="宋体" w:eastAsia="宋体" w:hint="default"/>
                <w:sz w:val="21"/>
                <w:szCs w:val="21"/>
              </w:rPr>
              <w:t>2016</w:t>
            </w:r>
            <w:r>
              <w:rPr>
                <w:rFonts w:ascii="宋体" w:hAnsi="宋体" w:cs="宋体" w:eastAsia="宋体" w:hint="default"/>
                <w:sz w:val="21"/>
                <w:szCs w:val="21"/>
              </w:rPr>
              <w:t>年末</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72" w:right="0"/>
              <w:jc w:val="both"/>
              <w:rPr>
                <w:rFonts w:ascii="宋体" w:hAnsi="宋体" w:cs="宋体" w:eastAsia="宋体" w:hint="default"/>
                <w:sz w:val="21"/>
                <w:szCs w:val="21"/>
              </w:rPr>
            </w:pPr>
            <w:r>
              <w:rPr>
                <w:rFonts w:ascii="宋体" w:hAnsi="宋体" w:cs="宋体" w:eastAsia="宋体" w:hint="default"/>
                <w:sz w:val="21"/>
                <w:szCs w:val="21"/>
              </w:rPr>
              <w:t>本期末</w:t>
            </w:r>
          </w:p>
          <w:p>
            <w:pPr>
              <w:pStyle w:val="TableParagraph"/>
              <w:spacing w:line="237" w:lineRule="auto"/>
              <w:ind w:left="122" w:right="122" w:firstLine="50"/>
              <w:jc w:val="both"/>
              <w:rPr>
                <w:rFonts w:ascii="宋体" w:hAnsi="宋体" w:cs="宋体" w:eastAsia="宋体" w:hint="default"/>
                <w:sz w:val="21"/>
                <w:szCs w:val="21"/>
              </w:rPr>
            </w:pPr>
            <w:r>
              <w:rPr>
                <w:rFonts w:ascii="宋体" w:hAnsi="宋体" w:cs="宋体" w:eastAsia="宋体" w:hint="default"/>
                <w:sz w:val="21"/>
                <w:szCs w:val="21"/>
              </w:rPr>
              <w:t>比上年</w:t>
            </w:r>
            <w:r>
              <w:rPr>
                <w:rFonts w:ascii="宋体" w:hAnsi="宋体" w:cs="宋体" w:eastAsia="宋体" w:hint="default"/>
                <w:w w:val="100"/>
                <w:sz w:val="21"/>
                <w:szCs w:val="21"/>
              </w:rPr>
              <w:t> </w:t>
            </w:r>
            <w:r>
              <w:rPr>
                <w:rFonts w:ascii="宋体" w:hAnsi="宋体" w:cs="宋体" w:eastAsia="宋体" w:hint="default"/>
                <w:sz w:val="21"/>
                <w:szCs w:val="21"/>
              </w:rPr>
              <w:t>同期末</w:t>
            </w:r>
            <w:r>
              <w:rPr>
                <w:rFonts w:ascii="宋体" w:hAnsi="宋体" w:cs="宋体" w:eastAsia="宋体" w:hint="default"/>
                <w:spacing w:val="-102"/>
                <w:sz w:val="21"/>
                <w:szCs w:val="21"/>
              </w:rPr>
              <w:t> </w:t>
            </w:r>
            <w:r>
              <w:rPr>
                <w:rFonts w:ascii="宋体" w:hAnsi="宋体" w:cs="宋体" w:eastAsia="宋体" w:hint="default"/>
                <w:sz w:val="21"/>
                <w:szCs w:val="21"/>
              </w:rPr>
              <w:t>增减（</w:t>
            </w:r>
            <w:r>
              <w:rPr>
                <w:rFonts w:ascii="宋体" w:hAnsi="宋体" w:cs="宋体" w:eastAsia="宋体" w:hint="default"/>
                <w:sz w:val="21"/>
                <w:szCs w:val="21"/>
              </w:rPr>
              <w:t>%</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w w:val="100"/>
                <w:sz w:val="21"/>
                <w:szCs w:val="21"/>
              </w:rPr>
              <w:t>）</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74"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z w:val="21"/>
                <w:szCs w:val="21"/>
              </w:rPr>
              <w:t>年末</w:t>
            </w:r>
          </w:p>
        </w:tc>
      </w:tr>
      <w:tr>
        <w:trPr>
          <w:trHeight w:val="554" w:hRule="exact"/>
        </w:trPr>
        <w:tc>
          <w:tcPr>
            <w:tcW w:w="254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归属于上市公司股东的净</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资产</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5,849,167,848</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5,688,120,850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2.8</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5,518,891,298</w:t>
            </w:r>
          </w:p>
        </w:tc>
      </w:tr>
      <w:tr>
        <w:trPr>
          <w:trHeight w:val="554" w:hRule="exact"/>
        </w:trPr>
        <w:tc>
          <w:tcPr>
            <w:tcW w:w="25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总资产</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14,033,979,575</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12,155,131,565</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15.5</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8"/>
              <w:jc w:val="right"/>
              <w:rPr>
                <w:rFonts w:ascii="宋体" w:hAnsi="宋体" w:cs="宋体" w:eastAsia="宋体" w:hint="default"/>
                <w:sz w:val="21"/>
                <w:szCs w:val="21"/>
              </w:rPr>
            </w:pPr>
            <w:r>
              <w:rPr>
                <w:rFonts w:ascii="宋体"/>
                <w:spacing w:val="-1"/>
                <w:sz w:val="21"/>
              </w:rPr>
              <w:t>10,918,585,28</w:t>
            </w:r>
          </w:p>
          <w:p>
            <w:pPr>
              <w:pStyle w:val="TableParagraph"/>
              <w:spacing w:line="274" w:lineRule="exact"/>
              <w:ind w:right="101"/>
              <w:jc w:val="right"/>
              <w:rPr>
                <w:rFonts w:ascii="宋体" w:hAnsi="宋体" w:cs="宋体" w:eastAsia="宋体" w:hint="default"/>
                <w:sz w:val="21"/>
                <w:szCs w:val="21"/>
              </w:rPr>
            </w:pPr>
            <w:r>
              <w:rPr>
                <w:rFonts w:ascii="宋体"/>
                <w:w w:val="100"/>
                <w:sz w:val="21"/>
              </w:rPr>
              <w:t>0</w:t>
            </w:r>
          </w:p>
        </w:tc>
      </w:tr>
      <w:tr>
        <w:trPr>
          <w:trHeight w:val="295" w:hRule="exact"/>
        </w:trPr>
        <w:tc>
          <w:tcPr>
            <w:tcW w:w="254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期末总股本</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1,464,217,811</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1,464,293,443</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z w:val="21"/>
              </w:rPr>
              <w:t>-0.0</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1,464,688,320</w:t>
            </w:r>
          </w:p>
        </w:tc>
      </w:tr>
      <w:tr>
        <w:trPr>
          <w:trHeight w:val="295" w:hRule="exact"/>
        </w:trPr>
        <w:tc>
          <w:tcPr>
            <w:tcW w:w="25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负债总额</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7,292,950,599</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5,766,723,203</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26.5</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4,855,877,938</w:t>
            </w:r>
          </w:p>
        </w:tc>
      </w:tr>
    </w:tbl>
    <w:p>
      <w:pPr>
        <w:spacing w:line="240" w:lineRule="auto" w:before="2"/>
        <w:rPr>
          <w:rFonts w:ascii="宋体" w:hAnsi="宋体" w:cs="宋体" w:eastAsia="宋体" w:hint="default"/>
          <w:sz w:val="20"/>
          <w:szCs w:val="20"/>
        </w:rPr>
      </w:pPr>
    </w:p>
    <w:p>
      <w:pPr>
        <w:pStyle w:val="Heading3"/>
        <w:tabs>
          <w:tab w:pos="1057" w:val="left" w:leader="none"/>
        </w:tabs>
        <w:spacing w:line="240" w:lineRule="auto" w:before="36"/>
        <w:ind w:right="147"/>
        <w:jc w:val="left"/>
        <w:rPr>
          <w:b w:val="0"/>
          <w:bCs w:val="0"/>
        </w:rPr>
      </w:pPr>
      <w:r>
        <w:rPr>
          <w:rFonts w:ascii="宋体" w:hAnsi="宋体" w:cs="宋体" w:eastAsia="宋体" w:hint="default"/>
          <w:spacing w:val="-1"/>
        </w:rPr>
        <w:t>(</w:t>
      </w:r>
      <w:r>
        <w:rPr>
          <w:spacing w:val="-1"/>
        </w:rPr>
        <w:t>二</w:t>
      </w:r>
      <w:r>
        <w:rPr>
          <w:rFonts w:ascii="宋体" w:hAnsi="宋体" w:cs="宋体" w:eastAsia="宋体" w:hint="default"/>
          <w:spacing w:val="-1"/>
        </w:rPr>
        <w:t>)</w:t>
        <w:tab/>
      </w:r>
      <w:r>
        <w:rPr/>
        <w:t>主要财务指标</w:t>
      </w:r>
      <w:r>
        <w:rPr>
          <w:b w:val="0"/>
          <w:bCs w:val="0"/>
        </w:rPr>
      </w:r>
    </w:p>
    <w:p>
      <w:pPr>
        <w:spacing w:after="0" w:line="240" w:lineRule="auto"/>
        <w:jc w:val="left"/>
        <w:sectPr>
          <w:type w:val="continuous"/>
          <w:pgSz w:w="11910" w:h="16840"/>
          <w:pgMar w:top="1320" w:bottom="1380" w:left="1580" w:right="1120"/>
        </w:sectPr>
      </w:pPr>
    </w:p>
    <w:p>
      <w:pPr>
        <w:spacing w:line="240" w:lineRule="auto" w:before="9"/>
        <w:rPr>
          <w:rFonts w:ascii="宋体" w:hAnsi="宋体" w:cs="宋体" w:eastAsia="宋体" w:hint="default"/>
          <w:b/>
          <w:bCs/>
          <w:sz w:val="14"/>
          <w:szCs w:val="14"/>
        </w:rPr>
      </w:pPr>
    </w:p>
    <w:tbl>
      <w:tblPr>
        <w:tblW w:w="0" w:type="auto"/>
        <w:jc w:val="left"/>
        <w:tblInd w:w="105" w:type="dxa"/>
        <w:tblLayout w:type="fixed"/>
        <w:tblCellMar>
          <w:top w:w="0" w:type="dxa"/>
          <w:left w:w="0" w:type="dxa"/>
          <w:bottom w:w="0" w:type="dxa"/>
          <w:right w:w="0" w:type="dxa"/>
        </w:tblCellMar>
        <w:tblLook w:val="01E0"/>
      </w:tblPr>
      <w:tblGrid>
        <w:gridCol w:w="2830"/>
        <w:gridCol w:w="1502"/>
        <w:gridCol w:w="1491"/>
        <w:gridCol w:w="1501"/>
        <w:gridCol w:w="1500"/>
      </w:tblGrid>
      <w:tr>
        <w:trPr>
          <w:trHeight w:val="557" w:hRule="exact"/>
        </w:trPr>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779" w:right="0"/>
              <w:jc w:val="left"/>
              <w:rPr>
                <w:rFonts w:ascii="宋体" w:hAnsi="宋体" w:cs="宋体" w:eastAsia="宋体" w:hint="default"/>
                <w:sz w:val="21"/>
                <w:szCs w:val="21"/>
              </w:rPr>
            </w:pPr>
            <w:r>
              <w:rPr>
                <w:rFonts w:ascii="宋体" w:hAnsi="宋体" w:cs="宋体" w:eastAsia="宋体" w:hint="default"/>
                <w:sz w:val="21"/>
                <w:szCs w:val="21"/>
              </w:rPr>
              <w:t>主要财务指标</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429"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z w:val="21"/>
                <w:szCs w:val="21"/>
              </w:rPr>
              <w:t>年</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425" w:right="0"/>
              <w:jc w:val="left"/>
              <w:rPr>
                <w:rFonts w:ascii="宋体" w:hAnsi="宋体" w:cs="宋体" w:eastAsia="宋体" w:hint="default"/>
                <w:sz w:val="21"/>
                <w:szCs w:val="21"/>
              </w:rPr>
            </w:pPr>
            <w:r>
              <w:rPr>
                <w:rFonts w:ascii="宋体" w:hAnsi="宋体" w:cs="宋体" w:eastAsia="宋体" w:hint="default"/>
                <w:sz w:val="21"/>
                <w:szCs w:val="21"/>
              </w:rPr>
              <w:t>2016</w:t>
            </w:r>
            <w:r>
              <w:rPr>
                <w:rFonts w:ascii="宋体" w:hAnsi="宋体" w:cs="宋体" w:eastAsia="宋体" w:hint="default"/>
                <w:sz w:val="21"/>
                <w:szCs w:val="21"/>
              </w:rPr>
              <w:t>年</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1" w:right="0"/>
              <w:jc w:val="center"/>
              <w:rPr>
                <w:rFonts w:ascii="宋体" w:hAnsi="宋体" w:cs="宋体" w:eastAsia="宋体" w:hint="default"/>
                <w:sz w:val="21"/>
                <w:szCs w:val="21"/>
              </w:rPr>
            </w:pPr>
            <w:r>
              <w:rPr>
                <w:rFonts w:ascii="宋体" w:hAnsi="宋体" w:cs="宋体" w:eastAsia="宋体" w:hint="default"/>
                <w:sz w:val="21"/>
                <w:szCs w:val="21"/>
              </w:rPr>
              <w:t>本期比上年同</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期增减</w:t>
            </w:r>
            <w:r>
              <w:rPr>
                <w:rFonts w:ascii="宋体" w:hAnsi="宋体" w:cs="宋体" w:eastAsia="宋体" w:hint="default"/>
                <w:sz w:val="21"/>
                <w:szCs w:val="21"/>
              </w:rPr>
              <w:t>(%)</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429"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z w:val="21"/>
                <w:szCs w:val="21"/>
              </w:rPr>
              <w:t>年</w:t>
            </w:r>
          </w:p>
        </w:tc>
      </w:tr>
      <w:tr>
        <w:trPr>
          <w:trHeight w:val="281" w:hRule="exact"/>
        </w:trPr>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基本每股收益（元／股）</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0.27</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0.14</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92.9</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0.23</w:t>
            </w:r>
          </w:p>
        </w:tc>
      </w:tr>
      <w:tr>
        <w:trPr>
          <w:trHeight w:val="283" w:hRule="exact"/>
        </w:trPr>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稀释每股收益（元／股）</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0.27</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0.14</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92.9</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0.23</w:t>
            </w:r>
          </w:p>
        </w:tc>
      </w:tr>
      <w:tr>
        <w:trPr>
          <w:trHeight w:val="554" w:hRule="exact"/>
        </w:trPr>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4"/>
                <w:sz w:val="21"/>
                <w:szCs w:val="21"/>
              </w:rPr>
              <w:t>扣除非经常性损益后的基本</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每股收益（元／股）</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0.20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0.09</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122.2</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0.07</w:t>
            </w:r>
          </w:p>
        </w:tc>
      </w:tr>
      <w:tr>
        <w:trPr>
          <w:trHeight w:val="828" w:hRule="exact"/>
        </w:trPr>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4"/>
                <w:sz w:val="21"/>
                <w:szCs w:val="21"/>
              </w:rPr>
              <w:t>扣除非经常性损益和股权激</w:t>
            </w:r>
          </w:p>
          <w:p>
            <w:pPr>
              <w:pStyle w:val="TableParagraph"/>
              <w:spacing w:line="272" w:lineRule="exact" w:before="27"/>
              <w:ind w:left="103" w:right="101"/>
              <w:jc w:val="left"/>
              <w:rPr>
                <w:rFonts w:ascii="宋体" w:hAnsi="宋体" w:cs="宋体" w:eastAsia="宋体" w:hint="default"/>
                <w:sz w:val="21"/>
                <w:szCs w:val="21"/>
              </w:rPr>
            </w:pPr>
            <w:r>
              <w:rPr>
                <w:rFonts w:ascii="宋体" w:hAnsi="宋体" w:cs="宋体" w:eastAsia="宋体" w:hint="default"/>
                <w:spacing w:val="4"/>
                <w:sz w:val="21"/>
                <w:szCs w:val="21"/>
              </w:rPr>
              <w:t>励成本后的基本每股收益（</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sz w:val="21"/>
                <w:szCs w:val="21"/>
              </w:rPr>
              <w:t>元／股）</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0.34</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0.19</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78.9</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0.19</w:t>
            </w:r>
          </w:p>
        </w:tc>
      </w:tr>
      <w:tr>
        <w:trPr>
          <w:trHeight w:val="554" w:hRule="exact"/>
        </w:trPr>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r>
              <w:rPr>
                <w:rFonts w:ascii="宋体" w:hAnsi="宋体" w:cs="宋体" w:eastAsia="宋体" w:hint="default"/>
                <w:sz w:val="21"/>
                <w:szCs w:val="21"/>
              </w:rPr>
              <w:t>%</w:t>
            </w:r>
            <w:r>
              <w:rPr>
                <w:rFonts w:ascii="宋体" w:hAnsi="宋体" w:cs="宋体" w:eastAsia="宋体" w:hint="default"/>
                <w:sz w:val="21"/>
                <w:szCs w:val="21"/>
              </w:rPr>
              <w:t>）</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6.71</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3.52</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27" w:right="0"/>
              <w:jc w:val="lef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z w:val="21"/>
                <w:szCs w:val="21"/>
              </w:rPr>
              <w:t>3.19</w:t>
            </w:r>
            <w:r>
              <w:rPr>
                <w:rFonts w:ascii="宋体" w:hAnsi="宋体" w:cs="宋体" w:eastAsia="宋体" w:hint="default"/>
                <w:sz w:val="21"/>
                <w:szCs w:val="21"/>
              </w:rPr>
              <w:t>个百</w:t>
            </w:r>
          </w:p>
          <w:p>
            <w:pPr>
              <w:pStyle w:val="TableParagraph"/>
              <w:spacing w:line="273" w:lineRule="exact"/>
              <w:ind w:left="967" w:right="0"/>
              <w:jc w:val="left"/>
              <w:rPr>
                <w:rFonts w:ascii="宋体" w:hAnsi="宋体" w:cs="宋体" w:eastAsia="宋体" w:hint="default"/>
                <w:sz w:val="21"/>
                <w:szCs w:val="21"/>
              </w:rPr>
            </w:pPr>
            <w:r>
              <w:rPr>
                <w:rFonts w:ascii="宋体" w:hAnsi="宋体" w:cs="宋体" w:eastAsia="宋体" w:hint="default"/>
                <w:sz w:val="21"/>
                <w:szCs w:val="21"/>
              </w:rPr>
              <w:t>分点</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6.76</w:t>
            </w:r>
          </w:p>
        </w:tc>
      </w:tr>
      <w:tr>
        <w:trPr>
          <w:trHeight w:val="555" w:hRule="exact"/>
        </w:trPr>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4"/>
                <w:sz w:val="21"/>
                <w:szCs w:val="21"/>
              </w:rPr>
              <w:t>扣除非经常性损益后的加权</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平均净资产收益率（</w:t>
            </w:r>
            <w:r>
              <w:rPr>
                <w:rFonts w:ascii="宋体" w:hAnsi="宋体" w:cs="宋体" w:eastAsia="宋体" w:hint="default"/>
                <w:sz w:val="21"/>
                <w:szCs w:val="21"/>
              </w:rPr>
              <w:t>%</w:t>
            </w:r>
            <w:r>
              <w:rPr>
                <w:rFonts w:ascii="宋体" w:hAnsi="宋体" w:cs="宋体" w:eastAsia="宋体" w:hint="default"/>
                <w:sz w:val="21"/>
                <w:szCs w:val="21"/>
              </w:rPr>
              <w:t>）</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5.05</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2.45</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27" w:right="0"/>
              <w:jc w:val="lef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z w:val="21"/>
                <w:szCs w:val="21"/>
              </w:rPr>
              <w:t>2.60</w:t>
            </w:r>
            <w:r>
              <w:rPr>
                <w:rFonts w:ascii="宋体" w:hAnsi="宋体" w:cs="宋体" w:eastAsia="宋体" w:hint="default"/>
                <w:sz w:val="21"/>
                <w:szCs w:val="21"/>
              </w:rPr>
              <w:t>个百</w:t>
            </w:r>
          </w:p>
          <w:p>
            <w:pPr>
              <w:pStyle w:val="TableParagraph"/>
              <w:spacing w:line="273" w:lineRule="exact"/>
              <w:ind w:left="967" w:right="0"/>
              <w:jc w:val="left"/>
              <w:rPr>
                <w:rFonts w:ascii="宋体" w:hAnsi="宋体" w:cs="宋体" w:eastAsia="宋体" w:hint="default"/>
                <w:sz w:val="21"/>
                <w:szCs w:val="21"/>
              </w:rPr>
            </w:pPr>
            <w:r>
              <w:rPr>
                <w:rFonts w:ascii="宋体" w:hAnsi="宋体" w:cs="宋体" w:eastAsia="宋体" w:hint="default"/>
                <w:sz w:val="21"/>
                <w:szCs w:val="21"/>
              </w:rPr>
              <w:t>分点</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2.21</w:t>
            </w:r>
          </w:p>
        </w:tc>
      </w:tr>
      <w:tr>
        <w:trPr>
          <w:trHeight w:val="554" w:hRule="exact"/>
        </w:trPr>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每股经营活动产生的现金流</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量净额（元／股）</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0.99</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0.61</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62.3</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0.38</w:t>
            </w:r>
          </w:p>
        </w:tc>
      </w:tr>
      <w:tr>
        <w:trPr>
          <w:trHeight w:val="554" w:hRule="exact"/>
        </w:trPr>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归属于上市公司股东的每股</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净资产（元／股）</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3.99</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3.88</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2.8</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3.78</w:t>
            </w:r>
          </w:p>
        </w:tc>
      </w:tr>
      <w:tr>
        <w:trPr>
          <w:trHeight w:val="554" w:hRule="exact"/>
        </w:trPr>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资产负债率（</w:t>
            </w:r>
            <w:r>
              <w:rPr>
                <w:rFonts w:ascii="宋体" w:hAnsi="宋体" w:cs="宋体" w:eastAsia="宋体" w:hint="default"/>
                <w:sz w:val="21"/>
                <w:szCs w:val="21"/>
              </w:rPr>
              <w:t>%</w:t>
            </w:r>
            <w:r>
              <w:rPr>
                <w:rFonts w:ascii="宋体" w:hAnsi="宋体" w:cs="宋体" w:eastAsia="宋体" w:hint="default"/>
                <w:sz w:val="21"/>
                <w:szCs w:val="21"/>
              </w:rPr>
              <w:t>）</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52.0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47.4</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2" w:right="0"/>
              <w:jc w:val="lef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z w:val="21"/>
                <w:szCs w:val="21"/>
              </w:rPr>
              <w:t>4.6</w:t>
            </w:r>
            <w:r>
              <w:rPr>
                <w:rFonts w:ascii="宋体" w:hAnsi="宋体" w:cs="宋体" w:eastAsia="宋体" w:hint="default"/>
                <w:sz w:val="21"/>
                <w:szCs w:val="21"/>
              </w:rPr>
              <w:t>个百</w:t>
            </w:r>
          </w:p>
          <w:p>
            <w:pPr>
              <w:pStyle w:val="TableParagraph"/>
              <w:spacing w:line="274" w:lineRule="exact"/>
              <w:ind w:left="967" w:right="0"/>
              <w:jc w:val="left"/>
              <w:rPr>
                <w:rFonts w:ascii="宋体" w:hAnsi="宋体" w:cs="宋体" w:eastAsia="宋体" w:hint="default"/>
                <w:sz w:val="21"/>
                <w:szCs w:val="21"/>
              </w:rPr>
            </w:pPr>
            <w:r>
              <w:rPr>
                <w:rFonts w:ascii="宋体" w:hAnsi="宋体" w:cs="宋体" w:eastAsia="宋体" w:hint="default"/>
                <w:sz w:val="21"/>
                <w:szCs w:val="21"/>
              </w:rPr>
              <w:t>分点</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44.5</w:t>
            </w:r>
          </w:p>
        </w:tc>
      </w:tr>
    </w:tbl>
    <w:p>
      <w:pPr>
        <w:pStyle w:val="BodyText"/>
        <w:spacing w:line="240" w:lineRule="exact"/>
        <w:ind w:right="147"/>
        <w:jc w:val="left"/>
      </w:pPr>
      <w:r>
        <w:rPr/>
        <w:t>报告期末公司前三年主要会计数据和财务指标的说明</w:t>
      </w:r>
    </w:p>
    <w:p>
      <w:pPr>
        <w:pStyle w:val="BodyText"/>
        <w:tabs>
          <w:tab w:pos="1060" w:val="left" w:leader="none"/>
        </w:tabs>
        <w:spacing w:line="237" w:lineRule="auto" w:before="2"/>
        <w:ind w:right="147"/>
        <w:jc w:val="left"/>
      </w:pPr>
      <w:r>
        <w:rPr/>
        <w:t>√适用</w:t>
        <w:tab/>
        <w:t>□不适用</w:t>
      </w:r>
      <w:r>
        <w:rPr>
          <w:w w:val="100"/>
        </w:rPr>
        <w:t> </w:t>
      </w:r>
      <w:r>
        <w:rPr>
          <w:spacing w:val="-2"/>
        </w:rPr>
        <w:t>注：基本每股收益、每股经营活动产生的现金流量净额和归属于上市公司股东的每股净资产以报</w:t>
      </w:r>
      <w:r>
        <w:rPr>
          <w:spacing w:val="-25"/>
        </w:rPr>
        <w:t> </w:t>
      </w:r>
      <w:r>
        <w:rPr>
          <w:spacing w:val="-25"/>
        </w:rPr>
      </w:r>
      <w:r>
        <w:rPr>
          <w:spacing w:val="-3"/>
        </w:rPr>
        <w:t>告期加权平均股本为基数计算，本报告期加权平均股数为</w:t>
      </w:r>
      <w:r>
        <w:rPr>
          <w:spacing w:val="-37"/>
        </w:rPr>
        <w:t> </w:t>
      </w:r>
      <w:r>
        <w:rPr>
          <w:rFonts w:ascii="宋体" w:hAnsi="宋体" w:cs="宋体" w:eastAsia="宋体" w:hint="default"/>
        </w:rPr>
        <w:t>1,450,411,554</w:t>
      </w:r>
      <w:r>
        <w:rPr>
          <w:rFonts w:ascii="宋体" w:hAnsi="宋体" w:cs="宋体" w:eastAsia="宋体" w:hint="default"/>
          <w:spacing w:val="-37"/>
        </w:rPr>
        <w:t> </w:t>
      </w:r>
      <w:r>
        <w:rPr>
          <w:spacing w:val="-5"/>
        </w:rPr>
        <w:t>股，</w:t>
      </w:r>
      <w:r>
        <w:rPr>
          <w:rFonts w:ascii="宋体" w:hAnsi="宋体" w:cs="宋体" w:eastAsia="宋体" w:hint="default"/>
          <w:spacing w:val="-5"/>
        </w:rPr>
        <w:t>2016</w:t>
      </w:r>
      <w:r>
        <w:rPr>
          <w:rFonts w:ascii="宋体" w:hAnsi="宋体" w:cs="宋体" w:eastAsia="宋体" w:hint="default"/>
          <w:spacing w:val="-37"/>
        </w:rPr>
        <w:t> </w:t>
      </w:r>
      <w:r>
        <w:rPr/>
        <w:t>年同期的加权</w:t>
      </w:r>
      <w:r>
        <w:rPr>
          <w:spacing w:val="-98"/>
        </w:rPr>
        <w:t> </w:t>
      </w:r>
      <w:r>
        <w:rPr>
          <w:spacing w:val="-98"/>
        </w:rPr>
      </w:r>
      <w:r>
        <w:rPr/>
        <w:t>平均股数为</w:t>
      </w:r>
      <w:r>
        <w:rPr>
          <w:spacing w:val="-54"/>
        </w:rPr>
        <w:t> </w:t>
      </w:r>
      <w:r>
        <w:rPr>
          <w:rFonts w:ascii="宋体" w:hAnsi="宋体" w:cs="宋体" w:eastAsia="宋体" w:hint="default"/>
        </w:rPr>
        <w:t>1,460,332,802</w:t>
      </w:r>
      <w:r>
        <w:rPr>
          <w:rFonts w:ascii="宋体" w:hAnsi="宋体" w:cs="宋体" w:eastAsia="宋体" w:hint="default"/>
          <w:spacing w:val="-53"/>
        </w:rPr>
        <w:t> </w:t>
      </w:r>
      <w:r>
        <w:rPr/>
        <w:t>股。</w:t>
      </w:r>
    </w:p>
    <w:p>
      <w:pPr>
        <w:spacing w:line="240" w:lineRule="auto" w:before="4"/>
        <w:rPr>
          <w:rFonts w:ascii="宋体" w:hAnsi="宋体" w:cs="宋体" w:eastAsia="宋体" w:hint="default"/>
          <w:sz w:val="25"/>
          <w:szCs w:val="25"/>
        </w:rPr>
      </w:pPr>
    </w:p>
    <w:p>
      <w:pPr>
        <w:pStyle w:val="Heading3"/>
        <w:spacing w:line="240" w:lineRule="auto"/>
        <w:ind w:right="147"/>
        <w:jc w:val="left"/>
        <w:rPr>
          <w:b w:val="0"/>
          <w:bCs w:val="0"/>
        </w:rPr>
      </w:pPr>
      <w:r>
        <w:rPr/>
        <w:t>八、</w:t>
      </w:r>
      <w:r>
        <w:rPr>
          <w:spacing w:val="-32"/>
        </w:rPr>
        <w:t> </w:t>
      </w:r>
      <w:r>
        <w:rPr/>
        <w:t>境内外会计准则下会计数据差异</w:t>
      </w:r>
      <w:r>
        <w:rPr>
          <w:b w:val="0"/>
          <w:bCs w:val="0"/>
        </w:rPr>
      </w:r>
    </w:p>
    <w:p>
      <w:pPr>
        <w:pStyle w:val="Heading3"/>
        <w:spacing w:line="272" w:lineRule="exact" w:before="86"/>
        <w:ind w:left="638" w:right="147" w:hanging="420"/>
        <w:jc w:val="left"/>
        <w:rPr>
          <w:b w:val="0"/>
          <w:bCs w:val="0"/>
        </w:rPr>
      </w:pPr>
      <w:r>
        <w:rPr>
          <w:rFonts w:ascii="Calibri" w:hAnsi="Calibri" w:cs="Calibri" w:eastAsia="Calibri" w:hint="default"/>
        </w:rPr>
        <w:t>(</w:t>
      </w:r>
      <w:r>
        <w:rPr/>
        <w:t>一</w:t>
      </w:r>
      <w:r>
        <w:rPr>
          <w:rFonts w:ascii="Calibri" w:hAnsi="Calibri" w:cs="Calibri" w:eastAsia="Calibri" w:hint="default"/>
        </w:rPr>
        <w:t>) </w:t>
      </w:r>
      <w:r>
        <w:rPr>
          <w:spacing w:val="2"/>
        </w:rPr>
        <w:t>同时按照国际会计准则与按中国会计准则披露的财务报告中净利润和归属于上市公司股东</w:t>
      </w:r>
      <w:r>
        <w:rPr>
          <w:spacing w:val="-85"/>
        </w:rPr>
        <w:t> </w:t>
      </w:r>
      <w:r>
        <w:rPr>
          <w:spacing w:val="-85"/>
        </w:rPr>
      </w:r>
      <w:r>
        <w:rPr/>
        <w:t>的净资产差异情况</w:t>
      </w:r>
      <w:r>
        <w:rPr>
          <w:b w:val="0"/>
          <w:bCs w:val="0"/>
        </w:rPr>
      </w:r>
    </w:p>
    <w:p>
      <w:pPr>
        <w:pStyle w:val="BodyText"/>
        <w:tabs>
          <w:tab w:pos="1060" w:val="left" w:leader="none"/>
        </w:tabs>
        <w:spacing w:line="240" w:lineRule="auto" w:before="34"/>
        <w:ind w:right="147"/>
        <w:jc w:val="left"/>
      </w:pPr>
      <w:r>
        <w:rPr/>
        <w:t>□适用</w:t>
        <w:tab/>
        <w:t>√不适用</w:t>
      </w:r>
    </w:p>
    <w:p>
      <w:pPr>
        <w:pStyle w:val="Heading3"/>
        <w:spacing w:line="274" w:lineRule="exact" w:before="82"/>
        <w:ind w:left="585" w:right="147" w:hanging="368"/>
        <w:jc w:val="left"/>
        <w:rPr>
          <w:b w:val="0"/>
          <w:bCs w:val="0"/>
        </w:rPr>
      </w:pPr>
      <w:r>
        <w:rPr>
          <w:rFonts w:ascii="Calibri" w:hAnsi="Calibri" w:cs="Calibri" w:eastAsia="Calibri" w:hint="default"/>
        </w:rPr>
        <w:t>(</w:t>
      </w:r>
      <w:r>
        <w:rPr/>
        <w:t>二</w:t>
      </w:r>
      <w:r>
        <w:rPr>
          <w:rFonts w:ascii="Calibri" w:hAnsi="Calibri" w:cs="Calibri" w:eastAsia="Calibri" w:hint="default"/>
        </w:rPr>
        <w:t>) </w:t>
      </w:r>
      <w:r>
        <w:rPr/>
        <w:t>同时按照境外会计准则与按中国会计准则披露的财务报告中净利润和归属于上市公司股东的</w:t>
      </w:r>
      <w:r>
        <w:rPr>
          <w:spacing w:val="-98"/>
        </w:rPr>
        <w:t> </w:t>
      </w:r>
      <w:r>
        <w:rPr>
          <w:spacing w:val="-98"/>
        </w:rPr>
      </w:r>
      <w:r>
        <w:rPr/>
        <w:t>净资产差异情况</w:t>
      </w:r>
      <w:r>
        <w:rPr>
          <w:b w:val="0"/>
          <w:bCs w:val="0"/>
        </w:rPr>
      </w:r>
    </w:p>
    <w:p>
      <w:pPr>
        <w:pStyle w:val="BodyText"/>
        <w:spacing w:line="240" w:lineRule="auto" w:before="31"/>
        <w:ind w:right="147"/>
        <w:jc w:val="left"/>
      </w:pPr>
      <w:r>
        <w:rPr/>
        <w:t>□适用</w:t>
      </w:r>
      <w:r>
        <w:rPr>
          <w:spacing w:val="-1"/>
        </w:rPr>
        <w:t> </w:t>
      </w:r>
      <w:r>
        <w:rPr/>
        <w:t>√不适用</w:t>
      </w:r>
    </w:p>
    <w:p>
      <w:pPr>
        <w:pStyle w:val="Heading3"/>
        <w:spacing w:line="240" w:lineRule="auto" w:before="58"/>
        <w:ind w:right="147"/>
        <w:jc w:val="left"/>
        <w:rPr>
          <w:b w:val="0"/>
          <w:bCs w:val="0"/>
        </w:rPr>
      </w:pPr>
      <w:r>
        <w:rPr>
          <w:rFonts w:ascii="Calibri" w:hAnsi="Calibri" w:cs="Calibri" w:eastAsia="Calibri" w:hint="default"/>
        </w:rPr>
        <w:t>(</w:t>
      </w:r>
      <w:r>
        <w:rPr/>
        <w:t>三</w:t>
      </w:r>
      <w:r>
        <w:rPr>
          <w:rFonts w:ascii="Calibri" w:hAnsi="Calibri" w:cs="Calibri" w:eastAsia="Calibri" w:hint="default"/>
        </w:rPr>
        <w:t>)</w:t>
      </w:r>
      <w:r>
        <w:rPr>
          <w:rFonts w:ascii="Calibri" w:hAnsi="Calibri" w:cs="Calibri" w:eastAsia="Calibri" w:hint="default"/>
          <w:spacing w:val="28"/>
        </w:rPr>
        <w:t> </w:t>
      </w:r>
      <w:r>
        <w:rPr/>
        <w:t>境内外会计准则差异的说明</w:t>
      </w:r>
      <w:r>
        <w:rPr>
          <w:b w:val="0"/>
          <w:bCs w:val="0"/>
        </w:rPr>
      </w:r>
    </w:p>
    <w:p>
      <w:pPr>
        <w:pStyle w:val="BodyText"/>
        <w:spacing w:line="240" w:lineRule="auto" w:before="29"/>
        <w:ind w:right="147"/>
        <w:jc w:val="left"/>
      </w:pPr>
      <w:r>
        <w:rPr/>
        <w:t>□适用</w:t>
      </w:r>
      <w:r>
        <w:rPr>
          <w:spacing w:val="-1"/>
        </w:rPr>
        <w:t> </w:t>
      </w:r>
      <w:r>
        <w:rPr/>
        <w:t>√不适用</w:t>
      </w:r>
    </w:p>
    <w:p>
      <w:pPr>
        <w:spacing w:line="240" w:lineRule="auto" w:before="6"/>
        <w:rPr>
          <w:rFonts w:ascii="宋体" w:hAnsi="宋体" w:cs="宋体" w:eastAsia="宋体" w:hint="default"/>
          <w:sz w:val="22"/>
          <w:szCs w:val="22"/>
        </w:rPr>
      </w:pPr>
    </w:p>
    <w:p>
      <w:pPr>
        <w:pStyle w:val="Heading3"/>
        <w:spacing w:line="240" w:lineRule="auto" w:before="36"/>
        <w:ind w:right="147"/>
        <w:jc w:val="left"/>
        <w:rPr>
          <w:b w:val="0"/>
          <w:bCs w:val="0"/>
        </w:rPr>
      </w:pPr>
      <w:r>
        <w:rPr/>
        <w:t>九、 </w:t>
      </w:r>
      <w:r>
        <w:rPr>
          <w:rFonts w:ascii="Arial" w:hAnsi="Arial" w:cs="Arial" w:eastAsia="Arial" w:hint="default"/>
        </w:rPr>
        <w:t>2017</w:t>
      </w:r>
      <w:r>
        <w:rPr>
          <w:rFonts w:ascii="Arial" w:hAnsi="Arial" w:cs="Arial" w:eastAsia="Arial" w:hint="default"/>
          <w:spacing w:val="-39"/>
        </w:rPr>
        <w:t> </w:t>
      </w:r>
      <w:r>
        <w:rPr/>
        <w:t>年分季度主要财务数据</w:t>
      </w:r>
      <w:r>
        <w:rPr>
          <w:b w:val="0"/>
          <w:bCs w:val="0"/>
        </w:rPr>
      </w:r>
    </w:p>
    <w:p>
      <w:pPr>
        <w:pStyle w:val="BodyText"/>
        <w:tabs>
          <w:tab w:pos="1051" w:val="left" w:leader="none"/>
        </w:tabs>
        <w:spacing w:line="240" w:lineRule="auto" w:before="41"/>
        <w:ind w:left="0" w:right="150"/>
        <w:jc w:val="right"/>
      </w:pPr>
      <w:r>
        <w:rPr>
          <w:spacing w:val="-1"/>
        </w:rPr>
        <w:t>单位：元</w:t>
        <w:tab/>
      </w:r>
      <w:r>
        <w:rPr>
          <w:spacing w:val="-2"/>
        </w:rPr>
        <w:t>币种：人民币</w:t>
      </w: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980"/>
        <w:gridCol w:w="1702"/>
        <w:gridCol w:w="1702"/>
        <w:gridCol w:w="1699"/>
        <w:gridCol w:w="1741"/>
      </w:tblGrid>
      <w:tr>
        <w:trPr>
          <w:trHeight w:val="528" w:hRule="exact"/>
        </w:trPr>
        <w:tc>
          <w:tcPr>
            <w:tcW w:w="1980"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right="1"/>
              <w:jc w:val="center"/>
              <w:rPr>
                <w:rFonts w:ascii="宋体" w:hAnsi="宋体" w:cs="宋体" w:eastAsia="宋体" w:hint="default"/>
                <w:sz w:val="20"/>
                <w:szCs w:val="20"/>
              </w:rPr>
            </w:pPr>
            <w:r>
              <w:rPr>
                <w:rFonts w:ascii="宋体" w:hAnsi="宋体" w:cs="宋体" w:eastAsia="宋体" w:hint="default"/>
                <w:sz w:val="20"/>
                <w:szCs w:val="20"/>
              </w:rPr>
              <w:t>第一季度</w:t>
            </w:r>
          </w:p>
          <w:p>
            <w:pPr>
              <w:pStyle w:val="TableParagraph"/>
              <w:spacing w:line="260" w:lineRule="exact"/>
              <w:ind w:right="0"/>
              <w:jc w:val="center"/>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0"/>
                <w:szCs w:val="20"/>
              </w:rPr>
              <w:t>1-3</w:t>
            </w:r>
            <w:r>
              <w:rPr>
                <w:rFonts w:ascii="宋体" w:hAnsi="宋体" w:cs="宋体" w:eastAsia="宋体" w:hint="default"/>
                <w:spacing w:val="-52"/>
                <w:sz w:val="20"/>
                <w:szCs w:val="20"/>
              </w:rPr>
              <w:t> </w:t>
            </w:r>
            <w:r>
              <w:rPr>
                <w:rFonts w:ascii="宋体" w:hAnsi="宋体" w:cs="宋体" w:eastAsia="宋体" w:hint="default"/>
                <w:sz w:val="20"/>
                <w:szCs w:val="20"/>
              </w:rPr>
              <w:t>月份）</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right="5"/>
              <w:jc w:val="center"/>
              <w:rPr>
                <w:rFonts w:ascii="宋体" w:hAnsi="宋体" w:cs="宋体" w:eastAsia="宋体" w:hint="default"/>
                <w:sz w:val="20"/>
                <w:szCs w:val="20"/>
              </w:rPr>
            </w:pPr>
            <w:r>
              <w:rPr>
                <w:rFonts w:ascii="宋体" w:hAnsi="宋体" w:cs="宋体" w:eastAsia="宋体" w:hint="default"/>
                <w:sz w:val="20"/>
                <w:szCs w:val="20"/>
              </w:rPr>
              <w:t>第二季度</w:t>
            </w:r>
          </w:p>
          <w:p>
            <w:pPr>
              <w:pStyle w:val="TableParagraph"/>
              <w:spacing w:line="260" w:lineRule="exact"/>
              <w:ind w:right="3"/>
              <w:jc w:val="center"/>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0"/>
                <w:szCs w:val="20"/>
              </w:rPr>
              <w:t>4-6</w:t>
            </w:r>
            <w:r>
              <w:rPr>
                <w:rFonts w:ascii="宋体" w:hAnsi="宋体" w:cs="宋体" w:eastAsia="宋体" w:hint="default"/>
                <w:spacing w:val="-52"/>
                <w:sz w:val="20"/>
                <w:szCs w:val="20"/>
              </w:rPr>
              <w:t> </w:t>
            </w:r>
            <w:r>
              <w:rPr>
                <w:rFonts w:ascii="宋体" w:hAnsi="宋体" w:cs="宋体" w:eastAsia="宋体" w:hint="default"/>
                <w:sz w:val="20"/>
                <w:szCs w:val="20"/>
              </w:rPr>
              <w:t>月份）</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right="2"/>
              <w:jc w:val="center"/>
              <w:rPr>
                <w:rFonts w:ascii="宋体" w:hAnsi="宋体" w:cs="宋体" w:eastAsia="宋体" w:hint="default"/>
                <w:sz w:val="20"/>
                <w:szCs w:val="20"/>
              </w:rPr>
            </w:pPr>
            <w:r>
              <w:rPr>
                <w:rFonts w:ascii="宋体" w:hAnsi="宋体" w:cs="宋体" w:eastAsia="宋体" w:hint="default"/>
                <w:sz w:val="20"/>
                <w:szCs w:val="20"/>
              </w:rPr>
              <w:t>第三季度</w:t>
            </w:r>
          </w:p>
          <w:p>
            <w:pPr>
              <w:pStyle w:val="TableParagraph"/>
              <w:spacing w:line="260" w:lineRule="exact"/>
              <w:ind w:right="0"/>
              <w:jc w:val="center"/>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0"/>
                <w:szCs w:val="20"/>
              </w:rPr>
              <w:t>7-9</w:t>
            </w:r>
            <w:r>
              <w:rPr>
                <w:rFonts w:ascii="宋体" w:hAnsi="宋体" w:cs="宋体" w:eastAsia="宋体" w:hint="default"/>
                <w:spacing w:val="-52"/>
                <w:sz w:val="20"/>
                <w:szCs w:val="20"/>
              </w:rPr>
              <w:t> </w:t>
            </w:r>
            <w:r>
              <w:rPr>
                <w:rFonts w:ascii="宋体" w:hAnsi="宋体" w:cs="宋体" w:eastAsia="宋体" w:hint="default"/>
                <w:sz w:val="20"/>
                <w:szCs w:val="20"/>
              </w:rPr>
              <w:t>月份）</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right="1"/>
              <w:jc w:val="center"/>
              <w:rPr>
                <w:rFonts w:ascii="宋体" w:hAnsi="宋体" w:cs="宋体" w:eastAsia="宋体" w:hint="default"/>
                <w:sz w:val="20"/>
                <w:szCs w:val="20"/>
              </w:rPr>
            </w:pPr>
            <w:r>
              <w:rPr>
                <w:rFonts w:ascii="宋体" w:hAnsi="宋体" w:cs="宋体" w:eastAsia="宋体" w:hint="default"/>
                <w:sz w:val="20"/>
                <w:szCs w:val="20"/>
              </w:rPr>
              <w:t>第四季度</w:t>
            </w:r>
          </w:p>
          <w:p>
            <w:pPr>
              <w:pStyle w:val="TableParagraph"/>
              <w:spacing w:line="260" w:lineRule="exact"/>
              <w:ind w:right="0"/>
              <w:jc w:val="center"/>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0"/>
                <w:szCs w:val="20"/>
              </w:rPr>
              <w:t>10-12</w:t>
            </w:r>
            <w:r>
              <w:rPr>
                <w:rFonts w:ascii="宋体" w:hAnsi="宋体" w:cs="宋体" w:eastAsia="宋体" w:hint="default"/>
                <w:spacing w:val="-51"/>
                <w:sz w:val="20"/>
                <w:szCs w:val="20"/>
              </w:rPr>
              <w:t> </w:t>
            </w:r>
            <w:r>
              <w:rPr>
                <w:rFonts w:ascii="宋体" w:hAnsi="宋体" w:cs="宋体" w:eastAsia="宋体" w:hint="default"/>
                <w:sz w:val="20"/>
                <w:szCs w:val="20"/>
              </w:rPr>
              <w:t>月份）</w:t>
            </w:r>
          </w:p>
        </w:tc>
      </w:tr>
      <w:tr>
        <w:trPr>
          <w:trHeight w:val="269"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z w:val="20"/>
                <w:szCs w:val="20"/>
              </w:rPr>
              <w:t>营业收入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w w:val="95"/>
                <w:sz w:val="20"/>
              </w:rPr>
              <w:t>746,662,528</w:t>
            </w:r>
            <w:r>
              <w:rPr>
                <w:rFonts w:ascii="宋体"/>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4"/>
              <w:jc w:val="right"/>
              <w:rPr>
                <w:rFonts w:ascii="宋体" w:hAnsi="宋体" w:cs="宋体" w:eastAsia="宋体" w:hint="default"/>
                <w:sz w:val="20"/>
                <w:szCs w:val="20"/>
              </w:rPr>
            </w:pPr>
            <w:r>
              <w:rPr>
                <w:rFonts w:ascii="宋体"/>
                <w:w w:val="95"/>
                <w:sz w:val="20"/>
              </w:rPr>
              <w:t>1,445,649,416</w:t>
            </w:r>
            <w:r>
              <w:rPr>
                <w:rFonts w:ascii="宋体"/>
                <w:sz w:val="20"/>
              </w:rPr>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w w:val="95"/>
                <w:sz w:val="20"/>
              </w:rPr>
              <w:t>1,083,484,288</w:t>
            </w:r>
            <w:r>
              <w:rPr>
                <w:rFonts w:ascii="宋体"/>
                <w:sz w:val="20"/>
              </w:rPr>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w w:val="95"/>
                <w:sz w:val="20"/>
              </w:rPr>
              <w:t>3,067,862,317</w:t>
            </w:r>
            <w:r>
              <w:rPr>
                <w:rFonts w:ascii="宋体"/>
                <w:sz w:val="20"/>
              </w:rPr>
            </w:r>
          </w:p>
        </w:tc>
      </w:tr>
      <w:tr>
        <w:trPr>
          <w:trHeight w:val="530"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03" w:right="0"/>
              <w:jc w:val="left"/>
              <w:rPr>
                <w:rFonts w:ascii="宋体" w:hAnsi="宋体" w:cs="宋体" w:eastAsia="宋体" w:hint="default"/>
                <w:sz w:val="20"/>
                <w:szCs w:val="20"/>
              </w:rPr>
            </w:pPr>
            <w:r>
              <w:rPr>
                <w:rFonts w:ascii="宋体" w:hAnsi="宋体" w:cs="宋体" w:eastAsia="宋体" w:hint="default"/>
                <w:sz w:val="20"/>
                <w:szCs w:val="20"/>
              </w:rPr>
              <w:t>归属于上市公司股</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东的净利润</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宋体" w:hAnsi="宋体" w:cs="宋体" w:eastAsia="宋体" w:hint="default"/>
                <w:sz w:val="20"/>
                <w:szCs w:val="20"/>
              </w:rPr>
            </w:pPr>
            <w:r>
              <w:rPr>
                <w:rFonts w:ascii="宋体"/>
                <w:w w:val="95"/>
                <w:sz w:val="20"/>
              </w:rPr>
              <w:t>-167,033,654</w:t>
            </w:r>
            <w:r>
              <w:rPr>
                <w:rFonts w:ascii="宋体"/>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4"/>
              <w:jc w:val="right"/>
              <w:rPr>
                <w:rFonts w:ascii="宋体" w:hAnsi="宋体" w:cs="宋体" w:eastAsia="宋体" w:hint="default"/>
                <w:sz w:val="20"/>
                <w:szCs w:val="20"/>
              </w:rPr>
            </w:pPr>
            <w:r>
              <w:rPr>
                <w:rFonts w:ascii="宋体"/>
                <w:w w:val="95"/>
                <w:sz w:val="20"/>
              </w:rPr>
              <w:t>103,264,989</w:t>
            </w:r>
            <w:r>
              <w:rPr>
                <w:rFonts w:ascii="宋体"/>
                <w:sz w:val="20"/>
              </w:rPr>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宋体" w:hAnsi="宋体" w:cs="宋体" w:eastAsia="宋体" w:hint="default"/>
                <w:sz w:val="20"/>
                <w:szCs w:val="20"/>
              </w:rPr>
            </w:pPr>
            <w:r>
              <w:rPr>
                <w:rFonts w:ascii="宋体"/>
                <w:w w:val="95"/>
                <w:sz w:val="20"/>
              </w:rPr>
              <w:t>-196,223,191</w:t>
            </w:r>
            <w:r>
              <w:rPr>
                <w:rFonts w:ascii="宋体"/>
                <w:sz w:val="20"/>
              </w:rPr>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宋体" w:hAnsi="宋体" w:cs="宋体" w:eastAsia="宋体" w:hint="default"/>
                <w:sz w:val="20"/>
                <w:szCs w:val="20"/>
              </w:rPr>
            </w:pPr>
            <w:r>
              <w:rPr>
                <w:rFonts w:ascii="宋体"/>
                <w:w w:val="95"/>
                <w:sz w:val="20"/>
              </w:rPr>
              <w:t>649,072,750</w:t>
            </w:r>
            <w:r>
              <w:rPr>
                <w:rFonts w:ascii="宋体"/>
                <w:sz w:val="20"/>
              </w:rPr>
            </w:r>
          </w:p>
        </w:tc>
      </w:tr>
      <w:tr>
        <w:trPr>
          <w:trHeight w:val="787"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归属于上市公司股</w:t>
            </w:r>
          </w:p>
          <w:p>
            <w:pPr>
              <w:pStyle w:val="TableParagraph"/>
              <w:spacing w:line="260" w:lineRule="exact" w:before="24"/>
              <w:ind w:left="103" w:right="267"/>
              <w:jc w:val="left"/>
              <w:rPr>
                <w:rFonts w:ascii="宋体" w:hAnsi="宋体" w:cs="宋体" w:eastAsia="宋体" w:hint="default"/>
                <w:sz w:val="20"/>
                <w:szCs w:val="20"/>
              </w:rPr>
            </w:pPr>
            <w:r>
              <w:rPr>
                <w:rFonts w:ascii="宋体" w:hAnsi="宋体" w:cs="宋体" w:eastAsia="宋体" w:hint="default"/>
                <w:sz w:val="20"/>
                <w:szCs w:val="20"/>
              </w:rPr>
              <w:t>东的扣除非经常性</w:t>
            </w:r>
            <w:r>
              <w:rPr>
                <w:rFonts w:ascii="宋体" w:hAnsi="宋体" w:cs="宋体" w:eastAsia="宋体" w:hint="default"/>
                <w:w w:val="99"/>
                <w:sz w:val="20"/>
                <w:szCs w:val="20"/>
              </w:rPr>
              <w:t> </w:t>
            </w:r>
            <w:r>
              <w:rPr>
                <w:rFonts w:ascii="宋体" w:hAnsi="宋体" w:cs="宋体" w:eastAsia="宋体" w:hint="default"/>
                <w:sz w:val="20"/>
                <w:szCs w:val="20"/>
              </w:rPr>
              <w:t>损益后的净利润</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0"/>
                <w:szCs w:val="20"/>
              </w:rPr>
            </w:pPr>
            <w:r>
              <w:rPr>
                <w:rFonts w:ascii="宋体"/>
                <w:w w:val="95"/>
                <w:sz w:val="20"/>
              </w:rPr>
              <w:t>-166,946,259</w:t>
            </w:r>
            <w:r>
              <w:rPr>
                <w:rFonts w:ascii="宋体"/>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4"/>
              <w:jc w:val="right"/>
              <w:rPr>
                <w:rFonts w:ascii="宋体" w:hAnsi="宋体" w:cs="宋体" w:eastAsia="宋体" w:hint="default"/>
                <w:sz w:val="20"/>
                <w:szCs w:val="20"/>
              </w:rPr>
            </w:pPr>
            <w:r>
              <w:rPr>
                <w:rFonts w:ascii="宋体"/>
                <w:w w:val="95"/>
                <w:sz w:val="20"/>
              </w:rPr>
              <w:t>63,498,498</w:t>
            </w:r>
            <w:r>
              <w:rPr>
                <w:rFonts w:ascii="宋体"/>
                <w:sz w:val="20"/>
              </w:rPr>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0"/>
                <w:szCs w:val="20"/>
              </w:rPr>
            </w:pPr>
            <w:r>
              <w:rPr>
                <w:rFonts w:ascii="宋体"/>
                <w:w w:val="95"/>
                <w:sz w:val="20"/>
              </w:rPr>
              <w:t>-214,817,855</w:t>
            </w:r>
            <w:r>
              <w:rPr>
                <w:rFonts w:ascii="宋体"/>
                <w:sz w:val="20"/>
              </w:rPr>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0"/>
                <w:szCs w:val="20"/>
              </w:rPr>
            </w:pPr>
            <w:r>
              <w:rPr>
                <w:rFonts w:ascii="宋体"/>
                <w:w w:val="95"/>
                <w:sz w:val="20"/>
              </w:rPr>
              <w:t>611,340,765</w:t>
            </w:r>
            <w:r>
              <w:rPr>
                <w:rFonts w:ascii="宋体"/>
                <w:sz w:val="20"/>
              </w:rPr>
            </w:r>
          </w:p>
        </w:tc>
      </w:tr>
      <w:tr>
        <w:trPr>
          <w:trHeight w:val="531"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20"/>
                <w:szCs w:val="20"/>
              </w:rPr>
            </w:pPr>
            <w:r>
              <w:rPr>
                <w:rFonts w:ascii="宋体" w:hAnsi="宋体" w:cs="宋体" w:eastAsia="宋体" w:hint="default"/>
                <w:sz w:val="20"/>
                <w:szCs w:val="20"/>
              </w:rPr>
              <w:t>经营活动产生的现</w:t>
            </w:r>
          </w:p>
          <w:p>
            <w:pPr>
              <w:pStyle w:val="TableParagraph"/>
              <w:spacing w:line="261" w:lineRule="exact"/>
              <w:ind w:left="103" w:right="0"/>
              <w:jc w:val="left"/>
              <w:rPr>
                <w:rFonts w:ascii="宋体" w:hAnsi="宋体" w:cs="宋体" w:eastAsia="宋体" w:hint="default"/>
                <w:sz w:val="20"/>
                <w:szCs w:val="20"/>
              </w:rPr>
            </w:pPr>
            <w:r>
              <w:rPr>
                <w:rFonts w:ascii="宋体" w:hAnsi="宋体" w:cs="宋体" w:eastAsia="宋体" w:hint="default"/>
                <w:sz w:val="20"/>
                <w:szCs w:val="20"/>
              </w:rPr>
              <w:t>金流量净额</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宋体" w:hAnsi="宋体" w:cs="宋体" w:eastAsia="宋体" w:hint="default"/>
                <w:sz w:val="20"/>
                <w:szCs w:val="20"/>
              </w:rPr>
            </w:pPr>
            <w:r>
              <w:rPr>
                <w:rFonts w:ascii="宋体"/>
                <w:w w:val="95"/>
                <w:sz w:val="20"/>
              </w:rPr>
              <w:t>-642,078,558</w:t>
            </w:r>
            <w:r>
              <w:rPr>
                <w:rFonts w:ascii="宋体"/>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4"/>
              <w:jc w:val="right"/>
              <w:rPr>
                <w:rFonts w:ascii="宋体" w:hAnsi="宋体" w:cs="宋体" w:eastAsia="宋体" w:hint="default"/>
                <w:sz w:val="20"/>
                <w:szCs w:val="20"/>
              </w:rPr>
            </w:pPr>
            <w:r>
              <w:rPr>
                <w:rFonts w:ascii="宋体"/>
                <w:w w:val="95"/>
                <w:sz w:val="20"/>
              </w:rPr>
              <w:t>66,175,193</w:t>
            </w:r>
            <w:r>
              <w:rPr>
                <w:rFonts w:ascii="宋体"/>
                <w:sz w:val="20"/>
              </w:rPr>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宋体" w:hAnsi="宋体" w:cs="宋体" w:eastAsia="宋体" w:hint="default"/>
                <w:sz w:val="20"/>
                <w:szCs w:val="20"/>
              </w:rPr>
            </w:pPr>
            <w:r>
              <w:rPr>
                <w:rFonts w:ascii="宋体"/>
                <w:w w:val="95"/>
                <w:sz w:val="20"/>
              </w:rPr>
              <w:t>44,587,873</w:t>
            </w:r>
            <w:r>
              <w:rPr>
                <w:rFonts w:ascii="宋体"/>
                <w:sz w:val="20"/>
              </w:rPr>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宋体" w:hAnsi="宋体" w:cs="宋体" w:eastAsia="宋体" w:hint="default"/>
                <w:sz w:val="20"/>
                <w:szCs w:val="20"/>
              </w:rPr>
            </w:pPr>
            <w:r>
              <w:rPr>
                <w:rFonts w:ascii="宋体"/>
                <w:w w:val="95"/>
                <w:sz w:val="20"/>
              </w:rPr>
              <w:t>1,961,641,344</w:t>
            </w:r>
            <w:r>
              <w:rPr>
                <w:rFonts w:ascii="宋体"/>
                <w:sz w:val="20"/>
              </w:rPr>
            </w:r>
          </w:p>
        </w:tc>
      </w:tr>
    </w:tbl>
    <w:p>
      <w:pPr>
        <w:pStyle w:val="BodyText"/>
        <w:spacing w:line="241" w:lineRule="exact"/>
        <w:ind w:right="147"/>
        <w:jc w:val="left"/>
      </w:pPr>
      <w:r>
        <w:rPr/>
        <w:t>季度数据与已披露定期报告数据差异说明</w:t>
      </w:r>
    </w:p>
    <w:p>
      <w:pPr>
        <w:spacing w:after="0" w:line="241" w:lineRule="exact"/>
        <w:jc w:val="left"/>
        <w:sectPr>
          <w:footerReference w:type="default" r:id="rId15"/>
          <w:pgSz w:w="11910" w:h="16840"/>
          <w:pgMar w:footer="1195" w:header="855" w:top="1320" w:bottom="1380" w:left="1580" w:right="1120"/>
          <w:pgNumType w:start="11"/>
        </w:sectPr>
      </w:pPr>
    </w:p>
    <w:p>
      <w:pPr>
        <w:spacing w:line="240" w:lineRule="auto" w:before="4"/>
        <w:rPr>
          <w:rFonts w:ascii="宋体" w:hAnsi="宋体" w:cs="宋体" w:eastAsia="宋体" w:hint="default"/>
          <w:sz w:val="9"/>
          <w:szCs w:val="9"/>
        </w:rPr>
      </w:pPr>
    </w:p>
    <w:p>
      <w:pPr>
        <w:pStyle w:val="BodyText"/>
        <w:tabs>
          <w:tab w:pos="1060" w:val="left" w:leader="none"/>
        </w:tabs>
        <w:spacing w:line="240" w:lineRule="auto" w:before="36"/>
        <w:ind w:right="99"/>
        <w:jc w:val="left"/>
      </w:pPr>
      <w:r>
        <w:rPr>
          <w:spacing w:val="-1"/>
        </w:rPr>
        <w:t>□适用</w:t>
        <w:tab/>
      </w:r>
      <w:r>
        <w:rPr>
          <w:spacing w:val="-2"/>
        </w:rPr>
        <w:t>√不适用</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55" w:footer="1195" w:top="1320" w:bottom="1380" w:left="1580" w:right="1040"/>
        </w:sectPr>
      </w:pPr>
    </w:p>
    <w:p>
      <w:pPr>
        <w:pStyle w:val="Heading3"/>
        <w:spacing w:line="240" w:lineRule="auto" w:before="36"/>
        <w:ind w:right="-18"/>
        <w:jc w:val="left"/>
        <w:rPr>
          <w:b w:val="0"/>
          <w:bCs w:val="0"/>
        </w:rPr>
      </w:pPr>
      <w:r>
        <w:rPr/>
        <w:t>十、</w:t>
      </w:r>
      <w:r>
        <w:rPr>
          <w:spacing w:val="-31"/>
        </w:rPr>
        <w:t> </w:t>
      </w:r>
      <w:r>
        <w:rPr/>
        <w:t>非经常性损益项目和金额</w:t>
      </w:r>
      <w:r>
        <w:rPr>
          <w:b w:val="0"/>
          <w:bCs w:val="0"/>
        </w:rPr>
      </w:r>
    </w:p>
    <w:p>
      <w:pPr>
        <w:pStyle w:val="BodyText"/>
        <w:spacing w:line="240" w:lineRule="auto" w:before="58"/>
        <w:ind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tabs>
          <w:tab w:pos="1164" w:val="left" w:leader="none"/>
        </w:tabs>
        <w:spacing w:line="240" w:lineRule="auto"/>
        <w:ind w:right="0"/>
        <w:jc w:val="left"/>
      </w:pPr>
      <w:r>
        <w:rPr>
          <w:spacing w:val="-1"/>
        </w:rPr>
        <w:t>单位</w:t>
      </w:r>
      <w:r>
        <w:rPr>
          <w:rFonts w:ascii="宋体" w:hAnsi="宋体" w:cs="宋体" w:eastAsia="宋体" w:hint="default"/>
          <w:spacing w:val="-1"/>
        </w:rPr>
        <w:t>:</w:t>
      </w:r>
      <w:r>
        <w:rPr>
          <w:spacing w:val="-1"/>
        </w:rPr>
        <w:t>元</w:t>
        <w:tab/>
        <w:t>币种</w:t>
      </w:r>
      <w:r>
        <w:rPr>
          <w:rFonts w:ascii="宋体" w:hAnsi="宋体" w:cs="宋体" w:eastAsia="宋体" w:hint="default"/>
          <w:spacing w:val="-1"/>
        </w:rPr>
        <w:t>:</w:t>
      </w:r>
      <w:r>
        <w:rPr>
          <w:spacing w:val="-1"/>
        </w:rPr>
        <w:t>人民币</w:t>
      </w:r>
    </w:p>
    <w:p>
      <w:pPr>
        <w:spacing w:after="0" w:line="240" w:lineRule="auto"/>
        <w:jc w:val="left"/>
        <w:sectPr>
          <w:type w:val="continuous"/>
          <w:pgSz w:w="11910" w:h="16840"/>
          <w:pgMar w:top="1320" w:bottom="1380" w:left="1580" w:right="1040"/>
          <w:cols w:num="2" w:equalWidth="0">
            <w:col w:w="3036" w:space="3697"/>
            <w:col w:w="2557"/>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519"/>
        <w:gridCol w:w="1371"/>
        <w:gridCol w:w="1418"/>
        <w:gridCol w:w="1371"/>
        <w:gridCol w:w="1370"/>
      </w:tblGrid>
      <w:tr>
        <w:trPr>
          <w:trHeight w:val="554"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914" w:right="0"/>
              <w:jc w:val="left"/>
              <w:rPr>
                <w:rFonts w:ascii="宋体" w:hAnsi="宋体" w:cs="宋体" w:eastAsia="宋体" w:hint="default"/>
                <w:sz w:val="21"/>
                <w:szCs w:val="21"/>
              </w:rPr>
            </w:pPr>
            <w:r>
              <w:rPr>
                <w:rFonts w:ascii="宋体" w:hAnsi="宋体" w:cs="宋体" w:eastAsia="宋体" w:hint="default"/>
                <w:sz w:val="21"/>
                <w:szCs w:val="21"/>
              </w:rPr>
              <w:t>非经常性损益项目</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5"/>
              <w:jc w:val="righ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2"/>
                <w:sz w:val="21"/>
                <w:szCs w:val="21"/>
              </w:rPr>
              <w:t> </w:t>
            </w:r>
            <w:r>
              <w:rPr>
                <w:rFonts w:ascii="宋体" w:hAnsi="宋体" w:cs="宋体" w:eastAsia="宋体" w:hint="default"/>
                <w:sz w:val="21"/>
                <w:szCs w:val="21"/>
              </w:rPr>
              <w:t>年金额</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附注（如适</w:t>
            </w:r>
          </w:p>
          <w:p>
            <w:pPr>
              <w:pStyle w:val="TableParagraph"/>
              <w:spacing w:line="273" w:lineRule="exact"/>
              <w:ind w:left="2" w:right="0"/>
              <w:jc w:val="center"/>
              <w:rPr>
                <w:rFonts w:ascii="宋体" w:hAnsi="宋体" w:cs="宋体" w:eastAsia="宋体" w:hint="default"/>
                <w:sz w:val="21"/>
                <w:szCs w:val="21"/>
              </w:rPr>
            </w:pPr>
            <w:r>
              <w:rPr>
                <w:rFonts w:ascii="宋体" w:hAnsi="宋体" w:cs="宋体" w:eastAsia="宋体" w:hint="default"/>
                <w:sz w:val="21"/>
                <w:szCs w:val="21"/>
              </w:rPr>
              <w:t>用）</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5"/>
              <w:jc w:val="right"/>
              <w:rPr>
                <w:rFonts w:ascii="宋体" w:hAnsi="宋体" w:cs="宋体" w:eastAsia="宋体" w:hint="default"/>
                <w:sz w:val="21"/>
                <w:szCs w:val="21"/>
              </w:rPr>
            </w:pPr>
            <w:r>
              <w:rPr>
                <w:rFonts w:ascii="宋体" w:hAnsi="宋体" w:cs="宋体" w:eastAsia="宋体" w:hint="default"/>
                <w:sz w:val="21"/>
                <w:szCs w:val="21"/>
              </w:rPr>
              <w:t>2016</w:t>
            </w:r>
            <w:r>
              <w:rPr>
                <w:rFonts w:ascii="宋体" w:hAnsi="宋体" w:cs="宋体" w:eastAsia="宋体" w:hint="default"/>
                <w:spacing w:val="-52"/>
                <w:sz w:val="21"/>
                <w:szCs w:val="21"/>
              </w:rPr>
              <w:t> </w:t>
            </w:r>
            <w:r>
              <w:rPr>
                <w:rFonts w:ascii="宋体" w:hAnsi="宋体" w:cs="宋体" w:eastAsia="宋体" w:hint="default"/>
                <w:sz w:val="21"/>
                <w:szCs w:val="21"/>
              </w:rPr>
              <w:t>年金额</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25"/>
              <w:jc w:val="righ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2"/>
                <w:sz w:val="21"/>
                <w:szCs w:val="21"/>
              </w:rPr>
              <w:t> </w:t>
            </w:r>
            <w:r>
              <w:rPr>
                <w:rFonts w:ascii="宋体" w:hAnsi="宋体" w:cs="宋体" w:eastAsia="宋体" w:hint="default"/>
                <w:sz w:val="21"/>
                <w:szCs w:val="21"/>
              </w:rPr>
              <w:t>年金额</w:t>
            </w:r>
          </w:p>
        </w:tc>
      </w:tr>
      <w:tr>
        <w:trPr>
          <w:trHeight w:val="283"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405,547</w:t>
            </w: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-145,294</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460,237</w:t>
            </w:r>
          </w:p>
        </w:tc>
      </w:tr>
      <w:tr>
        <w:trPr>
          <w:trHeight w:val="554"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6"/>
                <w:sz w:val="21"/>
                <w:szCs w:val="21"/>
              </w:rPr>
              <w:t>越权审批，或无正式批准文件，或偶</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发性的税收返还、减免</w:t>
            </w:r>
          </w:p>
        </w:tc>
        <w:tc>
          <w:tcPr>
            <w:tcW w:w="137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r>
      <w:tr>
        <w:trPr>
          <w:trHeight w:val="1100"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both"/>
              <w:rPr>
                <w:rFonts w:ascii="宋体" w:hAnsi="宋体" w:cs="宋体" w:eastAsia="宋体" w:hint="default"/>
                <w:sz w:val="21"/>
                <w:szCs w:val="21"/>
              </w:rPr>
            </w:pPr>
            <w:r>
              <w:rPr>
                <w:rFonts w:ascii="宋体" w:hAnsi="宋体" w:cs="宋体" w:eastAsia="宋体" w:hint="default"/>
                <w:spacing w:val="-5"/>
                <w:sz w:val="21"/>
                <w:szCs w:val="21"/>
              </w:rPr>
              <w:t>计入当期损益的政府补助，但与公司</w:t>
            </w:r>
          </w:p>
          <w:p>
            <w:pPr>
              <w:pStyle w:val="TableParagraph"/>
              <w:spacing w:line="237" w:lineRule="auto" w:before="1"/>
              <w:ind w:left="103" w:right="98"/>
              <w:jc w:val="both"/>
              <w:rPr>
                <w:rFonts w:ascii="宋体" w:hAnsi="宋体" w:cs="宋体" w:eastAsia="宋体" w:hint="default"/>
                <w:sz w:val="21"/>
                <w:szCs w:val="21"/>
              </w:rPr>
            </w:pPr>
            <w:r>
              <w:rPr>
                <w:rFonts w:ascii="宋体" w:hAnsi="宋体" w:cs="宋体" w:eastAsia="宋体" w:hint="default"/>
                <w:spacing w:val="-5"/>
                <w:sz w:val="21"/>
                <w:szCs w:val="21"/>
              </w:rPr>
              <w:t>正常经营业务密切相关，符合国家政</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pacing w:val="-5"/>
                <w:sz w:val="21"/>
                <w:szCs w:val="21"/>
              </w:rPr>
              <w:t>策规定、按照一定标准定额或定量持</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续享受的政府补助除外</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54,936,885</w:t>
            </w: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62,903,262</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86,846,260</w:t>
            </w:r>
          </w:p>
        </w:tc>
      </w:tr>
      <w:tr>
        <w:trPr>
          <w:trHeight w:val="554"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计入当期损益的对非金融企业收取</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的资金占用费</w:t>
            </w:r>
          </w:p>
        </w:tc>
        <w:tc>
          <w:tcPr>
            <w:tcW w:w="137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r>
      <w:tr>
        <w:trPr>
          <w:trHeight w:val="1099"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pacing w:val="-5"/>
                <w:sz w:val="21"/>
                <w:szCs w:val="21"/>
              </w:rPr>
              <w:t>企业取得子公司、联营企业及合营企</w:t>
            </w:r>
          </w:p>
          <w:p>
            <w:pPr>
              <w:pStyle w:val="TableParagraph"/>
              <w:spacing w:line="272" w:lineRule="exact" w:before="27"/>
              <w:ind w:left="103" w:right="250"/>
              <w:jc w:val="both"/>
              <w:rPr>
                <w:rFonts w:ascii="宋体" w:hAnsi="宋体" w:cs="宋体" w:eastAsia="宋体" w:hint="default"/>
                <w:sz w:val="21"/>
                <w:szCs w:val="21"/>
              </w:rPr>
            </w:pPr>
            <w:r>
              <w:rPr>
                <w:rFonts w:ascii="宋体" w:hAnsi="宋体" w:cs="宋体" w:eastAsia="宋体" w:hint="default"/>
                <w:spacing w:val="-2"/>
                <w:sz w:val="21"/>
                <w:szCs w:val="21"/>
              </w:rPr>
              <w:t>业的投资成本小于取得投资时应享</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pacing w:val="-2"/>
                <w:sz w:val="21"/>
                <w:szCs w:val="21"/>
              </w:rPr>
              <w:t>有被投资单位可辨认净资产公允价</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值产生的收益</w:t>
            </w:r>
          </w:p>
        </w:tc>
        <w:tc>
          <w:tcPr>
            <w:tcW w:w="137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非货币性资产交换损益</w:t>
            </w:r>
          </w:p>
        </w:tc>
        <w:tc>
          <w:tcPr>
            <w:tcW w:w="137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委托他人投资或管理资产的损益</w:t>
            </w:r>
          </w:p>
        </w:tc>
        <w:tc>
          <w:tcPr>
            <w:tcW w:w="137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r>
      <w:tr>
        <w:trPr>
          <w:trHeight w:val="555"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5"/>
                <w:sz w:val="21"/>
                <w:szCs w:val="21"/>
              </w:rPr>
              <w:t>因不可抗力因素，如遭受自然灾害而</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计提的各项资产减值准备</w:t>
            </w:r>
          </w:p>
        </w:tc>
        <w:tc>
          <w:tcPr>
            <w:tcW w:w="137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债务重组损益</w:t>
            </w:r>
          </w:p>
        </w:tc>
        <w:tc>
          <w:tcPr>
            <w:tcW w:w="137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企业重组费用，如安置职工的支出、</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整合费用等</w:t>
            </w:r>
          </w:p>
        </w:tc>
        <w:tc>
          <w:tcPr>
            <w:tcW w:w="137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交易价格显失公允的交易产生的超</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过公允价值部分的损益</w:t>
            </w:r>
          </w:p>
        </w:tc>
        <w:tc>
          <w:tcPr>
            <w:tcW w:w="137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同一控制下企业合并产生的子公司</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期初至合并日的当期净损益</w:t>
            </w:r>
          </w:p>
        </w:tc>
        <w:tc>
          <w:tcPr>
            <w:tcW w:w="137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与公司正常经营业务无关的或有事</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项产生的损益</w:t>
            </w:r>
          </w:p>
        </w:tc>
        <w:tc>
          <w:tcPr>
            <w:tcW w:w="137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r>
      <w:tr>
        <w:trPr>
          <w:trHeight w:val="1647"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除同公司正常经营业务相关的有效</w:t>
            </w:r>
          </w:p>
          <w:p>
            <w:pPr>
              <w:pStyle w:val="TableParagraph"/>
              <w:spacing w:line="237" w:lineRule="auto"/>
              <w:ind w:left="103" w:right="98"/>
              <w:jc w:val="left"/>
              <w:rPr>
                <w:rFonts w:ascii="宋体" w:hAnsi="宋体" w:cs="宋体" w:eastAsia="宋体" w:hint="default"/>
                <w:sz w:val="21"/>
                <w:szCs w:val="21"/>
              </w:rPr>
            </w:pPr>
            <w:r>
              <w:rPr>
                <w:rFonts w:ascii="宋体" w:hAnsi="宋体" w:cs="宋体" w:eastAsia="宋体" w:hint="default"/>
                <w:spacing w:val="-5"/>
                <w:sz w:val="21"/>
                <w:szCs w:val="21"/>
              </w:rPr>
              <w:t>套期保值业务外，持有交易性金融资</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pacing w:val="-5"/>
                <w:sz w:val="21"/>
                <w:szCs w:val="21"/>
              </w:rPr>
              <w:t>产、交易性金融负债产生的公允价值</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变动损益，以及处置交易性金融资</w:t>
            </w:r>
            <w:r>
              <w:rPr>
                <w:rFonts w:ascii="宋体" w:hAnsi="宋体" w:cs="宋体" w:eastAsia="宋体" w:hint="default"/>
                <w:w w:val="100"/>
                <w:sz w:val="21"/>
                <w:szCs w:val="21"/>
              </w:rPr>
              <w:t> </w:t>
            </w:r>
            <w:r>
              <w:rPr>
                <w:rFonts w:ascii="宋体" w:hAnsi="宋体" w:cs="宋体" w:eastAsia="宋体" w:hint="default"/>
                <w:spacing w:val="-5"/>
                <w:sz w:val="21"/>
                <w:szCs w:val="21"/>
              </w:rPr>
              <w:t>产、交易性金融负债和可供出售金融</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资产取得的投资收益</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43,170,732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both"/>
              <w:rPr>
                <w:rFonts w:ascii="宋体" w:hAnsi="宋体" w:cs="宋体" w:eastAsia="宋体" w:hint="default"/>
                <w:sz w:val="21"/>
                <w:szCs w:val="21"/>
              </w:rPr>
            </w:pPr>
            <w:r>
              <w:rPr>
                <w:rFonts w:ascii="宋体" w:hAnsi="宋体" w:cs="宋体" w:eastAsia="宋体" w:hint="default"/>
                <w:sz w:val="21"/>
                <w:szCs w:val="21"/>
              </w:rPr>
              <w:t>主</w:t>
            </w:r>
            <w:r>
              <w:rPr>
                <w:rFonts w:ascii="宋体" w:hAnsi="宋体" w:cs="宋体" w:eastAsia="宋体" w:hint="default"/>
                <w:spacing w:val="-66"/>
                <w:sz w:val="21"/>
                <w:szCs w:val="21"/>
              </w:rPr>
              <w:t> </w:t>
            </w:r>
            <w:r>
              <w:rPr>
                <w:rFonts w:ascii="宋体" w:hAnsi="宋体" w:cs="宋体" w:eastAsia="宋体" w:hint="default"/>
                <w:sz w:val="21"/>
                <w:szCs w:val="21"/>
              </w:rPr>
              <w:t>要</w:t>
            </w:r>
            <w:r>
              <w:rPr>
                <w:rFonts w:ascii="宋体" w:hAnsi="宋体" w:cs="宋体" w:eastAsia="宋体" w:hint="default"/>
                <w:spacing w:val="-69"/>
                <w:sz w:val="21"/>
                <w:szCs w:val="21"/>
              </w:rPr>
              <w:t> </w:t>
            </w:r>
            <w:r>
              <w:rPr>
                <w:rFonts w:ascii="宋体" w:hAnsi="宋体" w:cs="宋体" w:eastAsia="宋体" w:hint="default"/>
                <w:sz w:val="21"/>
                <w:szCs w:val="21"/>
              </w:rPr>
              <w:t>为</w:t>
            </w:r>
            <w:r>
              <w:rPr>
                <w:rFonts w:ascii="宋体" w:hAnsi="宋体" w:cs="宋体" w:eastAsia="宋体" w:hint="default"/>
                <w:spacing w:val="-69"/>
                <w:sz w:val="21"/>
                <w:szCs w:val="21"/>
              </w:rPr>
              <w:t> </w:t>
            </w:r>
            <w:r>
              <w:rPr>
                <w:rFonts w:ascii="宋体" w:hAnsi="宋体" w:cs="宋体" w:eastAsia="宋体" w:hint="default"/>
                <w:sz w:val="21"/>
                <w:szCs w:val="21"/>
              </w:rPr>
              <w:t>远</w:t>
            </w:r>
            <w:r>
              <w:rPr>
                <w:rFonts w:ascii="宋体" w:hAnsi="宋体" w:cs="宋体" w:eastAsia="宋体" w:hint="default"/>
                <w:spacing w:val="-66"/>
                <w:sz w:val="21"/>
                <w:szCs w:val="21"/>
              </w:rPr>
              <w:t> </w:t>
            </w:r>
            <w:r>
              <w:rPr>
                <w:rFonts w:ascii="宋体" w:hAnsi="宋体" w:cs="宋体" w:eastAsia="宋体" w:hint="default"/>
                <w:sz w:val="21"/>
                <w:szCs w:val="21"/>
              </w:rPr>
              <w:t>期</w:t>
            </w:r>
          </w:p>
          <w:p>
            <w:pPr>
              <w:pStyle w:val="TableParagraph"/>
              <w:spacing w:line="237" w:lineRule="auto"/>
              <w:ind w:left="103" w:right="99"/>
              <w:jc w:val="both"/>
              <w:rPr>
                <w:rFonts w:ascii="宋体" w:hAnsi="宋体" w:cs="宋体" w:eastAsia="宋体" w:hint="default"/>
                <w:sz w:val="21"/>
                <w:szCs w:val="21"/>
              </w:rPr>
            </w:pPr>
            <w:r>
              <w:rPr>
                <w:rFonts w:ascii="宋体" w:hAnsi="宋体" w:cs="宋体" w:eastAsia="宋体" w:hint="default"/>
                <w:sz w:val="21"/>
                <w:szCs w:val="21"/>
              </w:rPr>
              <w:t>外</w:t>
            </w:r>
            <w:r>
              <w:rPr>
                <w:rFonts w:ascii="宋体" w:hAnsi="宋体" w:cs="宋体" w:eastAsia="宋体" w:hint="default"/>
                <w:spacing w:val="-66"/>
                <w:sz w:val="21"/>
                <w:szCs w:val="21"/>
              </w:rPr>
              <w:t> </w:t>
            </w:r>
            <w:r>
              <w:rPr>
                <w:rFonts w:ascii="宋体" w:hAnsi="宋体" w:cs="宋体" w:eastAsia="宋体" w:hint="default"/>
                <w:sz w:val="21"/>
                <w:szCs w:val="21"/>
              </w:rPr>
              <w:t>汇</w:t>
            </w:r>
            <w:r>
              <w:rPr>
                <w:rFonts w:ascii="宋体" w:hAnsi="宋体" w:cs="宋体" w:eastAsia="宋体" w:hint="default"/>
                <w:spacing w:val="-69"/>
                <w:sz w:val="21"/>
                <w:szCs w:val="21"/>
              </w:rPr>
              <w:t> </w:t>
            </w:r>
            <w:r>
              <w:rPr>
                <w:rFonts w:ascii="宋体" w:hAnsi="宋体" w:cs="宋体" w:eastAsia="宋体" w:hint="default"/>
                <w:sz w:val="21"/>
                <w:szCs w:val="21"/>
              </w:rPr>
              <w:t>合</w:t>
            </w:r>
            <w:r>
              <w:rPr>
                <w:rFonts w:ascii="宋体" w:hAnsi="宋体" w:cs="宋体" w:eastAsia="宋体" w:hint="default"/>
                <w:spacing w:val="-69"/>
                <w:sz w:val="21"/>
                <w:szCs w:val="21"/>
              </w:rPr>
              <w:t> </w:t>
            </w:r>
            <w:r>
              <w:rPr>
                <w:rFonts w:ascii="宋体" w:hAnsi="宋体" w:cs="宋体" w:eastAsia="宋体" w:hint="default"/>
                <w:sz w:val="21"/>
                <w:szCs w:val="21"/>
              </w:rPr>
              <w:t>约</w:t>
            </w:r>
            <w:r>
              <w:rPr>
                <w:rFonts w:ascii="宋体" w:hAnsi="宋体" w:cs="宋体" w:eastAsia="宋体" w:hint="default"/>
                <w:spacing w:val="-66"/>
                <w:sz w:val="21"/>
                <w:szCs w:val="21"/>
              </w:rPr>
              <w:t> </w:t>
            </w:r>
            <w:r>
              <w:rPr>
                <w:rFonts w:ascii="宋体" w:hAnsi="宋体" w:cs="宋体" w:eastAsia="宋体" w:hint="default"/>
                <w:sz w:val="21"/>
                <w:szCs w:val="21"/>
              </w:rPr>
              <w:t>取</w:t>
            </w:r>
            <w:r>
              <w:rPr>
                <w:rFonts w:ascii="宋体" w:hAnsi="宋体" w:cs="宋体" w:eastAsia="宋体" w:hint="default"/>
                <w:w w:val="100"/>
                <w:sz w:val="21"/>
                <w:szCs w:val="21"/>
              </w:rPr>
              <w:t> </w:t>
            </w:r>
            <w:r>
              <w:rPr>
                <w:rFonts w:ascii="宋体" w:hAnsi="宋体" w:cs="宋体" w:eastAsia="宋体" w:hint="default"/>
                <w:sz w:val="21"/>
                <w:szCs w:val="21"/>
              </w:rPr>
              <w:t>得</w:t>
            </w:r>
            <w:r>
              <w:rPr>
                <w:rFonts w:ascii="宋体" w:hAnsi="宋体" w:cs="宋体" w:eastAsia="宋体" w:hint="default"/>
                <w:spacing w:val="-66"/>
                <w:sz w:val="21"/>
                <w:szCs w:val="21"/>
              </w:rPr>
              <w:t> </w:t>
            </w:r>
            <w:r>
              <w:rPr>
                <w:rFonts w:ascii="宋体" w:hAnsi="宋体" w:cs="宋体" w:eastAsia="宋体" w:hint="default"/>
                <w:sz w:val="21"/>
                <w:szCs w:val="21"/>
              </w:rPr>
              <w:t>的</w:t>
            </w:r>
            <w:r>
              <w:rPr>
                <w:rFonts w:ascii="宋体" w:hAnsi="宋体" w:cs="宋体" w:eastAsia="宋体" w:hint="default"/>
                <w:spacing w:val="-69"/>
                <w:sz w:val="21"/>
                <w:szCs w:val="21"/>
              </w:rPr>
              <w:t> </w:t>
            </w:r>
            <w:r>
              <w:rPr>
                <w:rFonts w:ascii="宋体" w:hAnsi="宋体" w:cs="宋体" w:eastAsia="宋体" w:hint="default"/>
                <w:sz w:val="21"/>
                <w:szCs w:val="21"/>
              </w:rPr>
              <w:t>收</w:t>
            </w:r>
            <w:r>
              <w:rPr>
                <w:rFonts w:ascii="宋体" w:hAnsi="宋体" w:cs="宋体" w:eastAsia="宋体" w:hint="default"/>
                <w:spacing w:val="-69"/>
                <w:sz w:val="21"/>
                <w:szCs w:val="21"/>
              </w:rPr>
              <w:t> </w:t>
            </w:r>
            <w:r>
              <w:rPr>
                <w:rFonts w:ascii="宋体" w:hAnsi="宋体" w:cs="宋体" w:eastAsia="宋体" w:hint="default"/>
                <w:sz w:val="21"/>
                <w:szCs w:val="21"/>
              </w:rPr>
              <w:t>益</w:t>
            </w:r>
            <w:r>
              <w:rPr>
                <w:rFonts w:ascii="宋体" w:hAnsi="宋体" w:cs="宋体" w:eastAsia="宋体" w:hint="default"/>
                <w:spacing w:val="-66"/>
                <w:sz w:val="21"/>
                <w:szCs w:val="21"/>
              </w:rPr>
              <w:t> </w:t>
            </w:r>
            <w:r>
              <w:rPr>
                <w:rFonts w:ascii="宋体" w:hAnsi="宋体" w:cs="宋体" w:eastAsia="宋体" w:hint="default"/>
                <w:sz w:val="21"/>
                <w:szCs w:val="21"/>
              </w:rPr>
              <w:t>所</w:t>
            </w:r>
            <w:r>
              <w:rPr>
                <w:rFonts w:ascii="宋体" w:hAnsi="宋体" w:cs="宋体" w:eastAsia="宋体" w:hint="default"/>
                <w:w w:val="100"/>
                <w:sz w:val="21"/>
                <w:szCs w:val="21"/>
              </w:rPr>
              <w:t> </w:t>
            </w:r>
            <w:r>
              <w:rPr>
                <w:rFonts w:ascii="宋体" w:hAnsi="宋体" w:cs="宋体" w:eastAsia="宋体" w:hint="default"/>
                <w:sz w:val="21"/>
                <w:szCs w:val="21"/>
              </w:rPr>
              <w:t>致</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17,181,078</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-1,705,998</w:t>
            </w:r>
          </w:p>
        </w:tc>
      </w:tr>
      <w:tr>
        <w:trPr>
          <w:trHeight w:val="554"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单独进行减值测试的应收款项减值</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准备转回</w:t>
            </w:r>
          </w:p>
        </w:tc>
        <w:tc>
          <w:tcPr>
            <w:tcW w:w="137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对外委托贷款取得的损益</w:t>
            </w:r>
          </w:p>
        </w:tc>
        <w:tc>
          <w:tcPr>
            <w:tcW w:w="137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r>
      <w:tr>
        <w:trPr>
          <w:trHeight w:val="828"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采用公允价值模式进行后续计量的</w:t>
            </w:r>
          </w:p>
          <w:p>
            <w:pPr>
              <w:pStyle w:val="TableParagraph"/>
              <w:spacing w:line="272" w:lineRule="exact" w:before="27"/>
              <w:ind w:left="103" w:right="250"/>
              <w:jc w:val="left"/>
              <w:rPr>
                <w:rFonts w:ascii="宋体" w:hAnsi="宋体" w:cs="宋体" w:eastAsia="宋体" w:hint="default"/>
                <w:sz w:val="21"/>
                <w:szCs w:val="21"/>
              </w:rPr>
            </w:pPr>
            <w:r>
              <w:rPr>
                <w:rFonts w:ascii="宋体" w:hAnsi="宋体" w:cs="宋体" w:eastAsia="宋体" w:hint="default"/>
                <w:spacing w:val="-2"/>
                <w:sz w:val="21"/>
                <w:szCs w:val="21"/>
              </w:rPr>
              <w:t>投资性房地产公允价值变动产生的</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损益</w:t>
            </w:r>
          </w:p>
        </w:tc>
        <w:tc>
          <w:tcPr>
            <w:tcW w:w="137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r>
      <w:tr>
        <w:trPr>
          <w:trHeight w:val="826"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5"/>
                <w:sz w:val="21"/>
                <w:szCs w:val="21"/>
              </w:rPr>
              <w:t>根据税收、会计等法律、法规的要求</w:t>
            </w:r>
          </w:p>
          <w:p>
            <w:pPr>
              <w:pStyle w:val="TableParagraph"/>
              <w:spacing w:line="272" w:lineRule="exact" w:before="27"/>
              <w:ind w:left="103" w:right="250"/>
              <w:jc w:val="left"/>
              <w:rPr>
                <w:rFonts w:ascii="宋体" w:hAnsi="宋体" w:cs="宋体" w:eastAsia="宋体" w:hint="default"/>
                <w:sz w:val="21"/>
                <w:szCs w:val="21"/>
              </w:rPr>
            </w:pPr>
            <w:r>
              <w:rPr>
                <w:rFonts w:ascii="宋体" w:hAnsi="宋体" w:cs="宋体" w:eastAsia="宋体" w:hint="default"/>
                <w:spacing w:val="-2"/>
                <w:sz w:val="21"/>
                <w:szCs w:val="21"/>
              </w:rPr>
              <w:t>对当期损益进行一次性调整对当期</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损益的影响</w:t>
            </w:r>
          </w:p>
        </w:tc>
        <w:tc>
          <w:tcPr>
            <w:tcW w:w="137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受托经营取得的托管费收入</w:t>
            </w:r>
          </w:p>
        </w:tc>
        <w:tc>
          <w:tcPr>
            <w:tcW w:w="137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320" w:bottom="1380" w:left="1580" w:right="1040"/>
        </w:sectPr>
      </w:pPr>
    </w:p>
    <w:p>
      <w:pPr>
        <w:spacing w:line="240" w:lineRule="auto" w:before="9"/>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3519"/>
        <w:gridCol w:w="1371"/>
        <w:gridCol w:w="1418"/>
        <w:gridCol w:w="1371"/>
        <w:gridCol w:w="1370"/>
      </w:tblGrid>
      <w:tr>
        <w:trPr>
          <w:trHeight w:val="557"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103"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和支出</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210" w:right="0"/>
              <w:jc w:val="center"/>
              <w:rPr>
                <w:rFonts w:ascii="宋体" w:hAnsi="宋体" w:cs="宋体" w:eastAsia="宋体" w:hint="default"/>
                <w:sz w:val="21"/>
                <w:szCs w:val="21"/>
              </w:rPr>
            </w:pPr>
            <w:r>
              <w:rPr>
                <w:rFonts w:ascii="宋体"/>
                <w:sz w:val="21"/>
              </w:rPr>
              <w:t>1,180,357</w:t>
            </w: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5" w:right="0"/>
              <w:jc w:val="center"/>
              <w:rPr>
                <w:rFonts w:ascii="宋体" w:hAnsi="宋体" w:cs="宋体" w:eastAsia="宋体" w:hint="default"/>
                <w:sz w:val="21"/>
                <w:szCs w:val="21"/>
              </w:rPr>
            </w:pPr>
            <w:r>
              <w:rPr>
                <w:rFonts w:ascii="宋体"/>
                <w:sz w:val="21"/>
              </w:rPr>
              <w:t>-5,493,583</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8"/>
              <w:jc w:val="right"/>
              <w:rPr>
                <w:rFonts w:ascii="宋体" w:hAnsi="宋体" w:cs="宋体" w:eastAsia="宋体" w:hint="default"/>
                <w:sz w:val="21"/>
                <w:szCs w:val="21"/>
              </w:rPr>
            </w:pPr>
            <w:r>
              <w:rPr>
                <w:rFonts w:ascii="宋体"/>
                <w:spacing w:val="-1"/>
                <w:sz w:val="21"/>
              </w:rPr>
              <w:t>9,991,638</w:t>
            </w:r>
          </w:p>
        </w:tc>
      </w:tr>
      <w:tr>
        <w:trPr>
          <w:trHeight w:val="554"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其他符合非经常性损益定义的损益</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137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sz w:val="21"/>
              </w:rPr>
              <w:t>-3,265,283</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-1,938,748</w:t>
            </w:r>
          </w:p>
        </w:tc>
      </w:tr>
      <w:tr>
        <w:trPr>
          <w:trHeight w:val="281"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处置长期股权的投资收益</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0" w:right="0"/>
              <w:jc w:val="center"/>
              <w:rPr>
                <w:rFonts w:ascii="宋体" w:hAnsi="宋体" w:cs="宋体" w:eastAsia="宋体" w:hint="default"/>
                <w:sz w:val="21"/>
                <w:szCs w:val="21"/>
              </w:rPr>
            </w:pPr>
            <w:r>
              <w:rPr>
                <w:rFonts w:ascii="宋体"/>
                <w:sz w:val="21"/>
              </w:rPr>
              <w:t>6,698,428</w:t>
            </w: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139,049,539</w:t>
            </w:r>
          </w:p>
        </w:tc>
      </w:tr>
      <w:tr>
        <w:trPr>
          <w:trHeight w:val="554"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7"/>
                <w:sz w:val="21"/>
                <w:szCs w:val="21"/>
              </w:rPr>
              <w:t>丧失控制权后剩余股权按公允价值</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重新计量的利得</w:t>
            </w:r>
          </w:p>
        </w:tc>
        <w:tc>
          <w:tcPr>
            <w:tcW w:w="137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26,064,653</w:t>
            </w:r>
          </w:p>
        </w:tc>
      </w:tr>
      <w:tr>
        <w:trPr>
          <w:trHeight w:val="283"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少数股东权益影响额</w:t>
            </w:r>
          </w:p>
        </w:tc>
        <w:tc>
          <w:tcPr>
            <w:tcW w:w="137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-10,386,204</w:t>
            </w: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-11,066,478</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-41,003,212</w:t>
            </w:r>
          </w:p>
        </w:tc>
      </w:tr>
      <w:tr>
        <w:trPr>
          <w:trHeight w:val="283" w:hRule="exact"/>
        </w:trPr>
        <w:tc>
          <w:tcPr>
            <w:tcW w:w="35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sz w:val="21"/>
              </w:rPr>
              <w:t>96,005,745</w:t>
            </w:r>
          </w:p>
        </w:tc>
        <w:tc>
          <w:tcPr>
            <w:tcW w:w="141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sz w:val="21"/>
              </w:rPr>
              <w:t>60,113,702</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217,764,369</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55" w:footer="1195" w:top="1320" w:bottom="1380" w:left="1580" w:right="1040"/>
        </w:sectPr>
      </w:pPr>
    </w:p>
    <w:p>
      <w:pPr>
        <w:pStyle w:val="Heading3"/>
        <w:tabs>
          <w:tab w:pos="1057" w:val="left" w:leader="none"/>
        </w:tabs>
        <w:spacing w:line="240" w:lineRule="auto" w:before="36"/>
        <w:ind w:right="-7"/>
        <w:jc w:val="left"/>
        <w:rPr>
          <w:b w:val="0"/>
          <w:bCs w:val="0"/>
        </w:rPr>
      </w:pPr>
      <w:r>
        <w:rPr/>
        <w:t>十一、</w:t>
        <w:tab/>
      </w:r>
      <w:r>
        <w:rPr>
          <w:spacing w:val="-1"/>
        </w:rPr>
        <w:t>采用公允价值计量的项目</w:t>
      </w:r>
      <w:r>
        <w:rPr>
          <w:b w:val="0"/>
          <w:bCs w:val="0"/>
          <w:spacing w:val="-1"/>
        </w:rPr>
      </w:r>
    </w:p>
    <w:p>
      <w:pPr>
        <w:pStyle w:val="BodyText"/>
        <w:spacing w:line="240" w:lineRule="auto" w:before="58"/>
        <w:ind w:right="-7"/>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tabs>
          <w:tab w:pos="1269" w:val="left" w:leader="none"/>
        </w:tabs>
        <w:spacing w:line="240" w:lineRule="auto"/>
        <w:ind w:right="0"/>
        <w:jc w:val="left"/>
      </w:pPr>
      <w:r>
        <w:rPr>
          <w:spacing w:val="-1"/>
        </w:rPr>
        <w:t>单位：元</w:t>
        <w:tab/>
      </w:r>
      <w:r>
        <w:rPr>
          <w:spacing w:val="-2"/>
        </w:rPr>
        <w:t>币种：人民币</w:t>
      </w:r>
    </w:p>
    <w:p>
      <w:pPr>
        <w:spacing w:after="0" w:line="240" w:lineRule="auto"/>
        <w:jc w:val="left"/>
        <w:sectPr>
          <w:type w:val="continuous"/>
          <w:pgSz w:w="11910" w:h="16840"/>
          <w:pgMar w:top="1320" w:bottom="1380" w:left="1580" w:right="1040"/>
          <w:cols w:num="2" w:equalWidth="0">
            <w:col w:w="3379" w:space="3142"/>
            <w:col w:w="2769"/>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901"/>
        <w:gridCol w:w="1659"/>
        <w:gridCol w:w="1666"/>
        <w:gridCol w:w="1651"/>
        <w:gridCol w:w="1947"/>
      </w:tblGrid>
      <w:tr>
        <w:trPr>
          <w:trHeight w:val="554" w:hRule="exact"/>
        </w:trPr>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 w:right="0"/>
              <w:jc w:val="center"/>
              <w:rPr>
                <w:rFonts w:ascii="宋体" w:hAnsi="宋体" w:cs="宋体" w:eastAsia="宋体" w:hint="default"/>
                <w:sz w:val="21"/>
                <w:szCs w:val="21"/>
              </w:rPr>
            </w:pPr>
            <w:r>
              <w:rPr>
                <w:rFonts w:ascii="宋体" w:hAnsi="宋体" w:cs="宋体" w:eastAsia="宋体" w:hint="default"/>
                <w:sz w:val="21"/>
                <w:szCs w:val="21"/>
              </w:rPr>
              <w:t>项目名称</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403"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408"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400" w:right="0"/>
              <w:jc w:val="left"/>
              <w:rPr>
                <w:rFonts w:ascii="宋体" w:hAnsi="宋体" w:cs="宋体" w:eastAsia="宋体" w:hint="default"/>
                <w:sz w:val="21"/>
                <w:szCs w:val="21"/>
              </w:rPr>
            </w:pPr>
            <w:r>
              <w:rPr>
                <w:rFonts w:ascii="宋体" w:hAnsi="宋体" w:cs="宋体" w:eastAsia="宋体" w:hint="default"/>
                <w:sz w:val="21"/>
                <w:szCs w:val="21"/>
              </w:rPr>
              <w:t>当期变动</w:t>
            </w:r>
          </w:p>
        </w:tc>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对当期利润的影响</w:t>
            </w:r>
          </w:p>
          <w:p>
            <w:pPr>
              <w:pStyle w:val="TableParagraph"/>
              <w:spacing w:line="274" w:lineRule="exact"/>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554" w:hRule="exact"/>
        </w:trPr>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以公允价值计量的</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6,000,000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69,995,297</w:t>
            </w:r>
          </w:p>
        </w:tc>
        <w:tc>
          <w:tcPr>
            <w:tcW w:w="16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63,995,297</w:t>
            </w:r>
          </w:p>
        </w:tc>
        <w:tc>
          <w:tcPr>
            <w:tcW w:w="194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6,000,000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69,995,297</w:t>
            </w:r>
          </w:p>
        </w:tc>
        <w:tc>
          <w:tcPr>
            <w:tcW w:w="16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63,995,297</w:t>
            </w:r>
          </w:p>
        </w:tc>
        <w:tc>
          <w:tcPr>
            <w:tcW w:w="1947"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39" w:lineRule="exact"/>
        <w:ind w:right="99"/>
        <w:jc w:val="left"/>
      </w:pPr>
      <w:r>
        <w:rPr>
          <w:w w:val="100"/>
        </w:rPr>
        <w:t>于</w:t>
      </w:r>
      <w:r>
        <w:rPr>
          <w:spacing w:val="-53"/>
        </w:rPr>
        <w:t> </w:t>
      </w:r>
      <w:r>
        <w:rPr>
          <w:rFonts w:ascii="宋体" w:hAnsi="宋体" w:cs="宋体" w:eastAsia="宋体" w:hint="default"/>
          <w:w w:val="100"/>
        </w:rPr>
        <w:t>20</w:t>
      </w:r>
      <w:r>
        <w:rPr>
          <w:rFonts w:ascii="宋体" w:hAnsi="宋体" w:cs="宋体" w:eastAsia="宋体" w:hint="default"/>
          <w:spacing w:val="-3"/>
          <w:w w:val="100"/>
        </w:rPr>
        <w:t>1</w:t>
      </w:r>
      <w:r>
        <w:rPr>
          <w:rFonts w:ascii="宋体" w:hAnsi="宋体" w:cs="宋体" w:eastAsia="宋体" w:hint="default"/>
          <w:w w:val="100"/>
        </w:rPr>
        <w:t>7</w:t>
      </w:r>
      <w:r>
        <w:rPr>
          <w:rFonts w:ascii="宋体" w:hAnsi="宋体" w:cs="宋体" w:eastAsia="宋体" w:hint="default"/>
          <w:spacing w:val="-53"/>
        </w:rPr>
        <w:t> </w:t>
      </w:r>
      <w:r>
        <w:rPr>
          <w:w w:val="100"/>
        </w:rPr>
        <w:t>年</w:t>
      </w:r>
      <w:r>
        <w:rPr>
          <w:spacing w:val="-55"/>
        </w:rPr>
        <w:t> </w:t>
      </w:r>
      <w:r>
        <w:rPr>
          <w:rFonts w:ascii="宋体" w:hAnsi="宋体" w:cs="宋体" w:eastAsia="宋体" w:hint="default"/>
          <w:w w:val="100"/>
        </w:rPr>
        <w:t>12</w:t>
      </w:r>
      <w:r>
        <w:rPr>
          <w:rFonts w:ascii="宋体" w:hAnsi="宋体" w:cs="宋体" w:eastAsia="宋体" w:hint="default"/>
          <w:spacing w:val="-55"/>
        </w:rPr>
        <w:t> </w:t>
      </w:r>
      <w:r>
        <w:rPr>
          <w:w w:val="100"/>
        </w:rPr>
        <w:t>月</w:t>
      </w:r>
      <w:r>
        <w:rPr>
          <w:spacing w:val="-53"/>
        </w:rPr>
        <w:t> </w:t>
      </w:r>
      <w:r>
        <w:rPr>
          <w:rFonts w:ascii="宋体" w:hAnsi="宋体" w:cs="宋体" w:eastAsia="宋体" w:hint="default"/>
          <w:w w:val="100"/>
        </w:rPr>
        <w:t>31</w:t>
      </w:r>
      <w:r>
        <w:rPr>
          <w:rFonts w:ascii="宋体" w:hAnsi="宋体" w:cs="宋体" w:eastAsia="宋体" w:hint="default"/>
          <w:spacing w:val="-55"/>
        </w:rPr>
        <w:t> </w:t>
      </w:r>
      <w:r>
        <w:rPr>
          <w:spacing w:val="-3"/>
          <w:w w:val="100"/>
        </w:rPr>
        <w:t>日</w:t>
      </w:r>
      <w:r>
        <w:rPr>
          <w:spacing w:val="-92"/>
          <w:w w:val="100"/>
        </w:rPr>
        <w:t>，</w:t>
      </w:r>
      <w:r>
        <w:rPr>
          <w:spacing w:val="-3"/>
          <w:w w:val="100"/>
        </w:rPr>
        <w:t>本</w:t>
      </w:r>
      <w:r>
        <w:rPr>
          <w:w w:val="100"/>
        </w:rPr>
        <w:t>集团</w:t>
      </w:r>
      <w:r>
        <w:rPr>
          <w:spacing w:val="-3"/>
          <w:w w:val="100"/>
        </w:rPr>
        <w:t>持</w:t>
      </w:r>
      <w:r>
        <w:rPr>
          <w:w w:val="100"/>
        </w:rPr>
        <w:t>有</w:t>
      </w:r>
      <w:r>
        <w:rPr>
          <w:spacing w:val="-3"/>
          <w:w w:val="100"/>
        </w:rPr>
        <w:t>的</w:t>
      </w:r>
      <w:r>
        <w:rPr>
          <w:w w:val="100"/>
        </w:rPr>
        <w:t>以</w:t>
      </w:r>
      <w:r>
        <w:rPr>
          <w:spacing w:val="-3"/>
          <w:w w:val="100"/>
        </w:rPr>
        <w:t>公</w:t>
      </w:r>
      <w:r>
        <w:rPr>
          <w:w w:val="100"/>
        </w:rPr>
        <w:t>允</w:t>
      </w:r>
      <w:r>
        <w:rPr>
          <w:spacing w:val="-3"/>
          <w:w w:val="100"/>
        </w:rPr>
        <w:t>价</w:t>
      </w:r>
      <w:r>
        <w:rPr>
          <w:w w:val="100"/>
        </w:rPr>
        <w:t>值</w:t>
      </w:r>
      <w:r>
        <w:rPr>
          <w:spacing w:val="-3"/>
          <w:w w:val="100"/>
        </w:rPr>
        <w:t>计</w:t>
      </w:r>
      <w:r>
        <w:rPr>
          <w:w w:val="100"/>
        </w:rPr>
        <w:t>量的</w:t>
      </w:r>
      <w:r>
        <w:rPr>
          <w:spacing w:val="-3"/>
          <w:w w:val="100"/>
        </w:rPr>
        <w:t>可</w:t>
      </w:r>
      <w:r>
        <w:rPr>
          <w:w w:val="100"/>
        </w:rPr>
        <w:t>供</w:t>
      </w:r>
      <w:r>
        <w:rPr>
          <w:spacing w:val="-3"/>
          <w:w w:val="100"/>
        </w:rPr>
        <w:t>出</w:t>
      </w:r>
      <w:r>
        <w:rPr>
          <w:w w:val="100"/>
        </w:rPr>
        <w:t>售</w:t>
      </w:r>
      <w:r>
        <w:rPr>
          <w:spacing w:val="-3"/>
          <w:w w:val="100"/>
        </w:rPr>
        <w:t>金</w:t>
      </w:r>
      <w:r>
        <w:rPr>
          <w:w w:val="100"/>
        </w:rPr>
        <w:t>融</w:t>
      </w:r>
      <w:r>
        <w:rPr>
          <w:spacing w:val="-3"/>
          <w:w w:val="100"/>
        </w:rPr>
        <w:t>资</w:t>
      </w:r>
      <w:r>
        <w:rPr>
          <w:w w:val="100"/>
        </w:rPr>
        <w:t>产</w:t>
      </w:r>
      <w:r>
        <w:rPr>
          <w:spacing w:val="-3"/>
          <w:w w:val="100"/>
        </w:rPr>
        <w:t>为</w:t>
      </w:r>
      <w:r>
        <w:rPr>
          <w:w w:val="100"/>
        </w:rPr>
        <w:t>持有</w:t>
      </w:r>
      <w:r>
        <w:rPr>
          <w:spacing w:val="-3"/>
          <w:w w:val="100"/>
        </w:rPr>
        <w:t>的</w:t>
      </w:r>
      <w:r>
        <w:rPr>
          <w:w w:val="100"/>
        </w:rPr>
        <w:t>上</w:t>
      </w:r>
      <w:r>
        <w:rPr>
          <w:spacing w:val="-3"/>
          <w:w w:val="100"/>
        </w:rPr>
        <w:t>市</w:t>
      </w:r>
      <w:r>
        <w:rPr>
          <w:w w:val="100"/>
        </w:rPr>
        <w:t>公</w:t>
      </w:r>
      <w:r>
        <w:rPr>
          <w:spacing w:val="-3"/>
          <w:w w:val="100"/>
        </w:rPr>
        <w:t>司创</w:t>
      </w:r>
      <w:r>
        <w:rPr>
          <w:w w:val="100"/>
        </w:rPr>
        <w:t>业</w:t>
      </w:r>
    </w:p>
    <w:p>
      <w:pPr>
        <w:pStyle w:val="BodyText"/>
        <w:spacing w:line="273" w:lineRule="exact"/>
        <w:ind w:right="99"/>
        <w:jc w:val="left"/>
      </w:pPr>
      <w:r>
        <w:rPr/>
        <w:t>黑马</w:t>
      </w:r>
      <w:r>
        <w:rPr>
          <w:rFonts w:ascii="宋体" w:hAnsi="宋体" w:cs="宋体" w:eastAsia="宋体" w:hint="default"/>
        </w:rPr>
        <w:t>(</w:t>
      </w:r>
      <w:r>
        <w:rPr/>
        <w:t>北京</w:t>
      </w:r>
      <w:r>
        <w:rPr>
          <w:rFonts w:ascii="宋体" w:hAnsi="宋体" w:cs="宋体" w:eastAsia="宋体" w:hint="default"/>
        </w:rPr>
        <w:t>)</w:t>
      </w:r>
      <w:r>
        <w:rPr/>
        <w:t>科技股份有限公司股票。</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type w:val="continuous"/>
          <w:pgSz w:w="11910" w:h="16840"/>
          <w:pgMar w:top="1320" w:bottom="1380" w:left="1580" w:right="1040"/>
        </w:sectPr>
      </w:pPr>
    </w:p>
    <w:p>
      <w:pPr>
        <w:pStyle w:val="Heading3"/>
        <w:tabs>
          <w:tab w:pos="1057" w:val="left" w:leader="none"/>
        </w:tabs>
        <w:spacing w:line="240" w:lineRule="auto" w:before="36"/>
        <w:ind w:right="-18"/>
        <w:jc w:val="left"/>
        <w:rPr>
          <w:b w:val="0"/>
          <w:bCs w:val="0"/>
        </w:rPr>
      </w:pPr>
      <w:r>
        <w:rPr/>
        <w:t>十二、</w:t>
        <w:tab/>
        <w:t>其他</w:t>
      </w:r>
      <w:r>
        <w:rPr>
          <w:b w:val="0"/>
          <w:bCs w:val="0"/>
        </w:rPr>
      </w:r>
    </w:p>
    <w:p>
      <w:pPr>
        <w:pStyle w:val="BodyText"/>
        <w:spacing w:line="240" w:lineRule="auto" w:before="58"/>
        <w:ind w:right="-18"/>
        <w:jc w:val="left"/>
      </w:pPr>
      <w:r>
        <w:rPr/>
        <w:t>□适用</w:t>
      </w:r>
      <w:r>
        <w:rPr>
          <w:spacing w:val="-1"/>
        </w:rPr>
        <w:t> </w:t>
      </w:r>
      <w:r>
        <w:rPr/>
        <w:t>√不适用</w:t>
      </w:r>
    </w:p>
    <w:p>
      <w:pPr>
        <w:spacing w:line="240" w:lineRule="auto" w:before="0"/>
        <w:rPr>
          <w:rFonts w:ascii="宋体" w:hAnsi="宋体" w:cs="宋体" w:eastAsia="宋体" w:hint="default"/>
          <w:sz w:val="28"/>
          <w:szCs w:val="28"/>
        </w:rPr>
      </w:pPr>
      <w:r>
        <w:rPr/>
        <w:br w:type="column"/>
      </w:r>
      <w:r>
        <w:rPr>
          <w:rFonts w:ascii="宋体"/>
          <w:sz w:val="28"/>
        </w:rPr>
      </w:r>
    </w:p>
    <w:p>
      <w:pPr>
        <w:spacing w:line="240" w:lineRule="auto" w:before="6"/>
        <w:rPr>
          <w:rFonts w:ascii="宋体" w:hAnsi="宋体" w:cs="宋体" w:eastAsia="宋体" w:hint="default"/>
          <w:sz w:val="24"/>
          <w:szCs w:val="24"/>
        </w:rPr>
      </w:pPr>
    </w:p>
    <w:p>
      <w:pPr>
        <w:pStyle w:val="Heading1"/>
        <w:tabs>
          <w:tab w:pos="1478" w:val="left" w:leader="none"/>
        </w:tabs>
        <w:spacing w:line="240" w:lineRule="auto" w:before="0"/>
        <w:ind w:left="218" w:right="0"/>
        <w:jc w:val="left"/>
        <w:rPr>
          <w:b w:val="0"/>
          <w:bCs w:val="0"/>
        </w:rPr>
      </w:pPr>
      <w:bookmarkStart w:name="_TOC_250009" w:id="3"/>
      <w:r>
        <w:rPr>
          <w:w w:val="95"/>
        </w:rPr>
        <w:t>第三节</w:t>
        <w:tab/>
      </w:r>
      <w:r>
        <w:rPr/>
        <w:t>公司业务概要</w:t>
      </w:r>
      <w:bookmarkEnd w:id="3"/>
      <w:r>
        <w:rPr>
          <w:b w:val="0"/>
          <w:bCs w:val="0"/>
        </w:rPr>
      </w:r>
    </w:p>
    <w:p>
      <w:pPr>
        <w:spacing w:after="0" w:line="240" w:lineRule="auto"/>
        <w:jc w:val="left"/>
        <w:sectPr>
          <w:type w:val="continuous"/>
          <w:pgSz w:w="11910" w:h="16840"/>
          <w:pgMar w:top="1320" w:bottom="1380" w:left="1580" w:right="1040"/>
          <w:cols w:num="2" w:equalWidth="0">
            <w:col w:w="1795" w:space="1148"/>
            <w:col w:w="6347"/>
          </w:cols>
        </w:sectPr>
      </w:pPr>
    </w:p>
    <w:p>
      <w:pPr>
        <w:spacing w:line="240" w:lineRule="auto" w:before="7"/>
        <w:rPr>
          <w:rFonts w:ascii="黑体" w:hAnsi="黑体" w:cs="黑体" w:eastAsia="黑体" w:hint="default"/>
          <w:b/>
          <w:bCs/>
          <w:sz w:val="16"/>
          <w:szCs w:val="16"/>
        </w:rPr>
      </w:pPr>
    </w:p>
    <w:p>
      <w:pPr>
        <w:pStyle w:val="Heading3"/>
        <w:spacing w:line="240" w:lineRule="auto" w:before="36"/>
        <w:ind w:right="99"/>
        <w:jc w:val="left"/>
        <w:rPr>
          <w:b w:val="0"/>
          <w:bCs w:val="0"/>
        </w:rPr>
      </w:pPr>
      <w:r>
        <w:rPr/>
        <w:t>一、报告期内公司所从事的主要业务、经营模式及行业情况说明</w:t>
      </w:r>
      <w:r>
        <w:rPr>
          <w:b w:val="0"/>
          <w:bCs w:val="0"/>
        </w:rPr>
      </w:r>
    </w:p>
    <w:p>
      <w:pPr>
        <w:spacing w:line="240" w:lineRule="auto" w:before="10"/>
        <w:rPr>
          <w:rFonts w:ascii="宋体" w:hAnsi="宋体" w:cs="宋体" w:eastAsia="宋体" w:hint="default"/>
          <w:b/>
          <w:bCs/>
          <w:sz w:val="14"/>
          <w:szCs w:val="14"/>
        </w:rPr>
      </w:pPr>
    </w:p>
    <w:p>
      <w:pPr>
        <w:pStyle w:val="Heading3"/>
        <w:spacing w:line="240" w:lineRule="auto"/>
        <w:ind w:right="99"/>
        <w:jc w:val="left"/>
        <w:rPr>
          <w:b w:val="0"/>
          <w:bCs w:val="0"/>
        </w:rPr>
      </w:pPr>
      <w:r>
        <w:rPr/>
        <w:t>（一）报告期内公司所从事的主要业务、经营模式及行业情况说明</w:t>
      </w:r>
      <w:r>
        <w:rPr>
          <w:b w:val="0"/>
          <w:bCs w:val="0"/>
        </w:rPr>
      </w:r>
    </w:p>
    <w:p>
      <w:pPr>
        <w:pStyle w:val="BodyText"/>
        <w:spacing w:line="355" w:lineRule="auto" w:before="135"/>
        <w:ind w:right="228" w:firstLine="419"/>
        <w:jc w:val="both"/>
      </w:pPr>
      <w:r>
        <w:rPr/>
        <w:t>公司在</w:t>
      </w:r>
      <w:r>
        <w:rPr>
          <w:spacing w:val="-49"/>
        </w:rPr>
        <w:t> </w:t>
      </w:r>
      <w:r>
        <w:rPr>
          <w:rFonts w:ascii="宋体" w:hAnsi="宋体" w:cs="宋体" w:eastAsia="宋体" w:hint="default"/>
        </w:rPr>
        <w:t>3.0</w:t>
      </w:r>
      <w:r>
        <w:rPr>
          <w:rFonts w:ascii="宋体" w:hAnsi="宋体" w:cs="宋体" w:eastAsia="宋体" w:hint="default"/>
          <w:spacing w:val="-51"/>
        </w:rPr>
        <w:t> </w:t>
      </w:r>
      <w:r>
        <w:rPr/>
        <w:t>新时期，形成了以用友云为核心，云服务、软件、金融服务融合发展的新战略布</w:t>
      </w:r>
      <w:r>
        <w:rPr>
          <w:w w:val="100"/>
        </w:rPr>
        <w:t> </w:t>
      </w:r>
      <w:r>
        <w:rPr>
          <w:spacing w:val="-6"/>
        </w:rPr>
        <w:t>局，服务企业的业务、金融和</w:t>
      </w:r>
      <w:r>
        <w:rPr>
          <w:spacing w:val="-27"/>
        </w:rPr>
        <w:t> </w:t>
      </w:r>
      <w:r>
        <w:rPr>
          <w:rFonts w:ascii="宋体" w:hAnsi="宋体" w:cs="宋体" w:eastAsia="宋体" w:hint="default"/>
        </w:rPr>
        <w:t>IT</w:t>
      </w:r>
      <w:r>
        <w:rPr>
          <w:rFonts w:ascii="宋体" w:hAnsi="宋体" w:cs="宋体" w:eastAsia="宋体" w:hint="default"/>
          <w:spacing w:val="-28"/>
        </w:rPr>
        <w:t> </w:t>
      </w:r>
      <w:r>
        <w:rPr>
          <w:spacing w:val="-3"/>
        </w:rPr>
        <w:t>三位一体的创新发展，用友云定位社会化商业应用基础设施和企</w:t>
      </w:r>
      <w:r>
        <w:rPr>
          <w:spacing w:val="-96"/>
        </w:rPr>
        <w:t> </w:t>
      </w:r>
      <w:r>
        <w:rPr>
          <w:spacing w:val="-96"/>
        </w:rPr>
      </w:r>
      <w:r>
        <w:rPr/>
        <w:t>业服务产业共享平台，服务企业数字化转型，并促进企业服务产业的平台化发展。</w:t>
      </w:r>
    </w:p>
    <w:p>
      <w:pPr>
        <w:spacing w:after="0" w:line="355" w:lineRule="auto"/>
        <w:jc w:val="both"/>
        <w:sectPr>
          <w:type w:val="continuous"/>
          <w:pgSz w:w="11910" w:h="16840"/>
          <w:pgMar w:top="1320" w:bottom="1380" w:left="1580" w:right="1040"/>
        </w:sectPr>
      </w:pPr>
    </w:p>
    <w:p>
      <w:pPr>
        <w:spacing w:line="240" w:lineRule="auto" w:before="10"/>
        <w:rPr>
          <w:rFonts w:ascii="宋体" w:hAnsi="宋体" w:cs="宋体" w:eastAsia="宋体" w:hint="default"/>
          <w:sz w:val="14"/>
          <w:szCs w:val="14"/>
        </w:rPr>
      </w:pPr>
    </w:p>
    <w:p>
      <w:pPr>
        <w:spacing w:line="4557" w:lineRule="exact"/>
        <w:ind w:left="242" w:right="0" w:firstLine="0"/>
        <w:rPr>
          <w:rFonts w:ascii="宋体" w:hAnsi="宋体" w:cs="宋体" w:eastAsia="宋体" w:hint="default"/>
          <w:sz w:val="20"/>
          <w:szCs w:val="20"/>
        </w:rPr>
      </w:pPr>
      <w:r>
        <w:rPr>
          <w:rFonts w:ascii="宋体" w:hAnsi="宋体" w:cs="宋体" w:eastAsia="宋体" w:hint="default"/>
          <w:position w:val="-90"/>
          <w:sz w:val="20"/>
          <w:szCs w:val="20"/>
        </w:rPr>
        <w:drawing>
          <wp:inline distT="0" distB="0" distL="0" distR="0">
            <wp:extent cx="5475150" cy="2893790"/>
            <wp:effectExtent l="0" t="0" r="0" b="0"/>
            <wp:docPr id="9" name="image6.jpeg" descr=""/>
            <wp:cNvGraphicFramePr>
              <a:graphicFrameLocks noChangeAspect="1"/>
            </wp:cNvGraphicFramePr>
            <a:graphic>
              <a:graphicData uri="http://schemas.openxmlformats.org/drawingml/2006/picture">
                <pic:pic>
                  <pic:nvPicPr>
                    <pic:cNvPr id="10" name="image6.jpeg"/>
                    <pic:cNvPicPr/>
                  </pic:nvPicPr>
                  <pic:blipFill>
                    <a:blip r:embed="rId16" cstate="print"/>
                    <a:stretch>
                      <a:fillRect/>
                    </a:stretch>
                  </pic:blipFill>
                  <pic:spPr>
                    <a:xfrm>
                      <a:off x="0" y="0"/>
                      <a:ext cx="5475150" cy="2893790"/>
                    </a:xfrm>
                    <a:prstGeom prst="rect">
                      <a:avLst/>
                    </a:prstGeom>
                  </pic:spPr>
                </pic:pic>
              </a:graphicData>
            </a:graphic>
          </wp:inline>
        </w:drawing>
      </w:r>
      <w:r>
        <w:rPr>
          <w:rFonts w:ascii="宋体" w:hAnsi="宋体" w:cs="宋体" w:eastAsia="宋体" w:hint="default"/>
          <w:position w:val="-90"/>
          <w:sz w:val="20"/>
          <w:szCs w:val="20"/>
        </w:rPr>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p>
      <w:pPr>
        <w:spacing w:line="357" w:lineRule="auto" w:before="36"/>
        <w:ind w:left="558" w:right="0" w:hanging="420"/>
        <w:jc w:val="left"/>
        <w:rPr>
          <w:rFonts w:ascii="宋体" w:hAnsi="宋体" w:cs="宋体" w:eastAsia="宋体" w:hint="default"/>
          <w:sz w:val="21"/>
          <w:szCs w:val="21"/>
        </w:rPr>
      </w:pPr>
      <w:r>
        <w:rPr>
          <w:rFonts w:ascii="宋体" w:hAnsi="宋体" w:cs="宋体" w:eastAsia="宋体" w:hint="default"/>
          <w:b/>
          <w:bCs/>
          <w:sz w:val="21"/>
          <w:szCs w:val="21"/>
        </w:rPr>
        <w:t>（二）行业竞争格局和行业发展趋势</w:t>
      </w:r>
      <w:r>
        <w:rPr>
          <w:rFonts w:ascii="宋体" w:hAnsi="宋体" w:cs="宋体" w:eastAsia="宋体" w:hint="default"/>
          <w:b/>
          <w:bCs/>
          <w:w w:val="100"/>
          <w:sz w:val="21"/>
          <w:szCs w:val="21"/>
        </w:rPr>
        <w:t> </w:t>
      </w:r>
      <w:r>
        <w:rPr>
          <w:rFonts w:ascii="宋体" w:hAnsi="宋体" w:cs="宋体" w:eastAsia="宋体" w:hint="default"/>
          <w:spacing w:val="-2"/>
          <w:sz w:val="21"/>
          <w:szCs w:val="21"/>
        </w:rPr>
        <w:t>报告期内，公司所处产业领域（云服务、软件、金融服务）呈现出如下发展趋势：企业数字</w:t>
      </w:r>
    </w:p>
    <w:p>
      <w:pPr>
        <w:pStyle w:val="BodyText"/>
        <w:spacing w:line="357" w:lineRule="auto" w:before="30"/>
        <w:ind w:left="138" w:right="0"/>
        <w:jc w:val="left"/>
        <w:rPr>
          <w:rFonts w:ascii="宋体" w:hAnsi="宋体" w:cs="宋体" w:eastAsia="宋体" w:hint="default"/>
        </w:rPr>
      </w:pPr>
      <w:r>
        <w:rPr>
          <w:spacing w:val="-4"/>
        </w:rPr>
        <w:t>化进程加快，各级政府部门积极推进互联网</w:t>
      </w:r>
      <w:r>
        <w:rPr>
          <w:rFonts w:ascii="宋体" w:hAnsi="宋体" w:cs="宋体" w:eastAsia="宋体" w:hint="default"/>
          <w:spacing w:val="-4"/>
        </w:rPr>
        <w:t>+</w:t>
      </w:r>
      <w:r>
        <w:rPr>
          <w:spacing w:val="-4"/>
        </w:rPr>
        <w:t>、工业互联网和企业上云，数字经济蓬勃兴起，软件</w:t>
      </w:r>
      <w:r>
        <w:rPr>
          <w:spacing w:val="-35"/>
        </w:rPr>
        <w:t> </w:t>
      </w:r>
      <w:r>
        <w:rPr>
          <w:spacing w:val="-35"/>
        </w:rPr>
      </w:r>
      <w:r>
        <w:rPr>
          <w:spacing w:val="-1"/>
        </w:rPr>
        <w:t>产业加快向网络化、服务化、平台化、生态化、智能化演进，企业云服务市场快速繁荣，成为提</w:t>
      </w:r>
      <w:r>
        <w:rPr>
          <w:spacing w:val="-55"/>
        </w:rPr>
        <w:t> </w:t>
      </w:r>
      <w:r>
        <w:rPr>
          <w:spacing w:val="-55"/>
        </w:rPr>
      </w:r>
      <w:r>
        <w:rPr>
          <w:spacing w:val="-1"/>
        </w:rPr>
        <w:t>升数字化水平、打造数字经济新动能的重要支撑；企业服务日益呈现出以交易场景为核心，业务</w:t>
      </w:r>
      <w:r>
        <w:rPr>
          <w:spacing w:val="-56"/>
        </w:rPr>
        <w:t> </w:t>
      </w:r>
      <w:r>
        <w:rPr>
          <w:spacing w:val="-56"/>
        </w:rPr>
      </w:r>
      <w:r>
        <w:rPr/>
        <w:t>服务、金融服务和</w:t>
      </w:r>
      <w:r>
        <w:rPr>
          <w:spacing w:val="-54"/>
        </w:rPr>
        <w:t> </w:t>
      </w:r>
      <w:r>
        <w:rPr>
          <w:rFonts w:ascii="宋体" w:hAnsi="宋体" w:cs="宋体" w:eastAsia="宋体" w:hint="default"/>
        </w:rPr>
        <w:t>IT</w:t>
      </w:r>
      <w:r>
        <w:rPr>
          <w:rFonts w:ascii="宋体" w:hAnsi="宋体" w:cs="宋体" w:eastAsia="宋体" w:hint="default"/>
          <w:spacing w:val="-54"/>
        </w:rPr>
        <w:t> </w:t>
      </w:r>
      <w:r>
        <w:rPr/>
        <w:t>服务三位一体的特征，金融服务向数据化、场景化发展趋势凸显。</w:t>
      </w:r>
      <w:r>
        <w:rPr>
          <w:w w:val="100"/>
        </w:rPr>
        <w:t> </w:t>
      </w:r>
      <w:r>
        <w:rPr>
          <w:rFonts w:ascii="宋体" w:hAnsi="宋体" w:cs="宋体" w:eastAsia="宋体" w:hint="default"/>
          <w:b/>
          <w:bCs/>
        </w:rPr>
        <w:t>1</w:t>
      </w:r>
      <w:r>
        <w:rPr>
          <w:rFonts w:ascii="宋体" w:hAnsi="宋体" w:cs="宋体" w:eastAsia="宋体" w:hint="default"/>
          <w:b/>
          <w:bCs/>
        </w:rPr>
        <w:t>、云服务</w:t>
      </w:r>
      <w:r>
        <w:rPr>
          <w:rFonts w:ascii="宋体" w:hAnsi="宋体" w:cs="宋体" w:eastAsia="宋体" w:hint="default"/>
        </w:rPr>
      </w:r>
    </w:p>
    <w:p>
      <w:pPr>
        <w:pStyle w:val="BodyText"/>
        <w:spacing w:line="357" w:lineRule="auto" w:before="30"/>
        <w:ind w:left="138" w:right="148" w:firstLine="419"/>
        <w:jc w:val="both"/>
      </w:pPr>
      <w:r>
        <w:rPr>
          <w:spacing w:val="-2"/>
        </w:rPr>
        <w:t>报告期内，在企业内生需求和政府政策的驱动之下，云服务走向繁荣：一方面，企业应用新</w:t>
      </w:r>
      <w:r>
        <w:rPr>
          <w:w w:val="100"/>
        </w:rPr>
        <w:t> </w:t>
      </w:r>
      <w:r>
        <w:rPr>
          <w:spacing w:val="-1"/>
        </w:rPr>
        <w:t>一代互联网技术，加快商业创新和管理变革，实现转型升级的数字化进程加快；另一方面，中央</w:t>
      </w:r>
      <w:r>
        <w:rPr>
          <w:spacing w:val="-56"/>
        </w:rPr>
        <w:t> </w:t>
      </w:r>
      <w:r>
        <w:rPr>
          <w:spacing w:val="-56"/>
        </w:rPr>
      </w:r>
      <w:r>
        <w:rPr>
          <w:spacing w:val="-4"/>
        </w:rPr>
        <w:t>政府部门大力推进互联网</w:t>
      </w:r>
      <w:r>
        <w:rPr>
          <w:rFonts w:ascii="宋体" w:hAnsi="宋体" w:cs="宋体" w:eastAsia="宋体" w:hint="default"/>
          <w:spacing w:val="-4"/>
        </w:rPr>
        <w:t>+</w:t>
      </w:r>
      <w:r>
        <w:rPr>
          <w:spacing w:val="-4"/>
        </w:rPr>
        <w:t>、工业互联网，省市等地方政府发布“企业上云”等专项行动计划，鼓</w:t>
      </w:r>
      <w:r>
        <w:rPr>
          <w:spacing w:val="-37"/>
        </w:rPr>
        <w:t> </w:t>
      </w:r>
      <w:r>
        <w:rPr>
          <w:spacing w:val="-37"/>
        </w:rPr>
      </w:r>
      <w:r>
        <w:rPr>
          <w:spacing w:val="-1"/>
        </w:rPr>
        <w:t>励和推动企业上云。目前，国内云计算基础设施趋于成熟，云服务从消费互联网（</w:t>
      </w:r>
      <w:r>
        <w:rPr>
          <w:rFonts w:ascii="宋体" w:hAnsi="宋体" w:cs="宋体" w:eastAsia="宋体" w:hint="default"/>
          <w:spacing w:val="-1"/>
        </w:rPr>
        <w:t>2C</w:t>
      </w:r>
      <w:r>
        <w:rPr>
          <w:spacing w:val="-1"/>
        </w:rPr>
        <w:t>）加速向企</w:t>
      </w:r>
      <w:r>
        <w:rPr>
          <w:spacing w:val="-56"/>
        </w:rPr>
        <w:t> </w:t>
      </w:r>
      <w:r>
        <w:rPr>
          <w:spacing w:val="-56"/>
        </w:rPr>
      </w:r>
      <w:r>
        <w:rPr>
          <w:spacing w:val="-1"/>
        </w:rPr>
        <w:t>业互联网（</w:t>
      </w:r>
      <w:r>
        <w:rPr>
          <w:rFonts w:ascii="宋体" w:hAnsi="宋体" w:cs="宋体" w:eastAsia="宋体" w:hint="default"/>
          <w:spacing w:val="-1"/>
        </w:rPr>
        <w:t>2B</w:t>
      </w:r>
      <w:r>
        <w:rPr>
          <w:spacing w:val="-1"/>
        </w:rPr>
        <w:t>）发展，企业云服务迎来发展黄金期。同时，在移动互联网、云计算、大数据基础</w:t>
      </w:r>
      <w:r>
        <w:rPr>
          <w:spacing w:val="-55"/>
        </w:rPr>
        <w:t> </w:t>
      </w:r>
      <w:r>
        <w:rPr>
          <w:spacing w:val="-55"/>
        </w:rPr>
      </w:r>
      <w:r>
        <w:rPr/>
        <w:t>上，人工智能、物联网和区块链技术快速发展，云服务产业从数字化走向智能化。</w:t>
      </w:r>
    </w:p>
    <w:p>
      <w:pPr>
        <w:pStyle w:val="Heading3"/>
        <w:spacing w:line="240" w:lineRule="auto" w:before="30"/>
        <w:ind w:left="138" w:right="0"/>
        <w:jc w:val="left"/>
        <w:rPr>
          <w:b w:val="0"/>
          <w:bCs w:val="0"/>
        </w:rPr>
      </w:pPr>
      <w:r>
        <w:rPr>
          <w:rFonts w:ascii="宋体" w:hAnsi="宋体" w:cs="宋体" w:eastAsia="宋体" w:hint="default"/>
        </w:rPr>
        <w:t>2</w:t>
      </w:r>
      <w:r>
        <w:rPr/>
        <w:t>、软件业务</w:t>
      </w:r>
      <w:r>
        <w:rPr>
          <w:b w:val="0"/>
          <w:bCs w:val="0"/>
        </w:rPr>
      </w:r>
    </w:p>
    <w:p>
      <w:pPr>
        <w:pStyle w:val="BodyText"/>
        <w:spacing w:line="357" w:lineRule="auto" w:before="133"/>
        <w:ind w:left="138" w:right="0" w:firstLine="419"/>
        <w:jc w:val="left"/>
        <w:rPr>
          <w:rFonts w:ascii="宋体" w:hAnsi="宋体" w:cs="宋体" w:eastAsia="宋体" w:hint="default"/>
        </w:rPr>
      </w:pPr>
      <w:r>
        <w:rPr>
          <w:spacing w:val="-2"/>
        </w:rPr>
        <w:t>报告期内，软件与信息技术产业在国家政策的支持下发展迅速。党的十九大报告明确提出要</w:t>
      </w:r>
      <w:r>
        <w:rPr>
          <w:w w:val="100"/>
        </w:rPr>
        <w:t> </w:t>
      </w:r>
      <w:r>
        <w:rPr>
          <w:spacing w:val="-2"/>
        </w:rPr>
        <w:t>“加快建设制造强国，加快发展先进制造业，推动互联网、大数据、人工智能和实体经济深度融</w:t>
      </w:r>
      <w:r>
        <w:rPr>
          <w:spacing w:val="-25"/>
        </w:rPr>
        <w:t> </w:t>
      </w:r>
      <w:r>
        <w:rPr>
          <w:spacing w:val="-25"/>
        </w:rPr>
      </w:r>
      <w:r>
        <w:rPr>
          <w:spacing w:val="-2"/>
        </w:rPr>
        <w:t>合”。作为信息化和工业化“两化融合”技术核心的软件产业，在国家政策驱动下正成为支撑智</w:t>
      </w:r>
      <w:r>
        <w:rPr>
          <w:spacing w:val="-25"/>
        </w:rPr>
        <w:t> </w:t>
      </w:r>
      <w:r>
        <w:rPr>
          <w:spacing w:val="-25"/>
        </w:rPr>
      </w:r>
      <w:r>
        <w:rPr>
          <w:spacing w:val="-6"/>
        </w:rPr>
        <w:t>能社会和实体经济发展的重要内在动力。软件产业步入加速创新、加快迭代、群体突破的爆发期，</w:t>
      </w:r>
      <w:r>
        <w:rPr>
          <w:spacing w:val="-54"/>
        </w:rPr>
        <w:t> </w:t>
      </w:r>
      <w:r>
        <w:rPr>
          <w:spacing w:val="-54"/>
        </w:rPr>
      </w:r>
      <w:r>
        <w:rPr>
          <w:spacing w:val="-6"/>
        </w:rPr>
        <w:t>软件产业市场规模逐年提升。同时，国内同业与跨国公司的双重竞争加剧，行业迎来转型窗口期。</w:t>
      </w:r>
      <w:r>
        <w:rPr>
          <w:spacing w:val="-54"/>
        </w:rPr>
        <w:t> </w:t>
      </w:r>
      <w:r>
        <w:rPr>
          <w:spacing w:val="-54"/>
        </w:rPr>
      </w:r>
      <w:r>
        <w:rPr/>
        <w:t>新时代的软件产业呈现出数据驱动、平台支撑、服务增值、智能主导、融合发展的重要特征。</w:t>
      </w:r>
      <w:r>
        <w:rPr>
          <w:w w:val="100"/>
        </w:rPr>
        <w:t> </w:t>
      </w:r>
      <w:r>
        <w:rPr>
          <w:rFonts w:ascii="宋体" w:hAnsi="宋体" w:cs="宋体" w:eastAsia="宋体" w:hint="default"/>
          <w:b/>
          <w:bCs/>
        </w:rPr>
        <w:t>3</w:t>
      </w:r>
      <w:r>
        <w:rPr>
          <w:rFonts w:ascii="宋体" w:hAnsi="宋体" w:cs="宋体" w:eastAsia="宋体" w:hint="default"/>
          <w:b/>
          <w:bCs/>
        </w:rPr>
        <w:t>、金融服务</w:t>
      </w:r>
      <w:r>
        <w:rPr>
          <w:rFonts w:ascii="宋体" w:hAnsi="宋体" w:cs="宋体" w:eastAsia="宋体" w:hint="default"/>
        </w:rPr>
      </w:r>
    </w:p>
    <w:p>
      <w:pPr>
        <w:spacing w:after="0" w:line="357" w:lineRule="auto"/>
        <w:jc w:val="left"/>
        <w:rPr>
          <w:rFonts w:ascii="宋体" w:hAnsi="宋体" w:cs="宋体" w:eastAsia="宋体" w:hint="default"/>
        </w:rPr>
        <w:sectPr>
          <w:pgSz w:w="11910" w:h="16840"/>
          <w:pgMar w:header="855" w:footer="1195" w:top="1320" w:bottom="1380" w:left="1660" w:right="1120"/>
        </w:sectPr>
      </w:pPr>
    </w:p>
    <w:p>
      <w:pPr>
        <w:spacing w:line="240" w:lineRule="auto" w:before="4"/>
        <w:rPr>
          <w:rFonts w:ascii="宋体" w:hAnsi="宋体" w:cs="宋体" w:eastAsia="宋体" w:hint="default"/>
          <w:b/>
          <w:bCs/>
          <w:sz w:val="9"/>
          <w:szCs w:val="9"/>
        </w:rPr>
      </w:pPr>
    </w:p>
    <w:p>
      <w:pPr>
        <w:pStyle w:val="BodyText"/>
        <w:spacing w:line="357" w:lineRule="auto" w:before="36"/>
        <w:ind w:left="138" w:right="148" w:firstLine="419"/>
        <w:jc w:val="both"/>
      </w:pPr>
      <w:r>
        <w:rPr>
          <w:spacing w:val="-2"/>
        </w:rPr>
        <w:t>报告期内，互联网金融专项整治行动继续推进，产业发展环境日益规范、健康。金融与云计</w:t>
      </w:r>
      <w:r>
        <w:rPr>
          <w:w w:val="100"/>
        </w:rPr>
        <w:t> </w:t>
      </w:r>
      <w:r>
        <w:rPr>
          <w:spacing w:val="-1"/>
        </w:rPr>
        <w:t>算、大数据、区块链、人工智能等新兴科技的结合更为紧密，金融科技从网络支付、网贷等领域</w:t>
      </w:r>
      <w:r>
        <w:rPr>
          <w:spacing w:val="-55"/>
        </w:rPr>
        <w:t> </w:t>
      </w:r>
      <w:r>
        <w:rPr>
          <w:spacing w:val="-55"/>
        </w:rPr>
      </w:r>
      <w:r>
        <w:rPr>
          <w:spacing w:val="-1"/>
        </w:rPr>
        <w:t>向金融信息服务、供应链金融、保险等领域渗透，互联网金融服务实体经济和小微企业将深化发</w:t>
      </w:r>
      <w:r>
        <w:rPr>
          <w:spacing w:val="-55"/>
        </w:rPr>
        <w:t> </w:t>
      </w:r>
      <w:r>
        <w:rPr>
          <w:spacing w:val="-55"/>
        </w:rPr>
      </w:r>
      <w:r>
        <w:rPr/>
        <w:t>展。</w:t>
      </w:r>
    </w:p>
    <w:p>
      <w:pPr>
        <w:pStyle w:val="BodyText"/>
        <w:spacing w:line="357" w:lineRule="auto" w:before="30"/>
        <w:ind w:left="138" w:right="148" w:firstLine="419"/>
        <w:jc w:val="both"/>
      </w:pPr>
      <w:r>
        <w:rPr>
          <w:spacing w:val="-1"/>
        </w:rPr>
        <w:t>中国宏观经济的平稳运行、消费规模的持续增长，为第三方支付的高速发展奠定了基础。移</w:t>
      </w:r>
      <w:r>
        <w:rPr>
          <w:w w:val="100"/>
        </w:rPr>
        <w:t> </w:t>
      </w:r>
      <w:r>
        <w:rPr>
          <w:spacing w:val="-1"/>
        </w:rPr>
        <w:t>动支付线下场景争夺进一步加剧，行业巨头围绕线下场景紧密布局，线下和线上逐渐融合构成闭</w:t>
      </w:r>
      <w:r>
        <w:rPr>
          <w:spacing w:val="-55"/>
        </w:rPr>
        <w:t> </w:t>
      </w:r>
      <w:r>
        <w:rPr>
          <w:spacing w:val="-55"/>
        </w:rPr>
      </w:r>
      <w:r>
        <w:rPr>
          <w:spacing w:val="-1"/>
        </w:rPr>
        <w:t>环商业生态；随着金融服务的数据化、场景化发展，具有场景和数据优势的供应链金融、贸易金</w:t>
      </w:r>
      <w:r>
        <w:rPr>
          <w:spacing w:val="-56"/>
        </w:rPr>
        <w:t> </w:t>
      </w:r>
      <w:r>
        <w:rPr>
          <w:spacing w:val="-56"/>
        </w:rPr>
      </w:r>
      <w:r>
        <w:rPr/>
        <w:t>融等进一步加快发展。。</w:t>
      </w:r>
    </w:p>
    <w:p>
      <w:pPr>
        <w:pStyle w:val="Heading3"/>
        <w:spacing w:line="240" w:lineRule="auto" w:before="31"/>
        <w:ind w:left="138" w:right="0"/>
        <w:jc w:val="left"/>
        <w:rPr>
          <w:b w:val="0"/>
          <w:bCs w:val="0"/>
        </w:rPr>
      </w:pPr>
      <w:r>
        <w:rPr/>
        <w:t>（三）软件业务</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4"/>
          <w:szCs w:val="24"/>
        </w:rPr>
      </w:pPr>
    </w:p>
    <w:p>
      <w:pPr>
        <w:spacing w:line="3851" w:lineRule="exact"/>
        <w:ind w:left="137" w:right="0" w:firstLine="0"/>
        <w:rPr>
          <w:rFonts w:ascii="宋体" w:hAnsi="宋体" w:cs="宋体" w:eastAsia="宋体" w:hint="default"/>
          <w:sz w:val="20"/>
          <w:szCs w:val="20"/>
        </w:rPr>
      </w:pPr>
      <w:r>
        <w:rPr>
          <w:rFonts w:ascii="宋体" w:hAnsi="宋体" w:cs="宋体" w:eastAsia="宋体" w:hint="default"/>
          <w:position w:val="-76"/>
          <w:sz w:val="20"/>
          <w:szCs w:val="20"/>
        </w:rPr>
        <w:drawing>
          <wp:inline distT="0" distB="0" distL="0" distR="0">
            <wp:extent cx="5317154" cy="2445639"/>
            <wp:effectExtent l="0" t="0" r="0" b="0"/>
            <wp:docPr id="11" name="image7.jpeg" descr=""/>
            <wp:cNvGraphicFramePr>
              <a:graphicFrameLocks noChangeAspect="1"/>
            </wp:cNvGraphicFramePr>
            <a:graphic>
              <a:graphicData uri="http://schemas.openxmlformats.org/drawingml/2006/picture">
                <pic:pic>
                  <pic:nvPicPr>
                    <pic:cNvPr id="12" name="image7.jpeg"/>
                    <pic:cNvPicPr/>
                  </pic:nvPicPr>
                  <pic:blipFill>
                    <a:blip r:embed="rId18" cstate="print"/>
                    <a:stretch>
                      <a:fillRect/>
                    </a:stretch>
                  </pic:blipFill>
                  <pic:spPr>
                    <a:xfrm>
                      <a:off x="0" y="0"/>
                      <a:ext cx="5317154" cy="2445639"/>
                    </a:xfrm>
                    <a:prstGeom prst="rect">
                      <a:avLst/>
                    </a:prstGeom>
                  </pic:spPr>
                </pic:pic>
              </a:graphicData>
            </a:graphic>
          </wp:inline>
        </w:drawing>
      </w:r>
      <w:r>
        <w:rPr>
          <w:rFonts w:ascii="宋体" w:hAnsi="宋体" w:cs="宋体" w:eastAsia="宋体" w:hint="default"/>
          <w:position w:val="-76"/>
          <w:sz w:val="20"/>
          <w:szCs w:val="20"/>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1"/>
          <w:szCs w:val="21"/>
        </w:rPr>
      </w:pPr>
    </w:p>
    <w:p>
      <w:pPr>
        <w:spacing w:line="357" w:lineRule="auto" w:before="0"/>
        <w:ind w:left="558" w:right="144" w:hanging="42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、面向大型企业的解决方案与专业服务业务</w:t>
      </w:r>
      <w:r>
        <w:rPr>
          <w:rFonts w:ascii="宋体" w:hAnsi="宋体" w:cs="宋体" w:eastAsia="宋体" w:hint="default"/>
          <w:b/>
          <w:bCs/>
          <w:w w:val="100"/>
          <w:sz w:val="21"/>
          <w:szCs w:val="21"/>
        </w:rPr>
        <w:t> </w:t>
      </w:r>
      <w:r>
        <w:rPr>
          <w:rFonts w:ascii="宋体" w:hAnsi="宋体" w:cs="宋体" w:eastAsia="宋体" w:hint="default"/>
          <w:sz w:val="21"/>
          <w:szCs w:val="21"/>
        </w:rPr>
        <w:t>公司面向集团等大型企业的解决方案与专业服务业务主要是面向大型企业提供</w:t>
      </w:r>
      <w:r>
        <w:rPr>
          <w:rFonts w:ascii="宋体" w:hAnsi="宋体" w:cs="宋体" w:eastAsia="宋体" w:hint="default"/>
          <w:spacing w:val="-49"/>
          <w:sz w:val="21"/>
          <w:szCs w:val="21"/>
        </w:rPr>
        <w:t> </w:t>
      </w:r>
      <w:r>
        <w:rPr>
          <w:rFonts w:ascii="宋体" w:hAnsi="宋体" w:cs="宋体" w:eastAsia="宋体" w:hint="default"/>
          <w:sz w:val="21"/>
          <w:szCs w:val="21"/>
        </w:rPr>
        <w:t>ERP</w:t>
      </w:r>
      <w:r>
        <w:rPr>
          <w:rFonts w:ascii="宋体" w:hAnsi="宋体" w:cs="宋体" w:eastAsia="宋体" w:hint="default"/>
          <w:spacing w:val="-52"/>
          <w:sz w:val="21"/>
          <w:szCs w:val="21"/>
        </w:rPr>
        <w:t> </w:t>
      </w:r>
      <w:r>
        <w:rPr>
          <w:rFonts w:ascii="宋体" w:hAnsi="宋体" w:cs="宋体" w:eastAsia="宋体" w:hint="default"/>
          <w:sz w:val="21"/>
          <w:szCs w:val="21"/>
        </w:rPr>
        <w:t>套件、行</w:t>
      </w:r>
    </w:p>
    <w:p>
      <w:pPr>
        <w:pStyle w:val="BodyText"/>
        <w:spacing w:line="357" w:lineRule="auto" w:before="30"/>
        <w:ind w:left="138" w:right="141"/>
        <w:jc w:val="left"/>
        <w:rPr>
          <w:rFonts w:ascii="宋体" w:hAnsi="宋体" w:cs="宋体" w:eastAsia="宋体" w:hint="default"/>
        </w:rPr>
      </w:pPr>
      <w:r>
        <w:rPr>
          <w:spacing w:val="-3"/>
        </w:rPr>
        <w:t>业解决方案、技术和应用平台和专业服务，产品主要包括</w:t>
      </w:r>
      <w:r>
        <w:rPr>
          <w:spacing w:val="-41"/>
        </w:rPr>
        <w:t> </w:t>
      </w:r>
      <w:r>
        <w:rPr>
          <w:rFonts w:ascii="宋体" w:hAnsi="宋体" w:cs="宋体" w:eastAsia="宋体" w:hint="default"/>
        </w:rPr>
        <w:t>NC</w:t>
      </w:r>
      <w:r>
        <w:rPr>
          <w:rFonts w:ascii="宋体" w:hAnsi="宋体" w:cs="宋体" w:eastAsia="宋体" w:hint="default"/>
          <w:spacing w:val="-43"/>
        </w:rPr>
        <w:t> </w:t>
      </w:r>
      <w:r>
        <w:rPr>
          <w:spacing w:val="-4"/>
        </w:rPr>
        <w:t>产品线、</w:t>
      </w:r>
      <w:r>
        <w:rPr>
          <w:rFonts w:ascii="宋体" w:hAnsi="宋体" w:cs="宋体" w:eastAsia="宋体" w:hint="default"/>
          <w:spacing w:val="-4"/>
        </w:rPr>
        <w:t>U9</w:t>
      </w:r>
      <w:r>
        <w:rPr>
          <w:rFonts w:ascii="宋体" w:hAnsi="宋体" w:cs="宋体" w:eastAsia="宋体" w:hint="default"/>
          <w:spacing w:val="-43"/>
        </w:rPr>
        <w:t> </w:t>
      </w:r>
      <w:r>
        <w:rPr>
          <w:spacing w:val="-4"/>
        </w:rPr>
        <w:t>产品线、</w:t>
      </w:r>
      <w:r>
        <w:rPr>
          <w:rFonts w:ascii="宋体" w:hAnsi="宋体" w:cs="宋体" w:eastAsia="宋体" w:hint="default"/>
          <w:spacing w:val="-4"/>
        </w:rPr>
        <w:t>PLM</w:t>
      </w:r>
      <w:r>
        <w:rPr>
          <w:rFonts w:ascii="宋体" w:hAnsi="宋体" w:cs="宋体" w:eastAsia="宋体" w:hint="default"/>
          <w:spacing w:val="-41"/>
        </w:rPr>
        <w:t> </w:t>
      </w:r>
      <w:r>
        <w:rPr>
          <w:spacing w:val="-5"/>
        </w:rPr>
        <w:t>产品线。其</w:t>
      </w:r>
      <w:r>
        <w:rPr>
          <w:spacing w:val="-100"/>
        </w:rPr>
        <w:t> </w:t>
      </w:r>
      <w:r>
        <w:rPr>
          <w:spacing w:val="-100"/>
        </w:rPr>
      </w:r>
      <w:r>
        <w:rPr/>
        <w:t>中</w:t>
      </w:r>
      <w:r>
        <w:rPr>
          <w:spacing w:val="-32"/>
        </w:rPr>
        <w:t> </w:t>
      </w:r>
      <w:r>
        <w:rPr>
          <w:rFonts w:ascii="宋体" w:hAnsi="宋体" w:cs="宋体" w:eastAsia="宋体" w:hint="default"/>
        </w:rPr>
        <w:t>NC</w:t>
      </w:r>
      <w:r>
        <w:rPr>
          <w:rFonts w:ascii="宋体" w:hAnsi="宋体" w:cs="宋体" w:eastAsia="宋体" w:hint="default"/>
          <w:spacing w:val="-34"/>
        </w:rPr>
        <w:t> </w:t>
      </w:r>
      <w:r>
        <w:rPr/>
        <w:t>产品线为业务重点，</w:t>
      </w:r>
      <w:r>
        <w:rPr>
          <w:rFonts w:ascii="宋体" w:hAnsi="宋体" w:cs="宋体" w:eastAsia="宋体" w:hint="default"/>
        </w:rPr>
        <w:t>NC</w:t>
      </w:r>
      <w:r>
        <w:rPr>
          <w:rFonts w:ascii="宋体" w:hAnsi="宋体" w:cs="宋体" w:eastAsia="宋体" w:hint="default"/>
          <w:spacing w:val="-34"/>
        </w:rPr>
        <w:t> </w:t>
      </w:r>
      <w:r>
        <w:rPr/>
        <w:t>作为大型企业的工作平台、运营平台、管理平台、生意平台，聚焦</w:t>
      </w:r>
      <w:r>
        <w:rPr>
          <w:w w:val="100"/>
        </w:rPr>
        <w:t> </w:t>
      </w:r>
      <w:r>
        <w:rPr/>
        <w:t>企业的核心业务，包括：财务与共享服务、人力资源管理、数字营销与</w:t>
      </w:r>
      <w:r>
        <w:rPr>
          <w:spacing w:val="7"/>
        </w:rPr>
        <w:t> </w:t>
      </w:r>
      <w:r>
        <w:rPr>
          <w:rFonts w:ascii="宋体" w:hAnsi="宋体" w:cs="宋体" w:eastAsia="宋体" w:hint="default"/>
        </w:rPr>
        <w:t>O2O</w:t>
      </w:r>
      <w:r>
        <w:rPr/>
        <w:t>、智能制造、商业分</w:t>
      </w:r>
      <w:r>
        <w:rPr>
          <w:w w:val="100"/>
        </w:rPr>
        <w:t> </w:t>
      </w:r>
      <w:r>
        <w:rPr>
          <w:spacing w:val="-1"/>
        </w:rPr>
        <w:t>析业务等，帮助企业实现管理转型升级。该业务经营模式是为客户提供软件和专业服务，收入来</w:t>
      </w:r>
      <w:r>
        <w:rPr>
          <w:spacing w:val="-55"/>
        </w:rPr>
        <w:t> </w:t>
      </w:r>
      <w:r>
        <w:rPr>
          <w:spacing w:val="-55"/>
        </w:rPr>
      </w:r>
      <w:r>
        <w:rPr/>
        <w:t>源包括软件许可、产品支持与运维服务、咨询实施服务、客户化开发等。</w:t>
      </w:r>
      <w:r>
        <w:rPr>
          <w:w w:val="100"/>
        </w:rPr>
        <w:t> </w:t>
      </w:r>
      <w:r>
        <w:rPr>
          <w:rFonts w:ascii="宋体" w:hAnsi="宋体" w:cs="宋体" w:eastAsia="宋体" w:hint="default"/>
          <w:b/>
          <w:bCs/>
        </w:rPr>
        <w:t>2</w:t>
      </w:r>
      <w:r>
        <w:rPr>
          <w:rFonts w:ascii="宋体" w:hAnsi="宋体" w:cs="宋体" w:eastAsia="宋体" w:hint="default"/>
          <w:b/>
          <w:bCs/>
        </w:rPr>
        <w:t>、面向中型企业的软件产品与解决方案业务</w:t>
      </w:r>
      <w:r>
        <w:rPr>
          <w:rFonts w:ascii="宋体" w:hAnsi="宋体" w:cs="宋体" w:eastAsia="宋体" w:hint="default"/>
        </w:rPr>
      </w:r>
    </w:p>
    <w:p>
      <w:pPr>
        <w:pStyle w:val="BodyText"/>
        <w:spacing w:line="357" w:lineRule="auto" w:before="30"/>
        <w:ind w:left="138" w:right="148" w:firstLine="419"/>
        <w:jc w:val="both"/>
      </w:pPr>
      <w:r>
        <w:rPr/>
        <w:t>公司面向中型企业的产品与解决方案业务主要是面向中型企业提供</w:t>
      </w:r>
      <w:r>
        <w:rPr>
          <w:spacing w:val="-48"/>
        </w:rPr>
        <w:t> </w:t>
      </w:r>
      <w:r>
        <w:rPr>
          <w:rFonts w:ascii="宋体" w:hAnsi="宋体" w:cs="宋体" w:eastAsia="宋体" w:hint="default"/>
        </w:rPr>
        <w:t>ERP</w:t>
      </w:r>
      <w:r>
        <w:rPr>
          <w:rFonts w:ascii="宋体" w:hAnsi="宋体" w:cs="宋体" w:eastAsia="宋体" w:hint="default"/>
          <w:spacing w:val="-51"/>
        </w:rPr>
        <w:t> </w:t>
      </w:r>
      <w:r>
        <w:rPr/>
        <w:t>套件、解决方案，主</w:t>
      </w:r>
      <w:r>
        <w:rPr>
          <w:w w:val="100"/>
        </w:rPr>
        <w:t> </w:t>
      </w:r>
      <w:r>
        <w:rPr/>
        <w:t>要产品为</w:t>
      </w:r>
      <w:r>
        <w:rPr>
          <w:spacing w:val="-28"/>
        </w:rPr>
        <w:t> </w:t>
      </w:r>
      <w:r>
        <w:rPr>
          <w:rFonts w:ascii="宋体" w:hAnsi="宋体" w:cs="宋体" w:eastAsia="宋体" w:hint="default"/>
          <w:spacing w:val="-4"/>
        </w:rPr>
        <w:t>U8+</w:t>
      </w:r>
      <w:r>
        <w:rPr>
          <w:spacing w:val="-4"/>
        </w:rPr>
        <w:t>产品线，包括智能制造、</w:t>
      </w:r>
      <w:r>
        <w:rPr>
          <w:rFonts w:ascii="宋体" w:hAnsi="宋体" w:cs="宋体" w:eastAsia="宋体" w:hint="default"/>
          <w:spacing w:val="-4"/>
        </w:rPr>
        <w:t>O2O</w:t>
      </w:r>
      <w:r>
        <w:rPr>
          <w:rFonts w:ascii="宋体" w:hAnsi="宋体" w:cs="宋体" w:eastAsia="宋体" w:hint="default"/>
          <w:spacing w:val="-28"/>
        </w:rPr>
        <w:t> </w:t>
      </w:r>
      <w:r>
        <w:rPr>
          <w:spacing w:val="-4"/>
        </w:rPr>
        <w:t>多渠道营销、业务管控、供应链、财务核算、全面移动</w:t>
      </w:r>
      <w:r>
        <w:rPr>
          <w:spacing w:val="-95"/>
        </w:rPr>
        <w:t> </w:t>
      </w:r>
      <w:r>
        <w:rPr>
          <w:spacing w:val="-95"/>
        </w:rPr>
      </w:r>
      <w:r>
        <w:rPr>
          <w:spacing w:val="-1"/>
        </w:rPr>
        <w:t>应用以及人力资源等领域。该业务经营模式是为客户提供标准产品及解决方案，采用全分销销售</w:t>
      </w:r>
      <w:r>
        <w:rPr>
          <w:spacing w:val="-55"/>
        </w:rPr>
        <w:t> </w:t>
      </w:r>
      <w:r>
        <w:rPr>
          <w:spacing w:val="-55"/>
        </w:rPr>
      </w:r>
      <w:r>
        <w:rPr/>
        <w:t>模式，收入主要为标准产品许可、产品支持与运维服务收入。</w:t>
      </w:r>
    </w:p>
    <w:p>
      <w:pPr>
        <w:pStyle w:val="Heading3"/>
        <w:spacing w:line="240" w:lineRule="auto" w:before="30"/>
        <w:ind w:left="138" w:right="0"/>
        <w:jc w:val="left"/>
        <w:rPr>
          <w:b w:val="0"/>
          <w:bCs w:val="0"/>
        </w:rPr>
      </w:pPr>
      <w:r>
        <w:rPr>
          <w:rFonts w:ascii="宋体" w:hAnsi="宋体" w:cs="宋体" w:eastAsia="宋体" w:hint="default"/>
        </w:rPr>
        <w:t>3</w:t>
      </w:r>
      <w:r>
        <w:rPr/>
        <w:t>、面向小微企业的软件包业务</w:t>
      </w:r>
      <w:r>
        <w:rPr>
          <w:b w:val="0"/>
          <w:bCs w:val="0"/>
        </w:rPr>
      </w:r>
    </w:p>
    <w:p>
      <w:pPr>
        <w:spacing w:after="0" w:line="240" w:lineRule="auto"/>
        <w:jc w:val="left"/>
        <w:sectPr>
          <w:footerReference w:type="default" r:id="rId17"/>
          <w:pgSz w:w="11910" w:h="16840"/>
          <w:pgMar w:footer="1195" w:header="855" w:top="1320" w:bottom="1380" w:left="1660" w:right="1120"/>
          <w:pgNumType w:start="15"/>
        </w:sectPr>
      </w:pPr>
    </w:p>
    <w:p>
      <w:pPr>
        <w:spacing w:line="240" w:lineRule="auto" w:before="4"/>
        <w:rPr>
          <w:rFonts w:ascii="宋体" w:hAnsi="宋体" w:cs="宋体" w:eastAsia="宋体" w:hint="default"/>
          <w:b/>
          <w:bCs/>
          <w:sz w:val="9"/>
          <w:szCs w:val="9"/>
        </w:rPr>
      </w:pPr>
    </w:p>
    <w:p>
      <w:pPr>
        <w:pStyle w:val="BodyText"/>
        <w:spacing w:line="357" w:lineRule="auto" w:before="36"/>
        <w:ind w:left="138" w:right="207" w:firstLine="419"/>
        <w:jc w:val="both"/>
      </w:pPr>
      <w:r>
        <w:rPr>
          <w:spacing w:val="-2"/>
        </w:rPr>
        <w:t>公司面向小微企业的软件包业务主要是面向小微企业提供软件包和产品支持服务，该业务主</w:t>
      </w:r>
      <w:r>
        <w:rPr>
          <w:w w:val="100"/>
        </w:rPr>
        <w:t> </w:t>
      </w:r>
      <w:r>
        <w:rPr>
          <w:spacing w:val="-1"/>
        </w:rPr>
        <w:t>要是由公司控股子公司畅捷通信息技术股份有限公司（下称“畅捷通公司”）提供。畅捷通公司</w:t>
      </w:r>
      <w:r>
        <w:rPr>
          <w:spacing w:val="-55"/>
        </w:rPr>
        <w:t> </w:t>
      </w:r>
      <w:r>
        <w:rPr>
          <w:spacing w:val="-55"/>
        </w:rPr>
      </w:r>
      <w:r>
        <w:rPr>
          <w:spacing w:val="-1"/>
        </w:rPr>
        <w:t>聚焦小微企业财务及管理服务，面向不同成长阶段的小微企业提供专业的会计核算及进销存等管</w:t>
      </w:r>
      <w:r>
        <w:rPr>
          <w:spacing w:val="-55"/>
        </w:rPr>
        <w:t> </w:t>
      </w:r>
      <w:r>
        <w:rPr>
          <w:spacing w:val="-55"/>
        </w:rPr>
      </w:r>
      <w:r>
        <w:rPr>
          <w:spacing w:val="-1"/>
        </w:rPr>
        <w:t>理软件。畅捷通公司采用标准化产品分销销售模式，收入主要为标准产品许可、产品支持与运维</w:t>
      </w:r>
      <w:r>
        <w:rPr>
          <w:spacing w:val="-56"/>
        </w:rPr>
        <w:t> </w:t>
      </w:r>
      <w:r>
        <w:rPr>
          <w:spacing w:val="-56"/>
        </w:rPr>
      </w:r>
      <w:r>
        <w:rPr/>
        <w:t>服务收入。</w:t>
      </w:r>
    </w:p>
    <w:p>
      <w:pPr>
        <w:pStyle w:val="Heading3"/>
        <w:spacing w:line="240" w:lineRule="auto" w:before="30"/>
        <w:ind w:left="138" w:right="0"/>
        <w:jc w:val="both"/>
        <w:rPr>
          <w:b w:val="0"/>
          <w:bCs w:val="0"/>
        </w:rPr>
      </w:pPr>
      <w:r>
        <w:rPr>
          <w:rFonts w:ascii="宋体" w:hAnsi="宋体" w:cs="宋体" w:eastAsia="宋体" w:hint="default"/>
        </w:rPr>
        <w:t>4</w:t>
      </w:r>
      <w:r>
        <w:rPr/>
        <w:t>、面向行业和领域的解决方案与专业服务业务</w:t>
      </w:r>
      <w:r>
        <w:rPr>
          <w:b w:val="0"/>
          <w:bCs w:val="0"/>
        </w:rPr>
      </w:r>
    </w:p>
    <w:p>
      <w:pPr>
        <w:pStyle w:val="BodyText"/>
        <w:spacing w:line="357" w:lineRule="auto" w:before="135"/>
        <w:ind w:left="138" w:right="209"/>
        <w:jc w:val="both"/>
      </w:pPr>
      <w:r>
        <w:rPr>
          <w:spacing w:val="-9"/>
        </w:rPr>
        <w:t>（</w:t>
      </w:r>
      <w:r>
        <w:rPr>
          <w:rFonts w:ascii="宋体" w:hAnsi="宋体" w:cs="宋体" w:eastAsia="宋体" w:hint="default"/>
          <w:spacing w:val="-9"/>
        </w:rPr>
        <w:t>1</w:t>
      </w:r>
      <w:r>
        <w:rPr>
          <w:spacing w:val="-9"/>
        </w:rPr>
        <w:t>）公司面向政府客户的业务由北京用友政务软件有限公司（下称“用友政务公司”）负责经营。</w:t>
      </w:r>
      <w:r>
        <w:rPr>
          <w:spacing w:val="-21"/>
        </w:rPr>
        <w:t> </w:t>
      </w:r>
      <w:r>
        <w:rPr>
          <w:spacing w:val="-21"/>
        </w:rPr>
      </w:r>
      <w:r>
        <w:rPr>
          <w:spacing w:val="-1"/>
        </w:rPr>
        <w:t>用友政务公司聚焦政府客户，以标准化的产品为交付基础，以定制化的解决方案为价值点，以专</w:t>
      </w:r>
      <w:r>
        <w:rPr>
          <w:spacing w:val="-55"/>
        </w:rPr>
        <w:t> </w:t>
      </w:r>
      <w:r>
        <w:rPr>
          <w:spacing w:val="-55"/>
        </w:rPr>
      </w:r>
      <w:r>
        <w:rPr>
          <w:spacing w:val="-1"/>
        </w:rPr>
        <w:t>业化的服务持续经营，并将经营范围从以财税为核心，扩充到与财税有关的相关业务。用友政务</w:t>
      </w:r>
      <w:r>
        <w:rPr>
          <w:spacing w:val="-55"/>
        </w:rPr>
        <w:t> </w:t>
      </w:r>
      <w:r>
        <w:rPr>
          <w:spacing w:val="-55"/>
        </w:rPr>
      </w:r>
      <w:r>
        <w:rPr>
          <w:spacing w:val="-6"/>
        </w:rPr>
        <w:t>公司的主要产品包括财政一体化管理软件、政府财务管理软件、社保基金管理软件、服务产品等。</w:t>
      </w:r>
      <w:r>
        <w:rPr>
          <w:spacing w:val="-54"/>
        </w:rPr>
        <w:t> </w:t>
      </w:r>
      <w:r>
        <w:rPr>
          <w:spacing w:val="-54"/>
        </w:rPr>
      </w:r>
      <w:r>
        <w:rPr>
          <w:spacing w:val="-1"/>
        </w:rPr>
        <w:t>用友政务公司为政府客户提供标准产品和解决方案、专业服务、运营服务等。用友政务公司收入</w:t>
      </w:r>
      <w:r>
        <w:rPr>
          <w:spacing w:val="-55"/>
        </w:rPr>
        <w:t> </w:t>
      </w:r>
      <w:r>
        <w:rPr>
          <w:spacing w:val="-55"/>
        </w:rPr>
      </w:r>
      <w:r>
        <w:rPr/>
        <w:t>主要包括标准产品许可收入、支持与运维服务收入、咨询实施收入等。</w:t>
      </w:r>
    </w:p>
    <w:p>
      <w:pPr>
        <w:pStyle w:val="BodyText"/>
        <w:spacing w:line="357" w:lineRule="auto" w:before="30"/>
        <w:ind w:left="138" w:right="208"/>
        <w:jc w:val="both"/>
      </w:pPr>
      <w:r>
        <w:rPr>
          <w:spacing w:val="-13"/>
          <w:w w:val="100"/>
        </w:rPr>
        <w:t>（</w:t>
      </w:r>
      <w:r>
        <w:rPr>
          <w:rFonts w:ascii="宋体" w:hAnsi="宋体" w:cs="宋体" w:eastAsia="宋体" w:hint="default"/>
          <w:spacing w:val="-13"/>
          <w:w w:val="100"/>
        </w:rPr>
        <w:t>2</w:t>
      </w:r>
      <w:r>
        <w:rPr>
          <w:spacing w:val="-13"/>
          <w:w w:val="100"/>
        </w:rPr>
        <w:t>）公司面向汽车行业的业务由用友汽车信息科技（上海）股份有限公司（下称“用友汽车公司”）</w:t>
      </w:r>
      <w:r>
        <w:rPr>
          <w:spacing w:val="-95"/>
          <w:w w:val="100"/>
        </w:rPr>
        <w:t> </w:t>
      </w:r>
      <w:r>
        <w:rPr>
          <w:spacing w:val="-95"/>
          <w:w w:val="100"/>
        </w:rPr>
      </w:r>
      <w:r>
        <w:rPr>
          <w:spacing w:val="-6"/>
        </w:rPr>
        <w:t>负责经营。用友汽车公司专注于汽车营销与后市场，为汽车主机厂、工程机械厂家和相关经销商、</w:t>
      </w:r>
      <w:r>
        <w:rPr>
          <w:spacing w:val="-54"/>
        </w:rPr>
        <w:t> </w:t>
      </w:r>
      <w:r>
        <w:rPr>
          <w:spacing w:val="-54"/>
        </w:rPr>
      </w:r>
      <w:r>
        <w:rPr/>
        <w:t>服务商提供业务流程专业咨询服务和</w:t>
      </w:r>
      <w:r>
        <w:rPr>
          <w:spacing w:val="-36"/>
        </w:rPr>
        <w:t> </w:t>
      </w:r>
      <w:r>
        <w:rPr>
          <w:rFonts w:ascii="宋体" w:hAnsi="宋体" w:cs="宋体" w:eastAsia="宋体" w:hint="default"/>
          <w:spacing w:val="-8"/>
        </w:rPr>
        <w:t>DMS</w:t>
      </w:r>
      <w:r>
        <w:rPr>
          <w:spacing w:val="-8"/>
        </w:rPr>
        <w:t>、</w:t>
      </w:r>
      <w:r>
        <w:rPr>
          <w:rFonts w:ascii="宋体" w:hAnsi="宋体" w:cs="宋体" w:eastAsia="宋体" w:hint="default"/>
          <w:spacing w:val="-8"/>
        </w:rPr>
        <w:t>CRM</w:t>
      </w:r>
      <w:r>
        <w:rPr>
          <w:rFonts w:ascii="宋体" w:hAnsi="宋体" w:cs="宋体" w:eastAsia="宋体" w:hint="default"/>
          <w:spacing w:val="-36"/>
        </w:rPr>
        <w:t> </w:t>
      </w:r>
      <w:r>
        <w:rPr>
          <w:spacing w:val="-4"/>
        </w:rPr>
        <w:t>等核心应用系统全套解决方案。用友汽车公司收入</w:t>
      </w:r>
      <w:r>
        <w:rPr>
          <w:spacing w:val="-98"/>
        </w:rPr>
        <w:t> </w:t>
      </w:r>
      <w:r>
        <w:rPr>
          <w:spacing w:val="-98"/>
        </w:rPr>
      </w:r>
      <w:r>
        <w:rPr/>
        <w:t>主要是产品许可收入、产品支持与运维服务收入、咨询实施收入等。</w:t>
      </w:r>
    </w:p>
    <w:p>
      <w:pPr>
        <w:pStyle w:val="BodyText"/>
        <w:spacing w:line="355" w:lineRule="auto" w:before="30"/>
        <w:ind w:left="138" w:right="208"/>
        <w:jc w:val="both"/>
      </w:pPr>
      <w:r>
        <w:rPr>
          <w:spacing w:val="-4"/>
        </w:rPr>
        <w:t>（</w:t>
      </w:r>
      <w:r>
        <w:rPr>
          <w:rFonts w:ascii="宋体" w:hAnsi="宋体" w:cs="宋体" w:eastAsia="宋体" w:hint="default"/>
          <w:spacing w:val="-4"/>
        </w:rPr>
        <w:t>3</w:t>
      </w:r>
      <w:r>
        <w:rPr>
          <w:spacing w:val="-4"/>
        </w:rPr>
        <w:t>）公司面向教育行业的业务由新道科技股份有限公司（下称“新道科技公司”）负责经营。新</w:t>
      </w:r>
      <w:r>
        <w:rPr>
          <w:spacing w:val="-34"/>
        </w:rPr>
        <w:t> </w:t>
      </w:r>
      <w:r>
        <w:rPr>
          <w:spacing w:val="-34"/>
        </w:rPr>
      </w:r>
      <w:r>
        <w:rPr>
          <w:spacing w:val="-1"/>
        </w:rPr>
        <w:t>道科技公司为院校提供商科实践教学解决方案以及创新创业教育解决方案，收入主要包括标准产</w:t>
      </w:r>
      <w:r>
        <w:rPr>
          <w:spacing w:val="-55"/>
        </w:rPr>
        <w:t> </w:t>
      </w:r>
      <w:r>
        <w:rPr>
          <w:spacing w:val="-55"/>
        </w:rPr>
      </w:r>
      <w:r>
        <w:rPr/>
        <w:t>品许可收入、产品支持与运维服务收入、咨询实施收入以及其他增值服务收入。</w:t>
      </w:r>
    </w:p>
    <w:p>
      <w:pPr>
        <w:pStyle w:val="BodyText"/>
        <w:spacing w:line="357" w:lineRule="auto" w:before="32"/>
        <w:ind w:left="138" w:right="102"/>
        <w:jc w:val="left"/>
      </w:pPr>
      <w:r>
        <w:rPr>
          <w:spacing w:val="-4"/>
        </w:rPr>
        <w:t>（</w:t>
      </w:r>
      <w:r>
        <w:rPr>
          <w:rFonts w:ascii="宋体" w:hAnsi="宋体" w:cs="宋体" w:eastAsia="宋体" w:hint="default"/>
          <w:spacing w:val="-4"/>
        </w:rPr>
        <w:t>4</w:t>
      </w:r>
      <w:r>
        <w:rPr>
          <w:spacing w:val="-4"/>
        </w:rPr>
        <w:t>）公司面向烟草行业的业务由厦门用友烟草软件有限责任公司（下称“用友烟草公司”）负责</w:t>
      </w:r>
      <w:r>
        <w:rPr>
          <w:spacing w:val="-37"/>
        </w:rPr>
        <w:t> </w:t>
      </w:r>
      <w:r>
        <w:rPr>
          <w:spacing w:val="-37"/>
        </w:rPr>
      </w:r>
      <w:r>
        <w:rPr/>
        <w:t>经营。用友烟草公司主要聚焦烟草行业，主要产品有烟草行业统一会计核算软件、烟草行业预算</w:t>
      </w:r>
      <w:r>
        <w:rPr>
          <w:spacing w:val="-97"/>
        </w:rPr>
        <w:t> </w:t>
      </w:r>
      <w:r>
        <w:rPr>
          <w:spacing w:val="-97"/>
        </w:rPr>
      </w:r>
      <w:r>
        <w:rPr/>
        <w:t>管理系统、烟草行业资金管理系统、烟草行业资产管理系统、烟草行业财务管控平台及行业定制</w:t>
      </w:r>
      <w:r>
        <w:rPr>
          <w:spacing w:val="-97"/>
        </w:rPr>
        <w:t> </w:t>
      </w:r>
      <w:r>
        <w:rPr>
          <w:spacing w:val="-97"/>
        </w:rPr>
      </w:r>
      <w:r>
        <w:rPr>
          <w:spacing w:val="-6"/>
          <w:w w:val="100"/>
        </w:rPr>
        <w:t>化需求开发与服务等，提供的解决方案包括烟草企业</w:t>
      </w:r>
      <w:r>
        <w:rPr>
          <w:spacing w:val="-45"/>
          <w:w w:val="100"/>
        </w:rPr>
        <w:t> </w:t>
      </w:r>
      <w:r>
        <w:rPr>
          <w:rFonts w:ascii="宋体" w:hAnsi="宋体" w:cs="宋体" w:eastAsia="宋体" w:hint="default"/>
          <w:w w:val="100"/>
        </w:rPr>
        <w:t>ERP</w:t>
      </w:r>
      <w:r>
        <w:rPr>
          <w:rFonts w:ascii="宋体" w:hAnsi="宋体" w:cs="宋体" w:eastAsia="宋体" w:hint="default"/>
          <w:spacing w:val="-43"/>
          <w:w w:val="100"/>
        </w:rPr>
        <w:t> </w:t>
      </w:r>
      <w:r>
        <w:rPr>
          <w:spacing w:val="-2"/>
          <w:w w:val="100"/>
        </w:rPr>
        <w:t>解决方案和烟草行业财务管理解决方案、</w:t>
      </w:r>
      <w:r>
        <w:rPr>
          <w:spacing w:val="-102"/>
          <w:w w:val="100"/>
        </w:rPr>
        <w:t> </w:t>
      </w:r>
      <w:r>
        <w:rPr>
          <w:spacing w:val="-102"/>
          <w:w w:val="100"/>
        </w:rPr>
      </w:r>
      <w:r>
        <w:rPr/>
        <w:t>烟草行业财务管控平台解决方案，收入主要包括软件产品许可收入、实施服务收入、产品支持与</w:t>
      </w:r>
      <w:r>
        <w:rPr>
          <w:spacing w:val="-96"/>
        </w:rPr>
        <w:t> </w:t>
      </w:r>
      <w:r>
        <w:rPr>
          <w:spacing w:val="-96"/>
        </w:rPr>
      </w:r>
      <w:r>
        <w:rPr/>
        <w:t>运维服务收入。</w:t>
      </w:r>
    </w:p>
    <w:p>
      <w:pPr>
        <w:pStyle w:val="BodyText"/>
        <w:spacing w:line="355" w:lineRule="auto" w:before="30"/>
        <w:ind w:left="138" w:right="208"/>
        <w:jc w:val="both"/>
      </w:pPr>
      <w:r>
        <w:rPr>
          <w:spacing w:val="-4"/>
        </w:rPr>
        <w:t>（</w:t>
      </w:r>
      <w:r>
        <w:rPr>
          <w:rFonts w:ascii="宋体" w:hAnsi="宋体" w:cs="宋体" w:eastAsia="宋体" w:hint="default"/>
          <w:spacing w:val="-4"/>
        </w:rPr>
        <w:t>5</w:t>
      </w:r>
      <w:r>
        <w:rPr>
          <w:spacing w:val="-4"/>
        </w:rPr>
        <w:t>）公司面向金融行业的业务由用友金融信息技术股份有限公司（下称“用友金融公司”）负责</w:t>
      </w:r>
      <w:r>
        <w:rPr>
          <w:spacing w:val="-37"/>
        </w:rPr>
        <w:t> </w:t>
      </w:r>
      <w:r>
        <w:rPr>
          <w:spacing w:val="-37"/>
        </w:rPr>
      </w:r>
      <w:r>
        <w:rPr>
          <w:spacing w:val="-1"/>
        </w:rPr>
        <w:t>经营。用友金融公司以业务咨询与信息技术手段相结合，为金融企业提供咨询、软件、行业解决</w:t>
      </w:r>
      <w:r>
        <w:rPr>
          <w:spacing w:val="-55"/>
        </w:rPr>
        <w:t> </w:t>
      </w:r>
      <w:r>
        <w:rPr>
          <w:spacing w:val="-55"/>
        </w:rPr>
      </w:r>
      <w:r>
        <w:rPr>
          <w:spacing w:val="-1"/>
        </w:rPr>
        <w:t>方案与专业服务。产品涵盖金融企业经营管理、业务交易、营销服务、商业分析等领域。用友金</w:t>
      </w:r>
      <w:r>
        <w:rPr>
          <w:spacing w:val="-55"/>
        </w:rPr>
        <w:t> </w:t>
      </w:r>
      <w:r>
        <w:rPr>
          <w:spacing w:val="-55"/>
        </w:rPr>
      </w:r>
      <w:r>
        <w:rPr/>
        <w:t>融公司的收费模式以标准软件</w:t>
      </w:r>
      <w:r>
        <w:rPr>
          <w:rFonts w:ascii="宋体" w:hAnsi="宋体" w:cs="宋体" w:eastAsia="宋体" w:hint="default"/>
        </w:rPr>
        <w:t>+</w:t>
      </w:r>
      <w:r>
        <w:rPr/>
        <w:t>项目交付</w:t>
      </w:r>
      <w:r>
        <w:rPr>
          <w:rFonts w:ascii="宋体" w:hAnsi="宋体" w:cs="宋体" w:eastAsia="宋体" w:hint="default"/>
        </w:rPr>
        <w:t>+</w:t>
      </w:r>
      <w:r>
        <w:rPr/>
        <w:t>运维服务为主，还有平台</w:t>
      </w:r>
      <w:r>
        <w:rPr>
          <w:rFonts w:ascii="宋体" w:hAnsi="宋体" w:cs="宋体" w:eastAsia="宋体" w:hint="default"/>
        </w:rPr>
        <w:t>+</w:t>
      </w:r>
      <w:r>
        <w:rPr/>
        <w:t>应用</w:t>
      </w:r>
      <w:r>
        <w:rPr>
          <w:rFonts w:ascii="宋体" w:hAnsi="宋体" w:cs="宋体" w:eastAsia="宋体" w:hint="default"/>
        </w:rPr>
        <w:t>+</w:t>
      </w:r>
      <w:r>
        <w:rPr/>
        <w:t>运营模式。</w:t>
      </w:r>
    </w:p>
    <w:p>
      <w:pPr>
        <w:pStyle w:val="BodyText"/>
        <w:spacing w:line="357" w:lineRule="auto" w:before="34"/>
        <w:ind w:left="138" w:right="208"/>
        <w:jc w:val="both"/>
      </w:pPr>
      <w:r>
        <w:rPr>
          <w:spacing w:val="-4"/>
        </w:rPr>
        <w:t>（</w:t>
      </w:r>
      <w:r>
        <w:rPr>
          <w:rFonts w:ascii="宋体" w:hAnsi="宋体" w:cs="宋体" w:eastAsia="宋体" w:hint="default"/>
          <w:spacing w:val="-4"/>
        </w:rPr>
        <w:t>6</w:t>
      </w:r>
      <w:r>
        <w:rPr>
          <w:spacing w:val="-4"/>
        </w:rPr>
        <w:t>）公司面向医疗行业的业务由用友医疗卫生信息系统有限公司（下称“用友医疗公司”）负责</w:t>
      </w:r>
      <w:r>
        <w:rPr>
          <w:spacing w:val="-37"/>
        </w:rPr>
        <w:t> </w:t>
      </w:r>
      <w:r>
        <w:rPr>
          <w:spacing w:val="-37"/>
        </w:rPr>
      </w:r>
      <w:r>
        <w:rPr>
          <w:spacing w:val="-1"/>
        </w:rPr>
        <w:t>经营。用友医疗公司聚焦医疗机构客户群，专注医院的数字化，提供专业、标准、融合的产品与</w:t>
      </w:r>
      <w:r>
        <w:rPr>
          <w:spacing w:val="-56"/>
        </w:rPr>
        <w:t> </w:t>
      </w:r>
      <w:r>
        <w:rPr>
          <w:spacing w:val="-56"/>
        </w:rPr>
      </w:r>
      <w:r>
        <w:rPr>
          <w:spacing w:val="-1"/>
        </w:rPr>
        <w:t>服务。用友医疗公司为医疗行业客户提供标准产品及解决方案服务、专业服务，收入主要包括标</w:t>
      </w:r>
      <w:r>
        <w:rPr>
          <w:spacing w:val="-55"/>
        </w:rPr>
        <w:t> </w:t>
      </w:r>
      <w:r>
        <w:rPr>
          <w:spacing w:val="-55"/>
        </w:rPr>
      </w:r>
      <w:r>
        <w:rPr/>
        <w:t>准产品许可收入、产品支持与运维服务收入、咨询实施收入以及其他增值服务收入。</w:t>
      </w:r>
    </w:p>
    <w:p>
      <w:pPr>
        <w:spacing w:after="0" w:line="357" w:lineRule="auto"/>
        <w:jc w:val="both"/>
        <w:sectPr>
          <w:pgSz w:w="11910" w:h="16840"/>
          <w:pgMar w:header="855" w:footer="1195" w:top="1320" w:bottom="1380" w:left="1660" w:right="1060"/>
        </w:sectPr>
      </w:pPr>
    </w:p>
    <w:p>
      <w:pPr>
        <w:spacing w:line="240" w:lineRule="auto" w:before="4"/>
        <w:rPr>
          <w:rFonts w:ascii="宋体" w:hAnsi="宋体" w:cs="宋体" w:eastAsia="宋体" w:hint="default"/>
          <w:sz w:val="9"/>
          <w:szCs w:val="9"/>
        </w:rPr>
      </w:pPr>
    </w:p>
    <w:p>
      <w:pPr>
        <w:pStyle w:val="BodyText"/>
        <w:spacing w:line="357" w:lineRule="auto" w:before="36"/>
        <w:ind w:left="138" w:right="147"/>
        <w:jc w:val="both"/>
      </w:pPr>
      <w:r>
        <w:rPr>
          <w:spacing w:val="-4"/>
        </w:rPr>
        <w:t>（</w:t>
      </w:r>
      <w:r>
        <w:rPr>
          <w:rFonts w:ascii="宋体" w:hAnsi="宋体" w:cs="宋体" w:eastAsia="宋体" w:hint="default"/>
          <w:spacing w:val="-4"/>
        </w:rPr>
        <w:t>7</w:t>
      </w:r>
      <w:r>
        <w:rPr>
          <w:spacing w:val="-4"/>
        </w:rPr>
        <w:t>）公司面向电信运营商和广电行业客户的业务由用友广信网络科技有限公司（下称“用友广信</w:t>
      </w:r>
      <w:r>
        <w:rPr>
          <w:spacing w:val="-35"/>
        </w:rPr>
        <w:t> </w:t>
      </w:r>
      <w:r>
        <w:rPr>
          <w:spacing w:val="-35"/>
        </w:rPr>
      </w:r>
      <w:r>
        <w:rPr>
          <w:spacing w:val="-1"/>
        </w:rPr>
        <w:t>公司”）负责经营。用友广信公司服务电信运营商和广电企业互联网化，真正打通客户上下游垂</w:t>
      </w:r>
      <w:r>
        <w:rPr>
          <w:spacing w:val="-55"/>
        </w:rPr>
        <w:t> </w:t>
      </w:r>
      <w:r>
        <w:rPr>
          <w:spacing w:val="-55"/>
        </w:rPr>
      </w:r>
      <w:r>
        <w:rPr>
          <w:spacing w:val="-5"/>
        </w:rPr>
        <w:t>直一体化生态链。核心业务是“网购式”报账平台、“</w:t>
      </w:r>
      <w:r>
        <w:rPr>
          <w:rFonts w:ascii="宋体" w:hAnsi="宋体" w:cs="宋体" w:eastAsia="宋体" w:hint="default"/>
          <w:spacing w:val="-5"/>
        </w:rPr>
        <w:t>B2B </w:t>
      </w:r>
      <w:r>
        <w:rPr>
          <w:spacing w:val="-6"/>
        </w:rPr>
        <w:t>电子商务”平台、“电子采购”平台、</w:t>
      </w:r>
      <w:r>
        <w:rPr>
          <w:spacing w:val="-70"/>
        </w:rPr>
        <w:t> </w:t>
      </w:r>
      <w:r>
        <w:rPr>
          <w:spacing w:val="-70"/>
        </w:rPr>
      </w:r>
      <w:r>
        <w:rPr>
          <w:spacing w:val="-1"/>
        </w:rPr>
        <w:t>稽核管理系统等。用友广信公司的收入主要包括软件许可、咨询实施和定制开发收入、产品支持</w:t>
      </w:r>
      <w:r>
        <w:rPr>
          <w:spacing w:val="-55"/>
        </w:rPr>
        <w:t> </w:t>
      </w:r>
      <w:r>
        <w:rPr>
          <w:spacing w:val="-55"/>
        </w:rPr>
      </w:r>
      <w:r>
        <w:rPr/>
        <w:t>与运维服务收入、运营服务收入等。</w:t>
      </w:r>
    </w:p>
    <w:p>
      <w:pPr>
        <w:pStyle w:val="BodyText"/>
        <w:spacing w:line="357" w:lineRule="auto" w:before="30"/>
        <w:ind w:left="138" w:right="148"/>
        <w:jc w:val="both"/>
      </w:pPr>
      <w:r>
        <w:rPr>
          <w:spacing w:val="-4"/>
        </w:rPr>
        <w:t>（</w:t>
      </w:r>
      <w:r>
        <w:rPr>
          <w:rFonts w:ascii="宋体" w:hAnsi="宋体" w:cs="宋体" w:eastAsia="宋体" w:hint="default"/>
          <w:spacing w:val="-4"/>
        </w:rPr>
        <w:t>8</w:t>
      </w:r>
      <w:r>
        <w:rPr>
          <w:spacing w:val="-4"/>
        </w:rPr>
        <w:t>）公司面向能源行业的业务由用友能源科技有限公司（下称“用友能源公司”）负责经营。用</w:t>
      </w:r>
      <w:r>
        <w:rPr>
          <w:spacing w:val="-34"/>
        </w:rPr>
        <w:t> </w:t>
      </w:r>
      <w:r>
        <w:rPr>
          <w:spacing w:val="-34"/>
        </w:rPr>
      </w:r>
      <w:r>
        <w:rPr>
          <w:spacing w:val="-6"/>
          <w:w w:val="100"/>
        </w:rPr>
        <w:t>友能源公司面向能源行业客户提供企业经营管理、业务管理和企业信息化平台等产品、解决方案、</w:t>
      </w:r>
      <w:r>
        <w:rPr>
          <w:spacing w:val="-104"/>
          <w:w w:val="100"/>
        </w:rPr>
        <w:t> </w:t>
      </w:r>
      <w:r>
        <w:rPr>
          <w:spacing w:val="-104"/>
          <w:w w:val="100"/>
        </w:rPr>
      </w:r>
      <w:r>
        <w:rPr>
          <w:spacing w:val="-1"/>
        </w:rPr>
        <w:t>专业服务，以及结合新技术的一体化新一代行业解决方案和运营服务。用友能源公司的收入主要</w:t>
      </w:r>
      <w:r>
        <w:rPr>
          <w:spacing w:val="-55"/>
        </w:rPr>
        <w:t> </w:t>
      </w:r>
      <w:r>
        <w:rPr>
          <w:spacing w:val="-55"/>
        </w:rPr>
      </w:r>
      <w:r>
        <w:rPr/>
        <w:t>包括软件产品使用许可、咨询实施、客户化开发、产品支持与运维服务等收入。</w:t>
      </w:r>
    </w:p>
    <w:p>
      <w:pPr>
        <w:pStyle w:val="BodyText"/>
        <w:spacing w:line="357" w:lineRule="auto" w:before="30"/>
        <w:ind w:left="138" w:right="147"/>
        <w:jc w:val="both"/>
      </w:pPr>
      <w:r>
        <w:rPr>
          <w:spacing w:val="-9"/>
        </w:rPr>
        <w:t>（</w:t>
      </w:r>
      <w:r>
        <w:rPr>
          <w:rFonts w:ascii="宋体" w:hAnsi="宋体" w:cs="宋体" w:eastAsia="宋体" w:hint="default"/>
          <w:spacing w:val="-9"/>
        </w:rPr>
        <w:t>9</w:t>
      </w:r>
      <w:r>
        <w:rPr>
          <w:spacing w:val="-9"/>
        </w:rPr>
        <w:t>）公司面向审计领域的业务由北京用友审计软件有限公司（下称“用友审计公司”）负责经营。</w:t>
      </w:r>
      <w:r>
        <w:rPr>
          <w:spacing w:val="-21"/>
        </w:rPr>
        <w:t> </w:t>
      </w:r>
      <w:r>
        <w:rPr>
          <w:spacing w:val="-21"/>
        </w:rPr>
      </w:r>
      <w:r>
        <w:rPr>
          <w:spacing w:val="-1"/>
        </w:rPr>
        <w:t>用友审计公司专门致力于提供审计信息化软件产品、解决方案、管理咨询及技术服务。拥有中国</w:t>
      </w:r>
      <w:r>
        <w:rPr>
          <w:spacing w:val="-55"/>
        </w:rPr>
        <w:t> </w:t>
      </w:r>
      <w:r>
        <w:rPr>
          <w:spacing w:val="-55"/>
        </w:rPr>
      </w:r>
      <w:r>
        <w:rPr>
          <w:spacing w:val="-1"/>
        </w:rPr>
        <w:t>注册会计师审计信息系统、用友数字化审计分析平台系统、用友税务稽查软件系统等产品。收入</w:t>
      </w:r>
      <w:r>
        <w:rPr>
          <w:spacing w:val="-55"/>
        </w:rPr>
        <w:t> </w:t>
      </w:r>
      <w:r>
        <w:rPr>
          <w:spacing w:val="-55"/>
        </w:rPr>
      </w:r>
      <w:r>
        <w:rPr>
          <w:spacing w:val="-2"/>
        </w:rPr>
        <w:t>主要包括标准产品许可收入、产品支持与运维服务收入、咨询实施收入以及其他增值服务收入。</w:t>
      </w:r>
    </w:p>
    <w:p>
      <w:pPr>
        <w:pStyle w:val="Heading3"/>
        <w:spacing w:line="240" w:lineRule="auto" w:before="30"/>
        <w:ind w:left="138" w:right="0"/>
        <w:jc w:val="both"/>
        <w:rPr>
          <w:b w:val="0"/>
          <w:bCs w:val="0"/>
        </w:rPr>
      </w:pPr>
      <w:r>
        <w:rPr/>
        <w:t>（四）云服务业务概要</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4"/>
          <w:szCs w:val="24"/>
        </w:rPr>
      </w:pPr>
    </w:p>
    <w:p>
      <w:pPr>
        <w:spacing w:line="4075" w:lineRule="exact"/>
        <w:ind w:left="137"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5590436" cy="2587942"/>
            <wp:effectExtent l="0" t="0" r="0" b="0"/>
            <wp:docPr id="13" name="image8.jpeg" descr=""/>
            <wp:cNvGraphicFramePr>
              <a:graphicFrameLocks noChangeAspect="1"/>
            </wp:cNvGraphicFramePr>
            <a:graphic>
              <a:graphicData uri="http://schemas.openxmlformats.org/drawingml/2006/picture">
                <pic:pic>
                  <pic:nvPicPr>
                    <pic:cNvPr id="14" name="image8.jpeg"/>
                    <pic:cNvPicPr/>
                  </pic:nvPicPr>
                  <pic:blipFill>
                    <a:blip r:embed="rId19" cstate="print"/>
                    <a:stretch>
                      <a:fillRect/>
                    </a:stretch>
                  </pic:blipFill>
                  <pic:spPr>
                    <a:xfrm>
                      <a:off x="0" y="0"/>
                      <a:ext cx="5590436" cy="2587942"/>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pStyle w:val="BodyText"/>
        <w:spacing w:line="357" w:lineRule="auto"/>
        <w:ind w:left="138" w:right="148" w:firstLine="419"/>
        <w:jc w:val="both"/>
      </w:pPr>
      <w:r>
        <w:rPr>
          <w:spacing w:val="-2"/>
        </w:rPr>
        <w:t>公司的云服务业务面向数字化转型和数字化原生企业与公共组织，提供数字化、智能化的企</w:t>
      </w:r>
      <w:r>
        <w:rPr>
          <w:w w:val="100"/>
        </w:rPr>
        <w:t> </w:t>
      </w:r>
      <w:r>
        <w:rPr>
          <w:spacing w:val="-1"/>
        </w:rPr>
        <w:t>业与公共组织服务。用友云作为中国领先的企业云服务平台和生态，为众多行业的企业提供公共</w:t>
      </w:r>
      <w:r>
        <w:rPr>
          <w:spacing w:val="-55"/>
        </w:rPr>
        <w:t> </w:t>
      </w:r>
      <w:r>
        <w:rPr>
          <w:spacing w:val="-55"/>
        </w:rPr>
      </w:r>
      <w:r>
        <w:rPr>
          <w:spacing w:val="-1"/>
        </w:rPr>
        <w:t>能力和领域服务，使其能力聚焦，快速创新，并通过聚合企业云服务，构建强大生态，一站式服</w:t>
      </w:r>
      <w:r>
        <w:rPr>
          <w:spacing w:val="-55"/>
        </w:rPr>
        <w:t> </w:t>
      </w:r>
      <w:r>
        <w:rPr>
          <w:spacing w:val="-55"/>
        </w:rPr>
      </w:r>
      <w:r>
        <w:rPr/>
        <w:t>务客户，带动生态伙伴发展，推动企业服务产业的整体发展。</w:t>
      </w:r>
    </w:p>
    <w:p>
      <w:pPr>
        <w:pStyle w:val="BodyText"/>
        <w:spacing w:line="357" w:lineRule="auto" w:before="30"/>
        <w:ind w:left="138" w:right="148" w:firstLine="419"/>
        <w:jc w:val="both"/>
      </w:pPr>
      <w:r>
        <w:rPr/>
        <w:t>用友云包括云平台、云</w:t>
      </w:r>
      <w:r>
        <w:rPr>
          <w:spacing w:val="7"/>
        </w:rPr>
        <w:t> </w:t>
      </w:r>
      <w:r>
        <w:rPr>
          <w:rFonts w:ascii="宋体" w:hAnsi="宋体" w:cs="宋体" w:eastAsia="宋体" w:hint="default"/>
        </w:rPr>
        <w:t>ERP</w:t>
      </w:r>
      <w:r>
        <w:rPr/>
        <w:t>、领域云、行业云、畅捷通云、企业金融云与云市场，领域云包</w:t>
      </w:r>
      <w:r>
        <w:rPr>
          <w:w w:val="100"/>
        </w:rPr>
        <w:t> </w:t>
      </w:r>
      <w:r>
        <w:rPr>
          <w:spacing w:val="-1"/>
        </w:rPr>
        <w:t>括财务云、人力云、采购云、营销云、协同云、电子发票、云通信等；行业云包括工业云、建筑</w:t>
      </w:r>
      <w:r>
        <w:rPr>
          <w:spacing w:val="-56"/>
        </w:rPr>
        <w:t> </w:t>
      </w:r>
      <w:r>
        <w:rPr>
          <w:spacing w:val="-56"/>
        </w:rPr>
      </w:r>
      <w:r>
        <w:rPr/>
        <w:t>云、汽车云、金融云、能源云、财政云、餐饮云、医疗云等。</w:t>
      </w:r>
    </w:p>
    <w:p>
      <w:pPr>
        <w:spacing w:after="0" w:line="357" w:lineRule="auto"/>
        <w:jc w:val="both"/>
        <w:sectPr>
          <w:pgSz w:w="11910" w:h="16840"/>
          <w:pgMar w:header="855" w:footer="1195" w:top="1320" w:bottom="1380" w:left="1660" w:right="1120"/>
        </w:sectPr>
      </w:pPr>
    </w:p>
    <w:p>
      <w:pPr>
        <w:spacing w:line="240" w:lineRule="auto" w:before="4"/>
        <w:rPr>
          <w:rFonts w:ascii="宋体" w:hAnsi="宋体" w:cs="宋体" w:eastAsia="宋体" w:hint="default"/>
          <w:sz w:val="9"/>
          <w:szCs w:val="9"/>
        </w:rPr>
      </w:pPr>
    </w:p>
    <w:p>
      <w:pPr>
        <w:pStyle w:val="BodyText"/>
        <w:spacing w:line="357" w:lineRule="auto" w:before="36"/>
        <w:ind w:left="138" w:right="148" w:firstLine="419"/>
        <w:jc w:val="both"/>
      </w:pPr>
      <w:r>
        <w:rPr>
          <w:spacing w:val="-2"/>
        </w:rPr>
        <w:t>公司的云服务经营模式为向客户提供企业互联网服务，收入包括：运营服务收入、应用服务</w:t>
      </w:r>
      <w:r>
        <w:rPr>
          <w:w w:val="100"/>
        </w:rPr>
        <w:t> </w:t>
      </w:r>
      <w:r>
        <w:rPr>
          <w:spacing w:val="-1"/>
        </w:rPr>
        <w:t>收入、信息和数据服务收入、平台交易收入（含分成）、推广第三方厂商应用服务获得的分润收</w:t>
      </w:r>
      <w:r>
        <w:rPr>
          <w:spacing w:val="-55"/>
        </w:rPr>
        <w:t> </w:t>
      </w:r>
      <w:r>
        <w:rPr>
          <w:spacing w:val="-55"/>
        </w:rPr>
      </w:r>
      <w:r>
        <w:rPr/>
        <w:t>入以及其他增值服务收入。</w:t>
      </w:r>
    </w:p>
    <w:p>
      <w:pPr>
        <w:pStyle w:val="Heading3"/>
        <w:spacing w:line="240" w:lineRule="auto" w:before="30"/>
        <w:ind w:left="138" w:right="0"/>
        <w:jc w:val="left"/>
        <w:rPr>
          <w:b w:val="0"/>
          <w:bCs w:val="0"/>
        </w:rPr>
      </w:pPr>
      <w:r>
        <w:rPr>
          <w:rFonts w:ascii="宋体" w:hAnsi="宋体" w:cs="宋体" w:eastAsia="宋体" w:hint="default"/>
        </w:rPr>
        <w:t>1</w:t>
      </w:r>
      <w:r>
        <w:rPr/>
        <w:t>、云平台</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4"/>
          <w:szCs w:val="24"/>
        </w:rPr>
      </w:pPr>
    </w:p>
    <w:p>
      <w:pPr>
        <w:spacing w:line="5124" w:lineRule="exact"/>
        <w:ind w:left="137" w:right="0" w:firstLine="0"/>
        <w:rPr>
          <w:rFonts w:ascii="宋体" w:hAnsi="宋体" w:cs="宋体" w:eastAsia="宋体" w:hint="default"/>
          <w:sz w:val="20"/>
          <w:szCs w:val="20"/>
        </w:rPr>
      </w:pPr>
      <w:r>
        <w:rPr>
          <w:rFonts w:ascii="宋体" w:hAnsi="宋体" w:cs="宋体" w:eastAsia="宋体" w:hint="default"/>
          <w:position w:val="-101"/>
          <w:sz w:val="20"/>
          <w:szCs w:val="20"/>
        </w:rPr>
        <w:drawing>
          <wp:inline distT="0" distB="0" distL="0" distR="0">
            <wp:extent cx="5661207" cy="3253835"/>
            <wp:effectExtent l="0" t="0" r="0" b="0"/>
            <wp:docPr id="15" name="image9.jpeg" descr=""/>
            <wp:cNvGraphicFramePr>
              <a:graphicFrameLocks noChangeAspect="1"/>
            </wp:cNvGraphicFramePr>
            <a:graphic>
              <a:graphicData uri="http://schemas.openxmlformats.org/drawingml/2006/picture">
                <pic:pic>
                  <pic:nvPicPr>
                    <pic:cNvPr id="16" name="image9.jpeg"/>
                    <pic:cNvPicPr/>
                  </pic:nvPicPr>
                  <pic:blipFill>
                    <a:blip r:embed="rId21" cstate="print"/>
                    <a:stretch>
                      <a:fillRect/>
                    </a:stretch>
                  </pic:blipFill>
                  <pic:spPr>
                    <a:xfrm>
                      <a:off x="0" y="0"/>
                      <a:ext cx="5661207" cy="3253835"/>
                    </a:xfrm>
                    <a:prstGeom prst="rect">
                      <a:avLst/>
                    </a:prstGeom>
                  </pic:spPr>
                </pic:pic>
              </a:graphicData>
            </a:graphic>
          </wp:inline>
        </w:drawing>
      </w:r>
      <w:r>
        <w:rPr>
          <w:rFonts w:ascii="宋体" w:hAnsi="宋体" w:cs="宋体" w:eastAsia="宋体" w:hint="default"/>
          <w:position w:val="-101"/>
          <w:sz w:val="20"/>
          <w:szCs w:val="2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5"/>
          <w:szCs w:val="15"/>
        </w:rPr>
      </w:pPr>
    </w:p>
    <w:p>
      <w:pPr>
        <w:pStyle w:val="BodyText"/>
        <w:spacing w:line="355" w:lineRule="auto"/>
        <w:ind w:left="138" w:right="147" w:firstLine="419"/>
        <w:jc w:val="both"/>
      </w:pPr>
      <w:r>
        <w:rPr/>
        <w:t>用友</w:t>
      </w:r>
      <w:r>
        <w:rPr>
          <w:spacing w:val="-52"/>
        </w:rPr>
        <w:t> </w:t>
      </w:r>
      <w:r>
        <w:rPr>
          <w:rFonts w:ascii="宋体" w:hAnsi="宋体" w:cs="宋体" w:eastAsia="宋体" w:hint="default"/>
        </w:rPr>
        <w:t>iuap</w:t>
      </w:r>
      <w:r>
        <w:rPr>
          <w:rFonts w:ascii="宋体" w:hAnsi="宋体" w:cs="宋体" w:eastAsia="宋体" w:hint="default"/>
          <w:spacing w:val="-52"/>
        </w:rPr>
        <w:t> </w:t>
      </w:r>
      <w:r>
        <w:rPr/>
        <w:t>云平台聚焦</w:t>
      </w:r>
      <w:r>
        <w:rPr>
          <w:spacing w:val="-52"/>
        </w:rPr>
        <w:t> </w:t>
      </w:r>
      <w:r>
        <w:rPr>
          <w:rFonts w:ascii="宋体" w:hAnsi="宋体" w:cs="宋体" w:eastAsia="宋体" w:hint="default"/>
        </w:rPr>
        <w:t>PaaS</w:t>
      </w:r>
      <w:r>
        <w:rPr/>
        <w:t>，支撑</w:t>
      </w:r>
      <w:r>
        <w:rPr>
          <w:spacing w:val="-55"/>
        </w:rPr>
        <w:t> </w:t>
      </w:r>
      <w:r>
        <w:rPr>
          <w:rFonts w:ascii="宋体" w:hAnsi="宋体" w:cs="宋体" w:eastAsia="宋体" w:hint="default"/>
        </w:rPr>
        <w:t>SaaS</w:t>
      </w:r>
      <w:r>
        <w:rPr/>
        <w:t>（软件应用服务）、</w:t>
      </w:r>
      <w:r>
        <w:rPr>
          <w:rFonts w:ascii="宋体" w:hAnsi="宋体" w:cs="宋体" w:eastAsia="宋体" w:hint="default"/>
        </w:rPr>
        <w:t>DaaS</w:t>
      </w:r>
      <w:r>
        <w:rPr/>
        <w:t>（数据服务）、</w:t>
      </w:r>
      <w:r>
        <w:rPr>
          <w:rFonts w:ascii="宋体" w:hAnsi="宋体" w:cs="宋体" w:eastAsia="宋体" w:hint="default"/>
        </w:rPr>
        <w:t>BaaS</w:t>
      </w:r>
      <w:r>
        <w:rPr/>
        <w:t>（业务</w:t>
      </w:r>
      <w:r>
        <w:rPr>
          <w:spacing w:val="-3"/>
          <w:w w:val="100"/>
        </w:rPr>
        <w:t> </w:t>
      </w:r>
      <w:r>
        <w:rPr>
          <w:spacing w:val="-3"/>
        </w:rPr>
        <w:t>运营服务），适配多种 </w:t>
      </w:r>
      <w:r>
        <w:rPr>
          <w:rFonts w:ascii="宋体" w:hAnsi="宋体" w:cs="宋体" w:eastAsia="宋体" w:hint="default"/>
          <w:spacing w:val="-3"/>
        </w:rPr>
        <w:t>IaaS</w:t>
      </w:r>
      <w:r>
        <w:rPr>
          <w:spacing w:val="-3"/>
        </w:rPr>
        <w:t>，遵循开放、开源、生态的发展原则，基于公司近 </w:t>
      </w:r>
      <w:r>
        <w:rPr>
          <w:rFonts w:ascii="宋体" w:hAnsi="宋体" w:cs="宋体" w:eastAsia="宋体" w:hint="default"/>
        </w:rPr>
        <w:t>30 </w:t>
      </w:r>
      <w:r>
        <w:rPr/>
        <w:t>年来在不同规</w:t>
      </w:r>
      <w:r>
        <w:rPr>
          <w:spacing w:val="-95"/>
        </w:rPr>
        <w:t> </w:t>
      </w:r>
      <w:r>
        <w:rPr>
          <w:spacing w:val="-95"/>
        </w:rPr>
      </w:r>
      <w:r>
        <w:rPr>
          <w:spacing w:val="-1"/>
        </w:rPr>
        <w:t>模、不同领域、不同行业、不同业务及组织模式的沉淀积累，提供企业业务创新所需的开发、集</w:t>
      </w:r>
      <w:r>
        <w:rPr>
          <w:spacing w:val="-55"/>
        </w:rPr>
        <w:t> </w:t>
      </w:r>
      <w:r>
        <w:rPr>
          <w:spacing w:val="-55"/>
        </w:rPr>
      </w:r>
      <w:r>
        <w:rPr>
          <w:spacing w:val="-1"/>
        </w:rPr>
        <w:t>成、运行、运维、运营、基础数据及应用服务，帮助开发者快速构建面向特定领域或行业的企业</w:t>
      </w:r>
      <w:r>
        <w:rPr>
          <w:spacing w:val="-56"/>
        </w:rPr>
        <w:t> </w:t>
      </w:r>
      <w:r>
        <w:rPr>
          <w:spacing w:val="-56"/>
        </w:rPr>
      </w:r>
      <w:r>
        <w:rPr/>
        <w:t>服务。</w:t>
      </w:r>
    </w:p>
    <w:p>
      <w:pPr>
        <w:pStyle w:val="Heading3"/>
        <w:spacing w:line="240" w:lineRule="auto" w:before="35"/>
        <w:ind w:left="138" w:right="0"/>
        <w:jc w:val="left"/>
        <w:rPr>
          <w:rFonts w:ascii="宋体" w:hAnsi="宋体" w:cs="宋体" w:eastAsia="宋体" w:hint="default"/>
          <w:b w:val="0"/>
          <w:bCs w:val="0"/>
        </w:rPr>
      </w:pPr>
      <w:r>
        <w:rPr>
          <w:rFonts w:ascii="宋体" w:hAnsi="宋体" w:cs="宋体" w:eastAsia="宋体" w:hint="default"/>
        </w:rPr>
        <w:t>2</w:t>
      </w:r>
      <w:r>
        <w:rPr/>
        <w:t>、云</w:t>
      </w:r>
      <w:r>
        <w:rPr>
          <w:spacing w:val="-56"/>
        </w:rPr>
        <w:t> </w:t>
      </w:r>
      <w:r>
        <w:rPr>
          <w:rFonts w:ascii="宋体" w:hAnsi="宋体" w:cs="宋体" w:eastAsia="宋体" w:hint="default"/>
        </w:rPr>
        <w:t>ERP</w:t>
      </w:r>
      <w:r>
        <w:rPr>
          <w:rFonts w:ascii="宋体" w:hAnsi="宋体" w:cs="宋体" w:eastAsia="宋体" w:hint="default"/>
          <w:b w:val="0"/>
          <w:bCs w:val="0"/>
        </w:rPr>
      </w:r>
    </w:p>
    <w:p>
      <w:pPr>
        <w:pStyle w:val="BodyText"/>
        <w:spacing w:line="357" w:lineRule="auto" w:before="133"/>
        <w:ind w:left="138" w:right="147" w:firstLine="419"/>
        <w:jc w:val="both"/>
      </w:pPr>
      <w:r>
        <w:rPr>
          <w:rFonts w:ascii="宋体" w:hAnsi="宋体" w:cs="宋体" w:eastAsia="宋体" w:hint="default"/>
        </w:rPr>
        <w:t>U8cloud</w:t>
      </w:r>
      <w:r>
        <w:rPr>
          <w:rFonts w:ascii="宋体" w:hAnsi="宋体" w:cs="宋体" w:eastAsia="宋体" w:hint="default"/>
          <w:spacing w:val="-33"/>
        </w:rPr>
        <w:t> </w:t>
      </w:r>
      <w:r>
        <w:rPr/>
        <w:t>主要面向需要云</w:t>
      </w:r>
      <w:r>
        <w:rPr>
          <w:spacing w:val="-35"/>
        </w:rPr>
        <w:t> </w:t>
      </w:r>
      <w:r>
        <w:rPr>
          <w:rFonts w:ascii="宋体" w:hAnsi="宋体" w:cs="宋体" w:eastAsia="宋体" w:hint="default"/>
        </w:rPr>
        <w:t>ERP</w:t>
      </w:r>
      <w:r>
        <w:rPr>
          <w:rFonts w:ascii="宋体" w:hAnsi="宋体" w:cs="宋体" w:eastAsia="宋体" w:hint="default"/>
          <w:spacing w:val="-33"/>
        </w:rPr>
        <w:t> </w:t>
      </w:r>
      <w:r>
        <w:rPr/>
        <w:t>企业管理软件的创新型、成长型企业，采用互联网新技术，支</w:t>
      </w:r>
      <w:r>
        <w:rPr>
          <w:w w:val="100"/>
        </w:rPr>
        <w:t> </w:t>
      </w:r>
      <w:r>
        <w:rPr/>
        <w:t>持公有云、混合云、专属云的部署，融合了交易、服务、管理于一体的整体解决方案。</w:t>
      </w:r>
      <w:r>
        <w:rPr>
          <w:rFonts w:ascii="宋体" w:hAnsi="宋体" w:cs="宋体" w:eastAsia="宋体" w:hint="default"/>
        </w:rPr>
        <w:t>U8cloud</w:t>
      </w:r>
      <w:r>
        <w:rPr>
          <w:rFonts w:ascii="宋体" w:hAnsi="宋体" w:cs="宋体" w:eastAsia="宋体" w:hint="default"/>
          <w:spacing w:val="12"/>
        </w:rPr>
        <w:t> </w:t>
      </w:r>
      <w:r>
        <w:rPr>
          <w:rFonts w:ascii="宋体" w:hAnsi="宋体" w:cs="宋体" w:eastAsia="宋体" w:hint="default"/>
          <w:spacing w:val="12"/>
        </w:rPr>
      </w:r>
      <w:r>
        <w:rPr/>
        <w:t>是公司新一代的云</w:t>
      </w:r>
      <w:r>
        <w:rPr>
          <w:spacing w:val="-51"/>
        </w:rPr>
        <w:t> </w:t>
      </w:r>
      <w:r>
        <w:rPr>
          <w:rFonts w:ascii="宋体" w:hAnsi="宋体" w:cs="宋体" w:eastAsia="宋体" w:hint="default"/>
        </w:rPr>
        <w:t>ERP</w:t>
      </w:r>
      <w:r>
        <w:rPr>
          <w:rFonts w:ascii="宋体" w:hAnsi="宋体" w:cs="宋体" w:eastAsia="宋体" w:hint="default"/>
          <w:spacing w:val="-49"/>
        </w:rPr>
        <w:t> </w:t>
      </w:r>
      <w:r>
        <w:rPr/>
        <w:t>产品，通过云模式、低成本、快速部署、即租即用帮助企业免除硬软件投</w:t>
      </w:r>
      <w:r>
        <w:rPr>
          <w:w w:val="100"/>
        </w:rPr>
        <w:t> </w:t>
      </w:r>
      <w:r>
        <w:rPr/>
        <w:t>入并快速搭建企业管理架构。</w:t>
      </w:r>
    </w:p>
    <w:p>
      <w:pPr>
        <w:pStyle w:val="Heading3"/>
        <w:spacing w:line="240" w:lineRule="auto" w:before="30"/>
        <w:ind w:left="138" w:right="0"/>
        <w:jc w:val="left"/>
        <w:rPr>
          <w:b w:val="0"/>
          <w:bCs w:val="0"/>
        </w:rPr>
      </w:pPr>
      <w:r>
        <w:rPr>
          <w:rFonts w:ascii="宋体" w:hAnsi="宋体" w:cs="宋体" w:eastAsia="宋体" w:hint="default"/>
        </w:rPr>
        <w:t>3</w:t>
      </w:r>
      <w:r>
        <w:rPr/>
        <w:t>、领域云</w:t>
      </w:r>
      <w:r>
        <w:rPr>
          <w:b w:val="0"/>
          <w:bCs w:val="0"/>
        </w:rPr>
      </w:r>
    </w:p>
    <w:p>
      <w:pPr>
        <w:pStyle w:val="BodyText"/>
        <w:spacing w:line="357" w:lineRule="auto" w:before="133"/>
        <w:ind w:left="138" w:right="148" w:firstLine="419"/>
        <w:jc w:val="both"/>
      </w:pPr>
      <w:r>
        <w:rPr>
          <w:spacing w:val="-4"/>
        </w:rPr>
        <w:t>营销云面向企业营销流通领域，基于云计算技术，依托 </w:t>
      </w:r>
      <w:r>
        <w:rPr>
          <w:rFonts w:ascii="宋体" w:hAnsi="宋体" w:cs="宋体" w:eastAsia="宋体" w:hint="default"/>
        </w:rPr>
        <w:t>PaaS</w:t>
      </w:r>
      <w:r>
        <w:rPr>
          <w:rFonts w:ascii="宋体" w:hAnsi="宋体" w:cs="宋体" w:eastAsia="宋体" w:hint="default"/>
          <w:spacing w:val="-44"/>
        </w:rPr>
        <w:t> </w:t>
      </w:r>
      <w:r>
        <w:rPr>
          <w:spacing w:val="-5"/>
        </w:rPr>
        <w:t>平台，提供渠道营销、终端运营</w:t>
      </w:r>
      <w:r>
        <w:rPr>
          <w:w w:val="100"/>
        </w:rPr>
        <w:t> </w:t>
      </w:r>
      <w:r>
        <w:rPr>
          <w:spacing w:val="-1"/>
        </w:rPr>
        <w:t>两大核心应用，业务覆盖大客户直销、全国区域分销、在线会员营销。打通营销链渠道、会员，</w:t>
      </w:r>
      <w:r>
        <w:rPr>
          <w:spacing w:val="-55"/>
        </w:rPr>
        <w:t> </w:t>
      </w:r>
      <w:r>
        <w:rPr>
          <w:spacing w:val="-55"/>
        </w:rPr>
      </w:r>
      <w:r>
        <w:rPr>
          <w:spacing w:val="-1"/>
        </w:rPr>
        <w:t>构建全渠道生态系统，数据驱动消费深化与增值服务。营销云产品包括超客营销、友会员、友订</w:t>
      </w:r>
      <w:r>
        <w:rPr>
          <w:spacing w:val="-55"/>
        </w:rPr>
        <w:t> </w:t>
      </w:r>
      <w:r>
        <w:rPr>
          <w:spacing w:val="-55"/>
        </w:rPr>
      </w:r>
      <w:r>
        <w:rPr/>
        <w:t>货、红人点点等，经营模式为向客户提供企业互联网数字营销、移动</w:t>
      </w:r>
      <w:r>
        <w:rPr>
          <w:spacing w:val="-52"/>
        </w:rPr>
        <w:t> </w:t>
      </w:r>
      <w:r>
        <w:rPr>
          <w:rFonts w:ascii="宋体" w:hAnsi="宋体" w:cs="宋体" w:eastAsia="宋体" w:hint="default"/>
        </w:rPr>
        <w:t>CRM</w:t>
      </w:r>
      <w:r>
        <w:rPr>
          <w:rFonts w:ascii="宋体" w:hAnsi="宋体" w:cs="宋体" w:eastAsia="宋体" w:hint="default"/>
          <w:spacing w:val="-50"/>
        </w:rPr>
        <w:t> </w:t>
      </w:r>
      <w:r>
        <w:rPr/>
        <w:t>以及网上经销商平台服</w:t>
      </w:r>
    </w:p>
    <w:p>
      <w:pPr>
        <w:spacing w:after="0" w:line="357" w:lineRule="auto"/>
        <w:jc w:val="both"/>
        <w:sectPr>
          <w:footerReference w:type="default" r:id="rId20"/>
          <w:pgSz w:w="11910" w:h="16840"/>
          <w:pgMar w:footer="1195" w:header="855" w:top="1320" w:bottom="1380" w:left="1660" w:right="1120"/>
          <w:pgNumType w:start="18"/>
        </w:sectPr>
      </w:pPr>
    </w:p>
    <w:p>
      <w:pPr>
        <w:spacing w:line="240" w:lineRule="auto" w:before="4"/>
        <w:rPr>
          <w:rFonts w:ascii="宋体" w:hAnsi="宋体" w:cs="宋体" w:eastAsia="宋体" w:hint="default"/>
          <w:sz w:val="9"/>
          <w:szCs w:val="9"/>
        </w:rPr>
      </w:pPr>
    </w:p>
    <w:p>
      <w:pPr>
        <w:pStyle w:val="BodyText"/>
        <w:spacing w:line="357" w:lineRule="auto" w:before="36"/>
        <w:ind w:left="138" w:right="0"/>
        <w:jc w:val="left"/>
      </w:pPr>
      <w:r>
        <w:rPr>
          <w:spacing w:val="-1"/>
        </w:rPr>
        <w:t>务，获得运营服务收入、应用服务收入、信息和数据服务收入、推广第三方厂商应用服务获得的</w:t>
      </w:r>
      <w:r>
        <w:rPr>
          <w:spacing w:val="-55"/>
        </w:rPr>
        <w:t> </w:t>
      </w:r>
      <w:r>
        <w:rPr>
          <w:spacing w:val="-55"/>
        </w:rPr>
      </w:r>
      <w:r>
        <w:rPr/>
        <w:t>分润收入以及其他增值服务收入。</w:t>
      </w:r>
    </w:p>
    <w:p>
      <w:pPr>
        <w:pStyle w:val="BodyText"/>
        <w:spacing w:line="357" w:lineRule="auto" w:before="30"/>
        <w:ind w:left="138" w:right="147" w:firstLine="419"/>
        <w:jc w:val="both"/>
      </w:pPr>
      <w:r>
        <w:rPr>
          <w:spacing w:val="-2"/>
        </w:rPr>
        <w:t>协同云通过连接企业员工、产业链伙伴及社会化用户，帮助企业在云服务时代，打破沟通壁</w:t>
      </w:r>
      <w:r>
        <w:rPr>
          <w:w w:val="100"/>
        </w:rPr>
        <w:t> </w:t>
      </w:r>
      <w:r>
        <w:rPr>
          <w:spacing w:val="-1"/>
        </w:rPr>
        <w:t>垒，提升协同工作效率，实现社交化沟通与分享，激发组织活力。协同云的核心产品友空间是面</w:t>
      </w:r>
      <w:r>
        <w:rPr>
          <w:spacing w:val="-54"/>
        </w:rPr>
        <w:t> </w:t>
      </w:r>
      <w:r>
        <w:rPr>
          <w:spacing w:val="-54"/>
        </w:rPr>
      </w:r>
      <w:r>
        <w:rPr>
          <w:spacing w:val="-1"/>
        </w:rPr>
        <w:t>向大中型企业与组织打造的社交化沟通协作与协同办公平台，以融合、开放、连接三大特性，利</w:t>
      </w:r>
      <w:r>
        <w:rPr>
          <w:spacing w:val="-55"/>
        </w:rPr>
        <w:t> </w:t>
      </w:r>
      <w:r>
        <w:rPr>
          <w:spacing w:val="-55"/>
        </w:rPr>
      </w:r>
      <w:r>
        <w:rPr>
          <w:spacing w:val="-1"/>
        </w:rPr>
        <w:t>用即时通讯等互联网工具和技术，为企业提供沟通协作、协同办公等核心价值，帮助企业实现云</w:t>
      </w:r>
      <w:r>
        <w:rPr>
          <w:spacing w:val="-55"/>
        </w:rPr>
        <w:t> </w:t>
      </w:r>
      <w:r>
        <w:rPr>
          <w:spacing w:val="-55"/>
        </w:rPr>
      </w:r>
      <w:r>
        <w:rPr/>
        <w:t>端业务开展，提高工作与管理效率。</w:t>
      </w:r>
    </w:p>
    <w:p>
      <w:pPr>
        <w:pStyle w:val="BodyText"/>
        <w:spacing w:line="357" w:lineRule="auto" w:before="30"/>
        <w:ind w:left="138" w:right="147" w:firstLine="419"/>
        <w:jc w:val="both"/>
      </w:pPr>
      <w:r>
        <w:rPr>
          <w:spacing w:val="-2"/>
        </w:rPr>
        <w:t>人力云业务包括友人才、薪福社等产品。友人才为企业提供专业的招聘服务、人事服务、员</w:t>
      </w:r>
      <w:r>
        <w:rPr>
          <w:w w:val="100"/>
        </w:rPr>
        <w:t> </w:t>
      </w:r>
      <w:r>
        <w:rPr>
          <w:spacing w:val="-1"/>
        </w:rPr>
        <w:t>工服务和共享服务工作台，支持全员参与、社交协同，开放连接内外部应用和服务生态，具备场</w:t>
      </w:r>
      <w:r>
        <w:rPr>
          <w:spacing w:val="-55"/>
        </w:rPr>
        <w:t> </w:t>
      </w:r>
      <w:r>
        <w:rPr>
          <w:spacing w:val="-55"/>
        </w:rPr>
      </w:r>
      <w:r>
        <w:rPr>
          <w:spacing w:val="-1"/>
        </w:rPr>
        <w:t>景化、个性化、智能化等特性，帮助企业精准获取高质量人才，增强员工体验和团队协作，提升</w:t>
      </w:r>
      <w:r>
        <w:rPr>
          <w:spacing w:val="-55"/>
        </w:rPr>
        <w:t> </w:t>
      </w:r>
      <w:r>
        <w:rPr>
          <w:spacing w:val="-55"/>
        </w:rPr>
      </w:r>
      <w:r>
        <w:rPr>
          <w:spacing w:val="-4"/>
        </w:rPr>
        <w:t>服务运营效率，助力</w:t>
      </w:r>
      <w:r>
        <w:rPr>
          <w:spacing w:val="-28"/>
        </w:rPr>
        <w:t> </w:t>
      </w:r>
      <w:r>
        <w:rPr>
          <w:rFonts w:ascii="宋体" w:hAnsi="宋体" w:cs="宋体" w:eastAsia="宋体" w:hint="default"/>
        </w:rPr>
        <w:t>HR</w:t>
      </w:r>
      <w:r>
        <w:rPr>
          <w:rFonts w:ascii="宋体" w:hAnsi="宋体" w:cs="宋体" w:eastAsia="宋体" w:hint="default"/>
          <w:spacing w:val="-26"/>
        </w:rPr>
        <w:t> </w:t>
      </w:r>
      <w:r>
        <w:rPr>
          <w:spacing w:val="-4"/>
        </w:rPr>
        <w:t>更专注战略，促进数字化决策，保持人才领先。薪福社提供高质量的人事</w:t>
      </w:r>
      <w:r>
        <w:rPr>
          <w:spacing w:val="-95"/>
        </w:rPr>
        <w:t> </w:t>
      </w:r>
      <w:r>
        <w:rPr>
          <w:spacing w:val="-95"/>
        </w:rPr>
      </w:r>
      <w:r>
        <w:rPr>
          <w:spacing w:val="-18"/>
        </w:rPr>
        <w:t>外包、薪税、福利服务，为企业</w:t>
      </w:r>
      <w:r>
        <w:rPr>
          <w:spacing w:val="-22"/>
        </w:rPr>
        <w:t> </w:t>
      </w:r>
      <w:r>
        <w:rPr>
          <w:rFonts w:ascii="宋体" w:hAnsi="宋体" w:cs="宋体" w:eastAsia="宋体" w:hint="default"/>
        </w:rPr>
        <w:t>HR</w:t>
      </w:r>
      <w:r>
        <w:rPr>
          <w:rFonts w:ascii="宋体" w:hAnsi="宋体" w:cs="宋体" w:eastAsia="宋体" w:hint="default"/>
          <w:spacing w:val="-22"/>
        </w:rPr>
        <w:t> </w:t>
      </w:r>
      <w:r>
        <w:rPr>
          <w:spacing w:val="-5"/>
        </w:rPr>
        <w:t>提供全方位的支持，实现企业人力成本与业务成本的优质匹配，</w:t>
      </w:r>
      <w:r>
        <w:rPr>
          <w:spacing w:val="-90"/>
        </w:rPr>
        <w:t> </w:t>
      </w:r>
      <w:r>
        <w:rPr>
          <w:spacing w:val="-90"/>
        </w:rPr>
      </w:r>
      <w:r>
        <w:rPr/>
        <w:t>使得成本费用率持续可控，助力企业精益管理，充分激发人才潜能。</w:t>
      </w:r>
    </w:p>
    <w:p>
      <w:pPr>
        <w:pStyle w:val="BodyText"/>
        <w:spacing w:line="357" w:lineRule="auto" w:before="30"/>
        <w:ind w:left="138" w:right="147" w:firstLine="419"/>
        <w:jc w:val="both"/>
      </w:pPr>
      <w:r>
        <w:rPr>
          <w:spacing w:val="-2"/>
        </w:rPr>
        <w:t>采购云是企业互联网采购服务平台，旨在帮助企业进行采购决策和高效协同。友云采提供云</w:t>
      </w:r>
      <w:r>
        <w:rPr>
          <w:w w:val="100"/>
        </w:rPr>
        <w:t> </w:t>
      </w:r>
      <w:r>
        <w:rPr>
          <w:spacing w:val="-4"/>
        </w:rPr>
        <w:t>采超市、工业品超市、供应商门户协同三个交易场景服务，为办公用品、</w:t>
      </w:r>
      <w:r>
        <w:rPr>
          <w:rFonts w:ascii="宋体" w:hAnsi="宋体" w:cs="宋体" w:eastAsia="宋体" w:hint="default"/>
          <w:spacing w:val="-4"/>
        </w:rPr>
        <w:t>MRO</w:t>
      </w:r>
      <w:r>
        <w:rPr>
          <w:rFonts w:ascii="宋体" w:hAnsi="宋体" w:cs="宋体" w:eastAsia="宋体" w:hint="default"/>
          <w:spacing w:val="-27"/>
        </w:rPr>
        <w:t> </w:t>
      </w:r>
      <w:r>
        <w:rPr>
          <w:spacing w:val="-4"/>
        </w:rPr>
        <w:t>工业品、</w:t>
      </w:r>
      <w:r>
        <w:rPr>
          <w:rFonts w:ascii="宋体" w:hAnsi="宋体" w:cs="宋体" w:eastAsia="宋体" w:hint="default"/>
          <w:spacing w:val="-4"/>
        </w:rPr>
        <w:t>BOM</w:t>
      </w:r>
      <w:r>
        <w:rPr>
          <w:rFonts w:ascii="宋体" w:hAnsi="宋体" w:cs="宋体" w:eastAsia="宋体" w:hint="default"/>
          <w:spacing w:val="-23"/>
        </w:rPr>
        <w:t> </w:t>
      </w:r>
      <w:r>
        <w:rPr/>
        <w:t>原材料</w:t>
      </w:r>
      <w:r>
        <w:rPr>
          <w:spacing w:val="-94"/>
        </w:rPr>
        <w:t> </w:t>
      </w:r>
      <w:r>
        <w:rPr>
          <w:spacing w:val="-94"/>
        </w:rPr>
      </w:r>
      <w:r>
        <w:rPr>
          <w:spacing w:val="-1"/>
        </w:rPr>
        <w:t>不同品类采购提供一站式服务。友云采立足采购方的企业互联网采购服务平台，构建全球供应商</w:t>
      </w:r>
      <w:r>
        <w:rPr>
          <w:spacing w:val="-55"/>
        </w:rPr>
        <w:t> </w:t>
      </w:r>
      <w:r>
        <w:rPr>
          <w:spacing w:val="-55"/>
        </w:rPr>
      </w:r>
      <w:r>
        <w:rPr/>
        <w:t>网络资源库，帮助企业实现全球采购，构建数字商业新生态。</w:t>
      </w:r>
    </w:p>
    <w:p>
      <w:pPr>
        <w:pStyle w:val="BodyText"/>
        <w:spacing w:line="357" w:lineRule="auto" w:before="30"/>
        <w:ind w:left="138" w:right="148" w:firstLine="419"/>
        <w:jc w:val="both"/>
      </w:pPr>
      <w:r>
        <w:rPr>
          <w:spacing w:val="-2"/>
        </w:rPr>
        <w:t>财务云基于前沿的云计算、大数据、人工智能等技术，基于社会化商业这一新的商业范式，</w:t>
      </w:r>
      <w:r>
        <w:rPr>
          <w:w w:val="100"/>
        </w:rPr>
        <w:t> </w:t>
      </w:r>
      <w:r>
        <w:rPr>
          <w:spacing w:val="-1"/>
        </w:rPr>
        <w:t>为企业提供以智能报账、智能核算、智能共享为核心的财务服务，帮助企业建立起具有连接、融</w:t>
      </w:r>
      <w:r>
        <w:rPr>
          <w:spacing w:val="-55"/>
        </w:rPr>
        <w:t> </w:t>
      </w:r>
      <w:r>
        <w:rPr>
          <w:spacing w:val="-55"/>
        </w:rPr>
      </w:r>
      <w:r>
        <w:rPr>
          <w:spacing w:val="-4"/>
        </w:rPr>
        <w:t>合、共享、智能新特性的财务云平台，引领企业财务转型，创造财务新价值。智能报账服务</w:t>
      </w:r>
      <w:r>
        <w:rPr>
          <w:rFonts w:ascii="宋体" w:hAnsi="宋体" w:cs="宋体" w:eastAsia="宋体" w:hint="default"/>
          <w:spacing w:val="-4"/>
        </w:rPr>
        <w:t>-</w:t>
      </w:r>
      <w:r>
        <w:rPr>
          <w:spacing w:val="-4"/>
        </w:rPr>
        <w:t>友报</w:t>
      </w:r>
      <w:r>
        <w:rPr>
          <w:spacing w:val="-36"/>
        </w:rPr>
        <w:t> </w:t>
      </w:r>
      <w:r>
        <w:rPr>
          <w:spacing w:val="-1"/>
        </w:rPr>
        <w:t>账为企业提供专业化的报账服务和连接服务，创造企业财务新价值；友报账作为企业财务数据采</w:t>
      </w:r>
      <w:r>
        <w:rPr>
          <w:spacing w:val="-55"/>
        </w:rPr>
        <w:t> </w:t>
      </w:r>
      <w:r>
        <w:rPr>
          <w:spacing w:val="-55"/>
        </w:rPr>
      </w:r>
      <w:r>
        <w:rPr>
          <w:spacing w:val="-1"/>
        </w:rPr>
        <w:t>集终端，面向企业全员应用，并整合社会资源，为企业员工提供端到端的一站式互联网服务，打</w:t>
      </w:r>
      <w:r>
        <w:rPr>
          <w:spacing w:val="-55"/>
        </w:rPr>
        <w:t> </w:t>
      </w:r>
      <w:r>
        <w:rPr>
          <w:spacing w:val="-55"/>
        </w:rPr>
      </w:r>
      <w:r>
        <w:rPr>
          <w:spacing w:val="-1"/>
        </w:rPr>
        <w:t>通从申请、审批、交易、报账、支付、核算、报告所有环节。智能核算服务为企业提供自动实时</w:t>
      </w:r>
      <w:r>
        <w:rPr>
          <w:spacing w:val="-55"/>
        </w:rPr>
        <w:t> </w:t>
      </w:r>
      <w:r>
        <w:rPr>
          <w:spacing w:val="-55"/>
        </w:rPr>
      </w:r>
      <w:r>
        <w:rPr>
          <w:spacing w:val="-6"/>
        </w:rPr>
        <w:t>的财务核算、财务报表与分析服务，融合各领域和各行业的业务云，形成云端的业财自动化融合，</w:t>
      </w:r>
      <w:r>
        <w:rPr>
          <w:spacing w:val="-54"/>
        </w:rPr>
        <w:t> </w:t>
      </w:r>
      <w:r>
        <w:rPr>
          <w:spacing w:val="-54"/>
        </w:rPr>
      </w:r>
      <w:r>
        <w:rPr/>
        <w:t>并提供财税自动化、电子归档自动化、监管报送自动化服务。</w:t>
      </w:r>
    </w:p>
    <w:p>
      <w:pPr>
        <w:spacing w:after="0" w:line="357" w:lineRule="auto"/>
        <w:jc w:val="both"/>
        <w:sectPr>
          <w:pgSz w:w="11910" w:h="16840"/>
          <w:pgMar w:header="855" w:footer="1195" w:top="1320" w:bottom="1380" w:left="1660" w:right="1120"/>
        </w:sectPr>
      </w:pPr>
    </w:p>
    <w:p>
      <w:pPr>
        <w:spacing w:line="240" w:lineRule="auto" w:before="10"/>
        <w:rPr>
          <w:rFonts w:ascii="宋体" w:hAnsi="宋体" w:cs="宋体" w:eastAsia="宋体" w:hint="default"/>
          <w:sz w:val="14"/>
          <w:szCs w:val="14"/>
        </w:rPr>
      </w:pPr>
    </w:p>
    <w:p>
      <w:pPr>
        <w:spacing w:line="4514" w:lineRule="exact"/>
        <w:ind w:left="137" w:right="0" w:firstLine="0"/>
        <w:rPr>
          <w:rFonts w:ascii="宋体" w:hAnsi="宋体" w:cs="宋体" w:eastAsia="宋体" w:hint="default"/>
          <w:sz w:val="20"/>
          <w:szCs w:val="20"/>
        </w:rPr>
      </w:pPr>
      <w:r>
        <w:rPr>
          <w:rFonts w:ascii="宋体" w:hAnsi="宋体" w:cs="宋体" w:eastAsia="宋体" w:hint="default"/>
          <w:position w:val="-89"/>
          <w:sz w:val="20"/>
          <w:szCs w:val="20"/>
        </w:rPr>
        <w:drawing>
          <wp:inline distT="0" distB="0" distL="0" distR="0">
            <wp:extent cx="5173896" cy="2866644"/>
            <wp:effectExtent l="0" t="0" r="0" b="0"/>
            <wp:docPr id="17" name="image10.jpeg" descr=""/>
            <wp:cNvGraphicFramePr>
              <a:graphicFrameLocks noChangeAspect="1"/>
            </wp:cNvGraphicFramePr>
            <a:graphic>
              <a:graphicData uri="http://schemas.openxmlformats.org/drawingml/2006/picture">
                <pic:pic>
                  <pic:nvPicPr>
                    <pic:cNvPr id="18" name="image10.jpeg"/>
                    <pic:cNvPicPr/>
                  </pic:nvPicPr>
                  <pic:blipFill>
                    <a:blip r:embed="rId23" cstate="print"/>
                    <a:stretch>
                      <a:fillRect/>
                    </a:stretch>
                  </pic:blipFill>
                  <pic:spPr>
                    <a:xfrm>
                      <a:off x="0" y="0"/>
                      <a:ext cx="5173896" cy="2866644"/>
                    </a:xfrm>
                    <a:prstGeom prst="rect">
                      <a:avLst/>
                    </a:prstGeom>
                  </pic:spPr>
                </pic:pic>
              </a:graphicData>
            </a:graphic>
          </wp:inline>
        </w:drawing>
      </w:r>
      <w:r>
        <w:rPr>
          <w:rFonts w:ascii="宋体" w:hAnsi="宋体" w:cs="宋体" w:eastAsia="宋体" w:hint="default"/>
          <w:position w:val="-89"/>
          <w:sz w:val="20"/>
          <w:szCs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pStyle w:val="Heading3"/>
        <w:spacing w:line="240" w:lineRule="auto" w:before="36"/>
        <w:ind w:left="138" w:right="0"/>
        <w:jc w:val="left"/>
        <w:rPr>
          <w:b w:val="0"/>
          <w:bCs w:val="0"/>
        </w:rPr>
      </w:pPr>
      <w:r>
        <w:rPr>
          <w:rFonts w:ascii="宋体" w:hAnsi="宋体" w:cs="宋体" w:eastAsia="宋体" w:hint="default"/>
        </w:rPr>
        <w:t>4</w:t>
      </w:r>
      <w:r>
        <w:rPr/>
        <w:t>、行业云</w:t>
      </w:r>
      <w:r>
        <w:rPr>
          <w:b w:val="0"/>
          <w:bCs w:val="0"/>
        </w:rPr>
      </w:r>
    </w:p>
    <w:p>
      <w:pPr>
        <w:pStyle w:val="BodyText"/>
        <w:spacing w:line="357" w:lineRule="auto" w:before="133"/>
        <w:ind w:left="138" w:right="147" w:firstLine="419"/>
        <w:jc w:val="both"/>
      </w:pPr>
      <w:r>
        <w:rPr>
          <w:spacing w:val="-2"/>
        </w:rPr>
        <w:t>工业云是用友云在工业企业的全面应用，是面向工业企业的社会级商业平台，精智用友工业</w:t>
      </w:r>
      <w:r>
        <w:rPr>
          <w:w w:val="100"/>
        </w:rPr>
        <w:t> </w:t>
      </w:r>
      <w:r>
        <w:rPr>
          <w:spacing w:val="-1"/>
        </w:rPr>
        <w:t>互联网平台，该平台在用友云平台基础上，强化了工业物联网云平台，融合了大数据、云计算、</w:t>
      </w:r>
      <w:r>
        <w:rPr>
          <w:spacing w:val="-55"/>
        </w:rPr>
        <w:t> </w:t>
      </w:r>
      <w:r>
        <w:rPr>
          <w:spacing w:val="-55"/>
        </w:rPr>
      </w:r>
      <w:r>
        <w:rPr>
          <w:spacing w:val="-1"/>
        </w:rPr>
        <w:t>移动互联网、物联网、人工智能等现代信息网络技术，核心是为工业企业提供设计云、制造云、</w:t>
      </w:r>
      <w:r>
        <w:rPr>
          <w:spacing w:val="-55"/>
        </w:rPr>
        <w:t> </w:t>
      </w:r>
      <w:r>
        <w:rPr>
          <w:spacing w:val="-55"/>
        </w:rPr>
      </w:r>
      <w:r>
        <w:rPr>
          <w:spacing w:val="-4"/>
        </w:rPr>
        <w:t>服务云、分析云、营销云、采购云、财务云、人力云、协同云、金融云以及第三方</w:t>
      </w:r>
      <w:r>
        <w:rPr>
          <w:spacing w:val="-31"/>
        </w:rPr>
        <w:t> </w:t>
      </w:r>
      <w:r>
        <w:rPr>
          <w:rFonts w:ascii="宋体" w:hAnsi="宋体" w:cs="宋体" w:eastAsia="宋体" w:hint="default"/>
        </w:rPr>
        <w:t>SaaS</w:t>
      </w:r>
      <w:r>
        <w:rPr>
          <w:rFonts w:ascii="宋体" w:hAnsi="宋体" w:cs="宋体" w:eastAsia="宋体" w:hint="default"/>
          <w:spacing w:val="-32"/>
        </w:rPr>
        <w:t> </w:t>
      </w:r>
      <w:r>
        <w:rPr>
          <w:spacing w:val="-4"/>
        </w:rPr>
        <w:t>服务，以</w:t>
      </w:r>
      <w:r>
        <w:rPr>
          <w:spacing w:val="-95"/>
        </w:rPr>
        <w:t> </w:t>
      </w:r>
      <w:r>
        <w:rPr>
          <w:spacing w:val="-95"/>
        </w:rPr>
      </w:r>
      <w:r>
        <w:rPr>
          <w:spacing w:val="-2"/>
        </w:rPr>
        <w:t>开放的生态体系，帮助工业企业实现敏经营、轻管理、易金融、简</w:t>
      </w:r>
      <w:r>
        <w:rPr>
          <w:spacing w:val="3"/>
        </w:rPr>
        <w:t> </w:t>
      </w:r>
      <w:r>
        <w:rPr>
          <w:rFonts w:ascii="宋体" w:hAnsi="宋体" w:cs="宋体" w:eastAsia="宋体" w:hint="default"/>
          <w:spacing w:val="-1"/>
        </w:rPr>
        <w:t>IT</w:t>
      </w:r>
      <w:r>
        <w:rPr>
          <w:spacing w:val="-1"/>
        </w:rPr>
        <w:t>。</w:t>
      </w:r>
    </w:p>
    <w:p>
      <w:pPr>
        <w:pStyle w:val="BodyText"/>
        <w:spacing w:line="357" w:lineRule="auto" w:before="30"/>
        <w:ind w:left="138" w:right="147" w:firstLine="419"/>
        <w:jc w:val="both"/>
      </w:pPr>
      <w:r>
        <w:rPr>
          <w:spacing w:val="-5"/>
        </w:rPr>
        <w:t>用友建筑云服务有限公司（下称“用友建筑公司”）提供面向建筑行业的 </w:t>
      </w:r>
      <w:r>
        <w:rPr>
          <w:rFonts w:ascii="宋体" w:hAnsi="宋体" w:cs="宋体" w:eastAsia="宋体" w:hint="default"/>
        </w:rPr>
        <w:t>PaaS</w:t>
      </w:r>
      <w:r>
        <w:rPr>
          <w:rFonts w:ascii="宋体" w:hAnsi="宋体" w:cs="宋体" w:eastAsia="宋体" w:hint="default"/>
          <w:spacing w:val="-51"/>
        </w:rPr>
        <w:t> </w:t>
      </w:r>
      <w:r>
        <w:rPr/>
        <w:t>云服务以及面</w:t>
      </w:r>
      <w:r>
        <w:rPr>
          <w:w w:val="100"/>
        </w:rPr>
        <w:t> </w:t>
      </w:r>
      <w:r>
        <w:rPr/>
        <w:t>向建筑行业的</w:t>
      </w:r>
      <w:r>
        <w:rPr>
          <w:spacing w:val="-50"/>
        </w:rPr>
        <w:t> </w:t>
      </w:r>
      <w:r>
        <w:rPr>
          <w:rFonts w:ascii="宋体" w:hAnsi="宋体" w:cs="宋体" w:eastAsia="宋体" w:hint="default"/>
        </w:rPr>
        <w:t>SaaS</w:t>
      </w:r>
      <w:r>
        <w:rPr>
          <w:rFonts w:ascii="宋体" w:hAnsi="宋体" w:cs="宋体" w:eastAsia="宋体" w:hint="default"/>
          <w:spacing w:val="-48"/>
        </w:rPr>
        <w:t> </w:t>
      </w:r>
      <w:r>
        <w:rPr/>
        <w:t>云服务。用友建筑公司聚焦建筑“互联网</w:t>
      </w:r>
      <w:r>
        <w:rPr>
          <w:rFonts w:ascii="宋体" w:hAnsi="宋体" w:cs="宋体" w:eastAsia="宋体" w:hint="default"/>
        </w:rPr>
        <w:t>+</w:t>
      </w:r>
      <w:r>
        <w:rPr/>
        <w:t>”，采用“大中台”</w:t>
      </w:r>
      <w:r>
        <w:rPr>
          <w:rFonts w:ascii="宋体" w:hAnsi="宋体" w:cs="宋体" w:eastAsia="宋体" w:hint="default"/>
        </w:rPr>
        <w:t>+</w:t>
      </w:r>
      <w:r>
        <w:rPr>
          <w:rFonts w:ascii="宋体" w:hAnsi="宋体" w:cs="宋体" w:eastAsia="宋体" w:hint="default"/>
          <w:spacing w:val="-4"/>
        </w:rPr>
        <w:t> </w:t>
      </w:r>
      <w:r>
        <w:rPr/>
        <w:t>“小应用”</w:t>
      </w:r>
      <w:r>
        <w:rPr>
          <w:w w:val="100"/>
        </w:rPr>
        <w:t> </w:t>
      </w:r>
      <w:r>
        <w:rPr>
          <w:spacing w:val="-1"/>
        </w:rPr>
        <w:t>的设计理念，把建筑行业共享的业务和服务下沉到中台，进行统一运营，支撑建造业务管理、勘</w:t>
      </w:r>
      <w:r>
        <w:rPr>
          <w:spacing w:val="-56"/>
        </w:rPr>
        <w:t> </w:t>
      </w:r>
      <w:r>
        <w:rPr>
          <w:spacing w:val="-56"/>
        </w:rPr>
      </w:r>
      <w:r>
        <w:rPr>
          <w:spacing w:val="-1"/>
        </w:rPr>
        <w:t>察设计、投资等业务应用，让应用变得更简单。用友建筑公司收费模式是筑建云平台（</w:t>
      </w:r>
      <w:r>
        <w:rPr>
          <w:rFonts w:ascii="宋体" w:hAnsi="宋体" w:cs="宋体" w:eastAsia="宋体" w:hint="default"/>
          <w:spacing w:val="-1"/>
        </w:rPr>
        <w:t>iCOP</w:t>
      </w:r>
      <w:r>
        <w:rPr>
          <w:spacing w:val="-1"/>
        </w:rPr>
        <w:t>）云</w:t>
      </w:r>
      <w:r>
        <w:rPr>
          <w:spacing w:val="-54"/>
        </w:rPr>
        <w:t> </w:t>
      </w:r>
      <w:r>
        <w:rPr>
          <w:spacing w:val="-2"/>
        </w:rPr>
        <w:t>服务订阅使用、筑建云应用服务订阅使用、混合云解决方案、建筑行业内容服务以及建筑行业解</w:t>
      </w:r>
      <w:r>
        <w:rPr>
          <w:spacing w:val="-15"/>
        </w:rPr>
        <w:t> </w:t>
      </w:r>
      <w:r>
        <w:rPr>
          <w:spacing w:val="-15"/>
        </w:rPr>
      </w:r>
      <w:r>
        <w:rPr/>
        <w:t>决方案的软件许可、咨询实施、产品支持与运维服务。</w:t>
      </w:r>
    </w:p>
    <w:p>
      <w:pPr>
        <w:pStyle w:val="BodyText"/>
        <w:spacing w:line="355" w:lineRule="auto" w:before="31"/>
        <w:ind w:left="138" w:right="150" w:firstLine="419"/>
        <w:jc w:val="both"/>
      </w:pPr>
      <w:r>
        <w:rPr>
          <w:spacing w:val="-2"/>
        </w:rPr>
        <w:t>红火台餐饮云服务有限公司（下称“红火台餐饮公司”）聚焦餐饮行业，面向餐企、餐饮供</w:t>
      </w:r>
      <w:r>
        <w:rPr>
          <w:w w:val="100"/>
        </w:rPr>
        <w:t> </w:t>
      </w:r>
      <w:r>
        <w:rPr/>
        <w:t>应链企业及餐企消费者，为餐企提供基于云服务模式的</w:t>
      </w:r>
      <w:r>
        <w:rPr>
          <w:spacing w:val="-56"/>
        </w:rPr>
        <w:t> </w:t>
      </w:r>
      <w:r>
        <w:rPr>
          <w:rFonts w:ascii="宋体" w:hAnsi="宋体" w:cs="宋体" w:eastAsia="宋体" w:hint="default"/>
        </w:rPr>
        <w:t>SaaS</w:t>
      </w:r>
      <w:r>
        <w:rPr>
          <w:rFonts w:ascii="宋体" w:hAnsi="宋体" w:cs="宋体" w:eastAsia="宋体" w:hint="default"/>
          <w:spacing w:val="-57"/>
        </w:rPr>
        <w:t> </w:t>
      </w:r>
      <w:r>
        <w:rPr/>
        <w:t>及综合运营服务。</w:t>
      </w:r>
    </w:p>
    <w:p>
      <w:pPr>
        <w:pStyle w:val="BodyText"/>
        <w:spacing w:line="355" w:lineRule="auto" w:before="34"/>
        <w:ind w:left="138" w:right="147" w:firstLine="419"/>
        <w:jc w:val="both"/>
      </w:pPr>
      <w:r>
        <w:rPr>
          <w:spacing w:val="-2"/>
        </w:rPr>
        <w:t>用友能源公司推出的“能源云”，帮助能源行业企业“云化”和“互联网化”，包括帮助客</w:t>
      </w:r>
      <w:r>
        <w:rPr>
          <w:w w:val="100"/>
        </w:rPr>
        <w:t> </w:t>
      </w:r>
      <w:r>
        <w:rPr/>
        <w:t>户设计整体互联网化的方案和路径，选择基础设施，构建</w:t>
      </w:r>
      <w:r>
        <w:rPr>
          <w:spacing w:val="-52"/>
        </w:rPr>
        <w:t> </w:t>
      </w:r>
      <w:r>
        <w:rPr>
          <w:rFonts w:ascii="宋体" w:hAnsi="宋体" w:cs="宋体" w:eastAsia="宋体" w:hint="default"/>
        </w:rPr>
        <w:t>PaaS</w:t>
      </w:r>
      <w:r>
        <w:rPr>
          <w:rFonts w:ascii="宋体" w:hAnsi="宋体" w:cs="宋体" w:eastAsia="宋体" w:hint="default"/>
          <w:spacing w:val="-52"/>
        </w:rPr>
        <w:t> </w:t>
      </w:r>
      <w:r>
        <w:rPr/>
        <w:t>平台，搭建</w:t>
      </w:r>
      <w:r>
        <w:rPr>
          <w:spacing w:val="-52"/>
        </w:rPr>
        <w:t> </w:t>
      </w:r>
      <w:r>
        <w:rPr>
          <w:rFonts w:ascii="宋体" w:hAnsi="宋体" w:cs="宋体" w:eastAsia="宋体" w:hint="default"/>
        </w:rPr>
        <w:t>SaaS</w:t>
      </w:r>
      <w:r>
        <w:rPr>
          <w:rFonts w:ascii="宋体" w:hAnsi="宋体" w:cs="宋体" w:eastAsia="宋体" w:hint="default"/>
          <w:spacing w:val="-52"/>
        </w:rPr>
        <w:t> </w:t>
      </w:r>
      <w:r>
        <w:rPr/>
        <w:t>应用，用友能源</w:t>
      </w:r>
      <w:r>
        <w:rPr>
          <w:w w:val="100"/>
        </w:rPr>
        <w:t> </w:t>
      </w:r>
      <w:r>
        <w:rPr>
          <w:spacing w:val="-4"/>
        </w:rPr>
        <w:t>公司提供售电云、集控云、巡检云、智能分析云、电力数据云等多个业务领域的</w:t>
      </w:r>
      <w:r>
        <w:rPr>
          <w:spacing w:val="-24"/>
        </w:rPr>
        <w:t> </w:t>
      </w:r>
      <w:r>
        <w:rPr>
          <w:rFonts w:ascii="宋体" w:hAnsi="宋体" w:cs="宋体" w:eastAsia="宋体" w:hint="default"/>
        </w:rPr>
        <w:t>SaaS</w:t>
      </w:r>
      <w:r>
        <w:rPr>
          <w:rFonts w:ascii="宋体" w:hAnsi="宋体" w:cs="宋体" w:eastAsia="宋体" w:hint="default"/>
          <w:spacing w:val="-29"/>
        </w:rPr>
        <w:t> </w:t>
      </w:r>
      <w:r>
        <w:rPr>
          <w:spacing w:val="-5"/>
        </w:rPr>
        <w:t>服务，并为</w:t>
      </w:r>
      <w:r>
        <w:rPr>
          <w:spacing w:val="-94"/>
        </w:rPr>
        <w:t> </w:t>
      </w:r>
      <w:r>
        <w:rPr>
          <w:spacing w:val="-94"/>
        </w:rPr>
      </w:r>
      <w:r>
        <w:rPr/>
        <w:t>能源行业客户提供</w:t>
      </w:r>
      <w:r>
        <w:rPr>
          <w:spacing w:val="-54"/>
        </w:rPr>
        <w:t> </w:t>
      </w:r>
      <w:r>
        <w:rPr>
          <w:rFonts w:ascii="宋体" w:hAnsi="宋体" w:cs="宋体" w:eastAsia="宋体" w:hint="default"/>
        </w:rPr>
        <w:t>ERP</w:t>
      </w:r>
      <w:r>
        <w:rPr>
          <w:rFonts w:ascii="宋体" w:hAnsi="宋体" w:cs="宋体" w:eastAsia="宋体" w:hint="default"/>
          <w:spacing w:val="-53"/>
        </w:rPr>
        <w:t> </w:t>
      </w:r>
      <w:r>
        <w:rPr/>
        <w:t>和云的整合解决方案。</w:t>
      </w:r>
    </w:p>
    <w:p>
      <w:pPr>
        <w:pStyle w:val="BodyText"/>
        <w:spacing w:line="355" w:lineRule="auto" w:before="34"/>
        <w:ind w:left="138" w:right="2049" w:firstLine="419"/>
        <w:jc w:val="left"/>
        <w:rPr>
          <w:rFonts w:ascii="宋体" w:hAnsi="宋体" w:cs="宋体" w:eastAsia="宋体" w:hint="default"/>
        </w:rPr>
      </w:pPr>
      <w:r>
        <w:rPr>
          <w:spacing w:val="-2"/>
        </w:rPr>
        <w:t>其它行业云还包括金融云、医疗云、财政云、教育云、汽车云等。</w:t>
      </w:r>
      <w:r>
        <w:rPr>
          <w:w w:val="100"/>
        </w:rPr>
        <w:t> </w:t>
      </w:r>
      <w:r>
        <w:rPr>
          <w:rFonts w:ascii="宋体" w:hAnsi="宋体" w:cs="宋体" w:eastAsia="宋体" w:hint="default"/>
          <w:b/>
          <w:bCs/>
        </w:rPr>
        <w:t>5</w:t>
      </w:r>
      <w:r>
        <w:rPr>
          <w:rFonts w:ascii="宋体" w:hAnsi="宋体" w:cs="宋体" w:eastAsia="宋体" w:hint="default"/>
          <w:b/>
          <w:bCs/>
        </w:rPr>
        <w:t>、畅捷通云</w:t>
      </w:r>
      <w:r>
        <w:rPr>
          <w:rFonts w:ascii="宋体" w:hAnsi="宋体" w:cs="宋体" w:eastAsia="宋体" w:hint="default"/>
        </w:rPr>
      </w:r>
    </w:p>
    <w:p>
      <w:pPr>
        <w:spacing w:after="0" w:line="355" w:lineRule="auto"/>
        <w:jc w:val="left"/>
        <w:rPr>
          <w:rFonts w:ascii="宋体" w:hAnsi="宋体" w:cs="宋体" w:eastAsia="宋体" w:hint="default"/>
        </w:rPr>
        <w:sectPr>
          <w:footerReference w:type="default" r:id="rId22"/>
          <w:pgSz w:w="11910" w:h="16840"/>
          <w:pgMar w:footer="1195" w:header="855" w:top="1320" w:bottom="1380" w:left="1660" w:right="1120"/>
        </w:sectPr>
      </w:pPr>
    </w:p>
    <w:p>
      <w:pPr>
        <w:spacing w:line="240" w:lineRule="auto" w:before="4"/>
        <w:rPr>
          <w:rFonts w:ascii="宋体" w:hAnsi="宋体" w:cs="宋体" w:eastAsia="宋体" w:hint="default"/>
          <w:b/>
          <w:bCs/>
          <w:sz w:val="9"/>
          <w:szCs w:val="9"/>
        </w:rPr>
      </w:pPr>
    </w:p>
    <w:p>
      <w:pPr>
        <w:pStyle w:val="BodyText"/>
        <w:spacing w:line="357" w:lineRule="auto" w:before="36"/>
        <w:ind w:left="138" w:right="208" w:firstLine="419"/>
        <w:jc w:val="both"/>
      </w:pPr>
      <w:r>
        <w:rPr>
          <w:spacing w:val="-2"/>
        </w:rPr>
        <w:t>畅捷通全面打通小微企业的人、财、货、客管理，整合协同办公、财务管理、进销存管理、</w:t>
      </w:r>
      <w:r>
        <w:rPr>
          <w:w w:val="100"/>
        </w:rPr>
        <w:t> </w:t>
      </w:r>
      <w:r>
        <w:rPr>
          <w:spacing w:val="-1"/>
        </w:rPr>
        <w:t>客户收支管理等应用，覆盖企业从找客户、跑客户到服务客户的生意全过程，为小微企业提供社</w:t>
      </w:r>
      <w:r>
        <w:rPr>
          <w:spacing w:val="-55"/>
        </w:rPr>
        <w:t> </w:t>
      </w:r>
      <w:r>
        <w:rPr>
          <w:spacing w:val="-55"/>
        </w:rPr>
      </w:r>
      <w:r>
        <w:rPr>
          <w:spacing w:val="-1"/>
        </w:rPr>
        <w:t>交化、个性化、服务化、小量化的生意管理支持，为中国小微企业提供以财务服务为核心的平台</w:t>
      </w:r>
      <w:r>
        <w:rPr>
          <w:spacing w:val="-55"/>
        </w:rPr>
        <w:t> </w:t>
      </w:r>
      <w:r>
        <w:rPr>
          <w:spacing w:val="-55"/>
        </w:rPr>
      </w:r>
      <w:r>
        <w:rPr>
          <w:spacing w:val="-1"/>
        </w:rPr>
        <w:t>服务、应用服务、数据服务、金融服务，主要云服务产品包括好会计、好生意、工作圈、易代账</w:t>
      </w:r>
      <w:r>
        <w:rPr>
          <w:spacing w:val="-55"/>
        </w:rPr>
        <w:t> </w:t>
      </w:r>
      <w:r>
        <w:rPr>
          <w:spacing w:val="-55"/>
        </w:rPr>
      </w:r>
      <w:r>
        <w:rPr/>
        <w:t>等产品。</w:t>
      </w:r>
    </w:p>
    <w:p>
      <w:pPr>
        <w:pStyle w:val="BodyText"/>
        <w:spacing w:line="357" w:lineRule="auto" w:before="30"/>
        <w:ind w:left="138" w:right="102" w:firstLine="419"/>
        <w:jc w:val="left"/>
      </w:pPr>
      <w:r>
        <w:rPr/>
        <w:t>畅捷通好会计作为专业、智能、便捷、安全的互联网财务应用服务，实现了</w:t>
      </w:r>
      <w:r>
        <w:rPr>
          <w:spacing w:val="-50"/>
        </w:rPr>
        <w:t> </w:t>
      </w:r>
      <w:r>
        <w:rPr>
          <w:rFonts w:ascii="宋体" w:hAnsi="宋体" w:cs="宋体" w:eastAsia="宋体" w:hint="default"/>
        </w:rPr>
        <w:t>PC</w:t>
      </w:r>
      <w:r>
        <w:rPr>
          <w:rFonts w:ascii="宋体" w:hAnsi="宋体" w:cs="宋体" w:eastAsia="宋体" w:hint="default"/>
          <w:spacing w:val="-48"/>
        </w:rPr>
        <w:t> </w:t>
      </w:r>
      <w:r>
        <w:rPr/>
        <w:t>端、移动端、</w:t>
      </w:r>
      <w:r>
        <w:rPr>
          <w:w w:val="100"/>
        </w:rPr>
        <w:t> </w:t>
      </w:r>
      <w:r>
        <w:rPr/>
        <w:t>微信端三端同步，以及语音记账、短信记账、微信分享等功能；在业内率先实现“票</w:t>
      </w:r>
      <w:r>
        <w:rPr>
          <w:rFonts w:ascii="宋体" w:hAnsi="宋体" w:cs="宋体" w:eastAsia="宋体" w:hint="default"/>
        </w:rPr>
        <w:t>-</w:t>
      </w:r>
      <w:r>
        <w:rPr/>
        <w:t>财</w:t>
      </w:r>
      <w:r>
        <w:rPr>
          <w:rFonts w:ascii="宋体" w:hAnsi="宋体" w:cs="宋体" w:eastAsia="宋体" w:hint="default"/>
        </w:rPr>
        <w:t>-</w:t>
      </w:r>
      <w:r>
        <w:rPr/>
        <w:t>税”的</w:t>
      </w:r>
      <w:r>
        <w:rPr>
          <w:spacing w:val="-96"/>
        </w:rPr>
        <w:t> </w:t>
      </w:r>
      <w:r>
        <w:rPr>
          <w:spacing w:val="-96"/>
        </w:rPr>
      </w:r>
      <w:r>
        <w:rPr/>
        <w:t>数据打通，实现发票的一键取票导入，发票税负测算及部分城市的一键报税；畅捷通好生意是向</w:t>
      </w:r>
      <w:r>
        <w:rPr>
          <w:spacing w:val="-97"/>
        </w:rPr>
        <w:t> </w:t>
      </w:r>
      <w:r>
        <w:rPr>
          <w:spacing w:val="-97"/>
        </w:rPr>
      </w:r>
      <w:r>
        <w:rPr/>
        <w:t>小微企业提供的进销存应用服务，针对小微企业用互联网方式管理生意的趋势，解决企业采购、</w:t>
      </w:r>
      <w:r>
        <w:rPr>
          <w:spacing w:val="-97"/>
        </w:rPr>
        <w:t> </w:t>
      </w:r>
      <w:r>
        <w:rPr>
          <w:spacing w:val="-97"/>
        </w:rPr>
      </w:r>
      <w:r>
        <w:rPr/>
        <w:t>销售、库存的管理问题；畅捷通易代账企业版上线了一键报税、员工绩效管理、经营分析、票据</w:t>
      </w:r>
      <w:r>
        <w:rPr>
          <w:spacing w:val="-97"/>
        </w:rPr>
        <w:t> </w:t>
      </w:r>
      <w:r>
        <w:rPr>
          <w:spacing w:val="-97"/>
        </w:rPr>
      </w:r>
      <w:r>
        <w:rPr/>
        <w:t>管理、合同管理等新功能，优化了代账公司运营流程，大幅提高其工作效率。</w:t>
      </w:r>
    </w:p>
    <w:p>
      <w:pPr>
        <w:pStyle w:val="Heading3"/>
        <w:spacing w:line="240" w:lineRule="auto" w:before="30"/>
        <w:ind w:left="138" w:right="102"/>
        <w:jc w:val="left"/>
        <w:rPr>
          <w:b w:val="0"/>
          <w:bCs w:val="0"/>
        </w:rPr>
      </w:pPr>
      <w:r>
        <w:rPr>
          <w:rFonts w:ascii="宋体" w:hAnsi="宋体" w:cs="宋体" w:eastAsia="宋体" w:hint="default"/>
        </w:rPr>
        <w:t>6</w:t>
      </w:r>
      <w:r>
        <w:rPr/>
        <w:t>、云市场</w:t>
      </w:r>
      <w:r>
        <w:rPr>
          <w:b w:val="0"/>
          <w:bCs w:val="0"/>
        </w:rPr>
      </w:r>
    </w:p>
    <w:p>
      <w:pPr>
        <w:pStyle w:val="BodyText"/>
        <w:spacing w:line="355" w:lineRule="auto" w:before="133"/>
        <w:ind w:left="138" w:right="207" w:firstLine="419"/>
        <w:jc w:val="both"/>
      </w:pPr>
      <w:r>
        <w:rPr>
          <w:spacing w:val="-2"/>
        </w:rPr>
        <w:t>用友云市场是专业的企业云服务市场，致力于满足企业客户一站式购买企业服务和一体化应</w:t>
      </w:r>
      <w:r>
        <w:rPr>
          <w:w w:val="100"/>
        </w:rPr>
        <w:t> </w:t>
      </w:r>
      <w:r>
        <w:rPr>
          <w:spacing w:val="-4"/>
        </w:rPr>
        <w:t>用需求。用友云市场设有云平台服务、企业应用服务、行业云、云解决方案等共</w:t>
      </w:r>
      <w:r>
        <w:rPr>
          <w:spacing w:val="-24"/>
        </w:rPr>
        <w:t> </w:t>
      </w:r>
      <w:r>
        <w:rPr>
          <w:rFonts w:ascii="宋体" w:hAnsi="宋体" w:cs="宋体" w:eastAsia="宋体" w:hint="default"/>
        </w:rPr>
        <w:t>11</w:t>
      </w:r>
      <w:r>
        <w:rPr>
          <w:rFonts w:ascii="宋体" w:hAnsi="宋体" w:cs="宋体" w:eastAsia="宋体" w:hint="default"/>
          <w:spacing w:val="-25"/>
        </w:rPr>
        <w:t> </w:t>
      </w:r>
      <w:r>
        <w:rPr>
          <w:spacing w:val="-5"/>
        </w:rPr>
        <w:t>大分类。用友</w:t>
      </w:r>
      <w:r>
        <w:rPr>
          <w:spacing w:val="-94"/>
        </w:rPr>
        <w:t> </w:t>
      </w:r>
      <w:r>
        <w:rPr>
          <w:spacing w:val="-94"/>
        </w:rPr>
      </w:r>
      <w:r>
        <w:rPr/>
        <w:t>云市场通过融合创新，与生态伙伴共同赋能中国企业。</w:t>
      </w:r>
    </w:p>
    <w:p>
      <w:pPr>
        <w:spacing w:line="357" w:lineRule="auto" w:before="34"/>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（五）金融服务业务概要</w:t>
      </w:r>
      <w:r>
        <w:rPr>
          <w:rFonts w:ascii="宋体" w:hAnsi="宋体" w:cs="宋体" w:eastAsia="宋体" w:hint="default"/>
          <w:b/>
          <w:bCs/>
          <w:w w:val="100"/>
          <w:sz w:val="21"/>
          <w:szCs w:val="21"/>
        </w:rPr>
        <w:t> </w:t>
      </w:r>
      <w:r>
        <w:rPr>
          <w:rFonts w:ascii="宋体" w:hAnsi="宋体" w:cs="宋体" w:eastAsia="宋体" w:hint="default"/>
          <w:spacing w:val="-2"/>
          <w:sz w:val="21"/>
          <w:szCs w:val="21"/>
        </w:rPr>
        <w:t>金融服务业务主要包括面向企业的支付服务业务和互联网投融资信息服务业务。</w:t>
      </w:r>
    </w:p>
    <w:p>
      <w:pPr>
        <w:spacing w:line="355" w:lineRule="auto" w:before="30"/>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、企业支付服务业务</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公司控股子公司北京畅捷通支付技术有限公司（下称“畅捷支付公司”）面向企业级市场，</w:t>
      </w:r>
    </w:p>
    <w:p>
      <w:pPr>
        <w:pStyle w:val="BodyText"/>
        <w:spacing w:line="357" w:lineRule="auto" w:before="32"/>
        <w:ind w:left="138" w:right="204"/>
        <w:jc w:val="left"/>
        <w:rPr>
          <w:rFonts w:ascii="宋体" w:hAnsi="宋体" w:cs="宋体" w:eastAsia="宋体" w:hint="default"/>
        </w:rPr>
      </w:pPr>
      <w:r>
        <w:rPr/>
        <w:t>致力创新金融服务并将其融入到企业业务场景中，</w:t>
      </w:r>
      <w:r>
        <w:rPr>
          <w:spacing w:val="-27"/>
        </w:rPr>
        <w:t> </w:t>
      </w:r>
      <w:r>
        <w:rPr>
          <w:spacing w:val="-4"/>
        </w:rPr>
        <w:t>为企业及公共组织客户提供方便、快捷与低成</w:t>
      </w:r>
      <w:r>
        <w:rPr>
          <w:spacing w:val="-98"/>
        </w:rPr>
        <w:t> </w:t>
      </w:r>
      <w:r>
        <w:rPr>
          <w:spacing w:val="-98"/>
        </w:rPr>
      </w:r>
      <w:r>
        <w:rPr>
          <w:spacing w:val="-6"/>
          <w:w w:val="100"/>
        </w:rPr>
        <w:t>本的金融服务。畅捷支付作为企业级市场领先的综合型互联网支付服务平台，提供包括聚合支付、</w:t>
      </w:r>
      <w:r>
        <w:rPr>
          <w:spacing w:val="-104"/>
          <w:w w:val="100"/>
        </w:rPr>
        <w:t> </w:t>
      </w:r>
      <w:r>
        <w:rPr>
          <w:spacing w:val="-104"/>
          <w:w w:val="100"/>
        </w:rPr>
      </w:r>
      <w:r>
        <w:rPr>
          <w:rFonts w:ascii="宋体" w:hAnsi="宋体" w:cs="宋体" w:eastAsia="宋体" w:hint="default"/>
        </w:rPr>
        <w:t>POS</w:t>
      </w:r>
      <w:r>
        <w:rPr>
          <w:rFonts w:ascii="宋体" w:hAnsi="宋体" w:cs="宋体" w:eastAsia="宋体" w:hint="default"/>
          <w:spacing w:val="-54"/>
        </w:rPr>
        <w:t> </w:t>
      </w:r>
      <w:r>
        <w:rPr/>
        <w:t>收单、网银支付、快捷支付、扫码支付、代收</w:t>
      </w:r>
      <w:r>
        <w:rPr>
          <w:rFonts w:ascii="宋体" w:hAnsi="宋体" w:cs="宋体" w:eastAsia="宋体" w:hint="default"/>
        </w:rPr>
        <w:t>/</w:t>
      </w:r>
      <w:r>
        <w:rPr/>
        <w:t>代付、鉴权等多种服务。</w:t>
      </w:r>
      <w:r>
        <w:rPr>
          <w:w w:val="100"/>
        </w:rPr>
        <w:t> </w:t>
      </w:r>
      <w:r>
        <w:rPr>
          <w:rFonts w:ascii="宋体" w:hAnsi="宋体" w:cs="宋体" w:eastAsia="宋体" w:hint="default"/>
          <w:b/>
          <w:bCs/>
        </w:rPr>
        <w:t>2</w:t>
      </w:r>
      <w:r>
        <w:rPr>
          <w:rFonts w:ascii="宋体" w:hAnsi="宋体" w:cs="宋体" w:eastAsia="宋体" w:hint="default"/>
          <w:b/>
          <w:bCs/>
        </w:rPr>
        <w:t>、互联网投融资信息服务业务</w:t>
      </w:r>
      <w:r>
        <w:rPr>
          <w:rFonts w:ascii="宋体" w:hAnsi="宋体" w:cs="宋体" w:eastAsia="宋体" w:hint="default"/>
        </w:rPr>
      </w:r>
    </w:p>
    <w:p>
      <w:pPr>
        <w:pStyle w:val="BodyText"/>
        <w:spacing w:line="357" w:lineRule="auto" w:before="30"/>
        <w:ind w:left="138" w:right="208" w:firstLine="419"/>
        <w:jc w:val="both"/>
      </w:pPr>
      <w:r>
        <w:rPr>
          <w:spacing w:val="-2"/>
        </w:rPr>
        <w:t>公司控股子公司深圳前海用友力合金融服务有限公司（下称“友金所”）践行普惠金融，致</w:t>
      </w:r>
      <w:r>
        <w:rPr>
          <w:w w:val="100"/>
        </w:rPr>
        <w:t> </w:t>
      </w:r>
      <w:r>
        <w:rPr>
          <w:spacing w:val="-1"/>
        </w:rPr>
        <w:t>力于提供专业的全流程金融信息服务，借助股东客户渠道、技术支持、管理经验等，依托专业银</w:t>
      </w:r>
      <w:r>
        <w:rPr>
          <w:spacing w:val="-55"/>
        </w:rPr>
        <w:t> </w:t>
      </w:r>
      <w:r>
        <w:rPr>
          <w:spacing w:val="-55"/>
        </w:rPr>
      </w:r>
      <w:r>
        <w:rPr/>
        <w:t>行专家管理团队，打造先进平台，为客户提供安全、便捷、稳健的互联网投融资信息服务。</w:t>
      </w:r>
    </w:p>
    <w:p>
      <w:pPr>
        <w:spacing w:line="240" w:lineRule="auto" w:before="8"/>
        <w:rPr>
          <w:rFonts w:ascii="宋体" w:hAnsi="宋体" w:cs="宋体" w:eastAsia="宋体" w:hint="default"/>
          <w:sz w:val="27"/>
          <w:szCs w:val="27"/>
        </w:rPr>
      </w:pPr>
    </w:p>
    <w:p>
      <w:pPr>
        <w:pStyle w:val="Heading3"/>
        <w:spacing w:line="240" w:lineRule="auto"/>
        <w:ind w:left="138" w:right="102"/>
        <w:jc w:val="left"/>
        <w:rPr>
          <w:b w:val="0"/>
          <w:bCs w:val="0"/>
        </w:rPr>
      </w:pPr>
      <w:r>
        <w:rPr/>
        <w:t>二、报告期内公司主要资产发生重大变化情况的说明</w:t>
      </w:r>
      <w:r>
        <w:rPr>
          <w:b w:val="0"/>
          <w:bCs w:val="0"/>
        </w:rPr>
      </w:r>
    </w:p>
    <w:p>
      <w:pPr>
        <w:pStyle w:val="BodyText"/>
        <w:spacing w:line="240" w:lineRule="auto" w:before="58"/>
        <w:ind w:left="138" w:right="102"/>
        <w:jc w:val="left"/>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left="138" w:right="102"/>
        <w:jc w:val="left"/>
        <w:rPr>
          <w:b w:val="0"/>
          <w:bCs w:val="0"/>
        </w:rPr>
      </w:pPr>
      <w:r>
        <w:rPr/>
        <w:t>三、报告期内核心竞争力分析</w:t>
      </w:r>
      <w:r>
        <w:rPr>
          <w:b w:val="0"/>
          <w:bCs w:val="0"/>
        </w:rPr>
      </w:r>
    </w:p>
    <w:p>
      <w:pPr>
        <w:pStyle w:val="BodyText"/>
        <w:spacing w:line="240" w:lineRule="auto" w:before="56"/>
        <w:ind w:left="558" w:right="3444" w:hanging="420"/>
        <w:jc w:val="left"/>
      </w:pPr>
      <w:r>
        <w:rPr/>
        <w:t>√适用</w:t>
      </w:r>
      <w:r>
        <w:rPr>
          <w:spacing w:val="-2"/>
        </w:rPr>
        <w:t> </w:t>
      </w:r>
      <w:r>
        <w:rPr/>
        <w:t>□不适用</w:t>
      </w:r>
      <w:r>
        <w:rPr>
          <w:w w:val="100"/>
        </w:rPr>
        <w:t> </w:t>
      </w:r>
      <w:r>
        <w:rPr>
          <w:spacing w:val="-2"/>
        </w:rPr>
        <w:t>报告期内，公司核心竞争力主要体现在下述几个方面。</w:t>
      </w:r>
    </w:p>
    <w:p>
      <w:pPr>
        <w:pStyle w:val="Heading3"/>
        <w:spacing w:line="240" w:lineRule="auto" w:before="133"/>
        <w:ind w:left="138" w:right="102"/>
        <w:jc w:val="left"/>
        <w:rPr>
          <w:b w:val="0"/>
          <w:bCs w:val="0"/>
        </w:rPr>
      </w:pPr>
      <w:r>
        <w:rPr/>
        <w:t>（一）</w:t>
      </w:r>
      <w:r>
        <w:rPr>
          <w:spacing w:val="1"/>
        </w:rPr>
        <w:t> </w:t>
      </w:r>
      <w:r>
        <w:rPr/>
        <w:t>产品优势</w:t>
      </w:r>
      <w:r>
        <w:rPr>
          <w:b w:val="0"/>
          <w:bCs w:val="0"/>
        </w:rPr>
      </w:r>
    </w:p>
    <w:p>
      <w:pPr>
        <w:spacing w:after="0" w:line="240" w:lineRule="auto"/>
        <w:jc w:val="left"/>
        <w:sectPr>
          <w:footerReference w:type="default" r:id="rId24"/>
          <w:pgSz w:w="11910" w:h="16840"/>
          <w:pgMar w:footer="1195" w:header="855" w:top="1320" w:bottom="1380" w:left="1660" w:right="1060"/>
          <w:pgNumType w:start="21"/>
        </w:sectPr>
      </w:pPr>
    </w:p>
    <w:p>
      <w:pPr>
        <w:spacing w:line="240" w:lineRule="auto" w:before="4"/>
        <w:rPr>
          <w:rFonts w:ascii="宋体" w:hAnsi="宋体" w:cs="宋体" w:eastAsia="宋体" w:hint="default"/>
          <w:b/>
          <w:bCs/>
          <w:sz w:val="9"/>
          <w:szCs w:val="9"/>
        </w:rPr>
      </w:pPr>
    </w:p>
    <w:p>
      <w:pPr>
        <w:pStyle w:val="BodyText"/>
        <w:spacing w:line="357" w:lineRule="auto" w:before="36"/>
        <w:ind w:left="138" w:right="208" w:firstLine="419"/>
        <w:jc w:val="right"/>
      </w:pPr>
      <w:r>
        <w:rPr>
          <w:spacing w:val="-7"/>
        </w:rPr>
        <w:t>公司基于移动互联网、云计算、大数据、人工智能、物联网、区块链的新一代企业计算技术，</w:t>
      </w:r>
      <w:r>
        <w:rPr>
          <w:w w:val="100"/>
        </w:rPr>
        <w:t> </w:t>
      </w:r>
      <w:r>
        <w:rPr>
          <w:spacing w:val="-1"/>
        </w:rPr>
        <w:t>形成了以“云服务、软件、金融”为三大核心业务的企业互联网服务，业务领域从之前的企业管</w:t>
      </w:r>
      <w:r>
        <w:rPr>
          <w:spacing w:val="-70"/>
        </w:rPr>
        <w:t> </w:t>
      </w:r>
      <w:r>
        <w:rPr>
          <w:spacing w:val="-70"/>
        </w:rPr>
      </w:r>
      <w:r>
        <w:rPr>
          <w:spacing w:val="-7"/>
          <w:w w:val="100"/>
        </w:rPr>
        <w:t>理扩展到业务运营和企业金融，服务层级从企业级走向社会级，公司已经全面进入</w:t>
      </w:r>
      <w:r>
        <w:rPr>
          <w:spacing w:val="-51"/>
          <w:w w:val="100"/>
        </w:rPr>
        <w:t> </w:t>
      </w:r>
      <w:r>
        <w:rPr>
          <w:rFonts w:ascii="宋体" w:hAnsi="宋体" w:cs="宋体" w:eastAsia="宋体" w:hint="default"/>
          <w:w w:val="100"/>
        </w:rPr>
        <w:t>3.0</w:t>
      </w:r>
      <w:r>
        <w:rPr>
          <w:rFonts w:ascii="宋体" w:hAnsi="宋体" w:cs="宋体" w:eastAsia="宋体" w:hint="default"/>
          <w:spacing w:val="-54"/>
          <w:w w:val="100"/>
        </w:rPr>
        <w:t> </w:t>
      </w:r>
      <w:r>
        <w:rPr>
          <w:spacing w:val="-2"/>
          <w:w w:val="100"/>
        </w:rPr>
        <w:t>发展时期。</w:t>
      </w:r>
      <w:r>
        <w:rPr>
          <w:w w:val="100"/>
        </w:rPr>
        <w:t> </w:t>
      </w:r>
      <w:r>
        <w:rPr/>
        <w:t>用友云包含 </w:t>
      </w:r>
      <w:r>
        <w:rPr>
          <w:rFonts w:ascii="宋体" w:hAnsi="宋体" w:cs="宋体" w:eastAsia="宋体" w:hint="default"/>
          <w:spacing w:val="-5"/>
        </w:rPr>
        <w:t>PaaS</w:t>
      </w:r>
      <w:r>
        <w:rPr>
          <w:spacing w:val="-5"/>
        </w:rPr>
        <w:t>、</w:t>
      </w:r>
      <w:r>
        <w:rPr>
          <w:rFonts w:ascii="宋体" w:hAnsi="宋体" w:cs="宋体" w:eastAsia="宋体" w:hint="default"/>
          <w:spacing w:val="-5"/>
        </w:rPr>
        <w:t>SaaS</w:t>
      </w:r>
      <w:r>
        <w:rPr>
          <w:rFonts w:ascii="宋体" w:hAnsi="宋体" w:cs="宋体" w:eastAsia="宋体" w:hint="default"/>
          <w:spacing w:val="-44"/>
        </w:rPr>
        <w:t> </w:t>
      </w:r>
      <w:r>
        <w:rPr>
          <w:spacing w:val="-4"/>
        </w:rPr>
        <w:t>等多类云服务业务，提供面向数字化商业的社会级企业服务，为企业</w:t>
      </w:r>
      <w:r>
        <w:rPr>
          <w:w w:val="100"/>
        </w:rPr>
        <w:t> </w:t>
      </w:r>
      <w:r>
        <w:rPr>
          <w:spacing w:val="-1"/>
        </w:rPr>
        <w:t>业务创新、管理变革、金融嵌入提供生态化服务平台。在云开发与运维、移动应用、大数据与智</w:t>
      </w:r>
      <w:r>
        <w:rPr>
          <w:spacing w:val="-70"/>
        </w:rPr>
        <w:t> </w:t>
      </w:r>
      <w:r>
        <w:rPr>
          <w:spacing w:val="-70"/>
        </w:rPr>
      </w:r>
      <w:r>
        <w:rPr>
          <w:spacing w:val="-1"/>
        </w:rPr>
        <w:t>能化、云集成等技术领域已申请多项国家发明专利，取得多项软件著作权。报告期内，用友云荣</w:t>
      </w:r>
      <w:r>
        <w:rPr>
          <w:spacing w:val="-72"/>
        </w:rPr>
        <w:t> </w:t>
      </w:r>
      <w:r>
        <w:rPr>
          <w:spacing w:val="-72"/>
        </w:rPr>
      </w:r>
      <w:r>
        <w:rPr/>
        <w:t>获 </w:t>
      </w:r>
      <w:r>
        <w:rPr>
          <w:rFonts w:ascii="宋体" w:hAnsi="宋体" w:cs="宋体" w:eastAsia="宋体" w:hint="default"/>
        </w:rPr>
        <w:t>2017</w:t>
      </w:r>
      <w:r>
        <w:rPr>
          <w:rFonts w:ascii="宋体" w:hAnsi="宋体" w:cs="宋体" w:eastAsia="宋体" w:hint="default"/>
          <w:spacing w:val="-54"/>
        </w:rPr>
        <w:t> </w:t>
      </w:r>
      <w:r>
        <w:rPr>
          <w:spacing w:val="-4"/>
        </w:rPr>
        <w:t>年中国国际软件博览会金奖，用友的产品技术达到中国领先水平，用友云作为社会化商业</w:t>
      </w:r>
    </w:p>
    <w:p>
      <w:pPr>
        <w:pStyle w:val="BodyText"/>
        <w:spacing w:line="240" w:lineRule="auto" w:before="30"/>
        <w:ind w:left="138" w:right="0"/>
        <w:jc w:val="both"/>
      </w:pPr>
      <w:r>
        <w:rPr/>
        <w:t>应用基础设施和企业服务产业的共享平台，也获得业界充分认可。</w:t>
      </w:r>
    </w:p>
    <w:p>
      <w:pPr>
        <w:pStyle w:val="BodyText"/>
        <w:spacing w:line="357" w:lineRule="auto" w:before="133"/>
        <w:ind w:left="138" w:right="97" w:firstLine="419"/>
        <w:jc w:val="left"/>
      </w:pPr>
      <w:r>
        <w:rPr/>
        <w:t>近</w:t>
      </w:r>
      <w:r>
        <w:rPr>
          <w:spacing w:val="-49"/>
        </w:rPr>
        <w:t> </w:t>
      </w:r>
      <w:r>
        <w:rPr>
          <w:rFonts w:ascii="宋体" w:hAnsi="宋体" w:cs="宋体" w:eastAsia="宋体" w:hint="default"/>
        </w:rPr>
        <w:t>30</w:t>
      </w:r>
      <w:r>
        <w:rPr>
          <w:rFonts w:ascii="宋体" w:hAnsi="宋体" w:cs="宋体" w:eastAsia="宋体" w:hint="default"/>
          <w:spacing w:val="-49"/>
        </w:rPr>
        <w:t> </w:t>
      </w:r>
      <w:r>
        <w:rPr/>
        <w:t>年来，公司持续专注在企业和公共组织信息化领域的创新和发展，在客户与伙伴基础、</w:t>
      </w:r>
      <w:r>
        <w:rPr>
          <w:w w:val="100"/>
        </w:rPr>
        <w:t> </w:t>
      </w:r>
      <w:r>
        <w:rPr>
          <w:spacing w:val="-6"/>
          <w:w w:val="100"/>
        </w:rPr>
        <w:t>专业团队和领域经验等方面有着深厚的积淀。基于更加理解中国企业的优势，公司通过技术换代、</w:t>
      </w:r>
      <w:r>
        <w:rPr>
          <w:spacing w:val="-104"/>
          <w:w w:val="100"/>
        </w:rPr>
        <w:t> </w:t>
      </w:r>
      <w:r>
        <w:rPr>
          <w:spacing w:val="-104"/>
          <w:w w:val="100"/>
        </w:rPr>
      </w:r>
      <w:r>
        <w:rPr/>
        <w:t>产品创新和模式转型已经构建了全新的企业互联网服务产品体系。公司积极推进公司内部各云服</w:t>
      </w:r>
      <w:r>
        <w:rPr>
          <w:spacing w:val="-97"/>
        </w:rPr>
        <w:t> </w:t>
      </w:r>
      <w:r>
        <w:rPr>
          <w:spacing w:val="-97"/>
        </w:rPr>
      </w:r>
      <w:r>
        <w:rPr/>
        <w:t>务平台和产品之间、云服务与软件及金融服务之间的融合，以及公共服务平台的共享。同时，公</w:t>
      </w:r>
      <w:r>
        <w:rPr>
          <w:spacing w:val="-98"/>
        </w:rPr>
        <w:t> </w:t>
      </w:r>
      <w:r>
        <w:rPr>
          <w:spacing w:val="-98"/>
        </w:rPr>
      </w:r>
      <w:r>
        <w:rPr/>
        <w:t>司秉承互联网时代开放创新的精神，构筑企业互联网服务生态圈，致力于成为全球领先的企业与</w:t>
      </w:r>
      <w:r>
        <w:rPr>
          <w:spacing w:val="-97"/>
        </w:rPr>
        <w:t> </w:t>
      </w:r>
      <w:r>
        <w:rPr>
          <w:spacing w:val="-97"/>
        </w:rPr>
      </w:r>
      <w:r>
        <w:rPr/>
        <w:t>公共组织云服务、软件、金融服务提供商。</w:t>
      </w:r>
    </w:p>
    <w:p>
      <w:pPr>
        <w:pStyle w:val="BodyText"/>
        <w:spacing w:line="357" w:lineRule="auto" w:before="30"/>
        <w:ind w:left="138" w:right="102" w:firstLine="419"/>
        <w:jc w:val="left"/>
      </w:pPr>
      <w:r>
        <w:rPr>
          <w:spacing w:val="-2"/>
        </w:rPr>
        <w:t>另外，公司在财政、汽车、教育、金融、建筑、餐饮、能源等行业的云服务、产品与解决方</w:t>
      </w:r>
      <w:r>
        <w:rPr>
          <w:w w:val="100"/>
        </w:rPr>
        <w:t> </w:t>
      </w:r>
      <w:r>
        <w:rPr/>
        <w:t>案居国内领先水平。</w:t>
      </w:r>
    </w:p>
    <w:p>
      <w:pPr>
        <w:pStyle w:val="BodyText"/>
        <w:spacing w:line="355" w:lineRule="auto" w:before="30"/>
        <w:ind w:left="558" w:right="102" w:hanging="420"/>
        <w:jc w:val="left"/>
      </w:pPr>
      <w:r>
        <w:rPr>
          <w:rFonts w:ascii="宋体" w:hAnsi="宋体" w:cs="宋体" w:eastAsia="宋体" w:hint="default"/>
          <w:b/>
          <w:bCs/>
        </w:rPr>
        <w:t>（二） 研发优势</w:t>
      </w:r>
      <w:r>
        <w:rPr>
          <w:rFonts w:ascii="宋体" w:hAnsi="宋体" w:cs="宋体" w:eastAsia="宋体" w:hint="default"/>
          <w:b/>
          <w:bCs/>
          <w:spacing w:val="-105"/>
        </w:rPr>
        <w:t> </w:t>
      </w:r>
      <w:r>
        <w:rPr>
          <w:rFonts w:ascii="宋体" w:hAnsi="宋体" w:cs="宋体" w:eastAsia="宋体" w:hint="default"/>
          <w:b/>
          <w:bCs/>
          <w:spacing w:val="-105"/>
        </w:rPr>
      </w:r>
      <w:r>
        <w:rPr>
          <w:spacing w:val="-2"/>
        </w:rPr>
        <w:t>公司拥有包括总部平台和应用研发中心等在内的中国最大的企业及公共组织应用软件和云服</w:t>
      </w:r>
    </w:p>
    <w:p>
      <w:pPr>
        <w:pStyle w:val="BodyText"/>
        <w:spacing w:line="357" w:lineRule="auto" w:before="32"/>
        <w:ind w:left="138" w:right="208"/>
        <w:jc w:val="both"/>
      </w:pPr>
      <w:r>
        <w:rPr>
          <w:spacing w:val="-1"/>
        </w:rPr>
        <w:t>务研发体系，拥有庞大的研发队伍和行业领先的研发管理体系与平台。公司的研发与支持服务团</w:t>
      </w:r>
      <w:r>
        <w:rPr>
          <w:spacing w:val="-55"/>
        </w:rPr>
        <w:t> </w:t>
      </w:r>
      <w:r>
        <w:rPr>
          <w:spacing w:val="-55"/>
        </w:rPr>
      </w:r>
      <w:r>
        <w:rPr>
          <w:spacing w:val="-1"/>
        </w:rPr>
        <w:t>队是一支基础扎实、实践经验丰富、专业合理的人才队伍，专业化的员工队伍是项目顺利开展的</w:t>
      </w:r>
      <w:r>
        <w:rPr>
          <w:spacing w:val="-55"/>
        </w:rPr>
        <w:t> </w:t>
      </w:r>
      <w:r>
        <w:rPr>
          <w:spacing w:val="-55"/>
        </w:rPr>
      </w:r>
      <w:r>
        <w:rPr/>
        <w:t>重要保证。</w:t>
      </w:r>
    </w:p>
    <w:p>
      <w:pPr>
        <w:pStyle w:val="BodyText"/>
        <w:spacing w:line="357" w:lineRule="auto" w:before="30"/>
        <w:ind w:left="138" w:right="208" w:firstLine="419"/>
        <w:jc w:val="both"/>
      </w:pPr>
      <w:r>
        <w:rPr/>
        <w:t>用友云平台基于用友近 </w:t>
      </w:r>
      <w:r>
        <w:rPr>
          <w:rFonts w:ascii="宋体" w:hAnsi="宋体" w:cs="宋体" w:eastAsia="宋体" w:hint="default"/>
        </w:rPr>
        <w:t>30</w:t>
      </w:r>
      <w:r>
        <w:rPr>
          <w:rFonts w:ascii="宋体" w:hAnsi="宋体" w:cs="宋体" w:eastAsia="宋体" w:hint="default"/>
          <w:spacing w:val="-68"/>
        </w:rPr>
        <w:t> </w:t>
      </w:r>
      <w:r>
        <w:rPr>
          <w:spacing w:val="-5"/>
        </w:rPr>
        <w:t>年来在不同规模、不同领域、不同行业、不同业务及组织模式的沉</w:t>
      </w:r>
      <w:r>
        <w:rPr>
          <w:w w:val="100"/>
        </w:rPr>
        <w:t> </w:t>
      </w:r>
      <w:r>
        <w:rPr>
          <w:spacing w:val="-1"/>
        </w:rPr>
        <w:t>淀积累，提供企业业务创新所需的开发、集成、运行、运维、基础数据及应用服务，帮助开发者</w:t>
      </w:r>
      <w:r>
        <w:rPr>
          <w:spacing w:val="-56"/>
        </w:rPr>
        <w:t> </w:t>
      </w:r>
      <w:r>
        <w:rPr>
          <w:spacing w:val="-56"/>
        </w:rPr>
      </w:r>
      <w:r>
        <w:rPr>
          <w:spacing w:val="-1"/>
        </w:rPr>
        <w:t>快速构建面向特定领域或行业的应用服务，并基于能力化扩展架构和数据化运营方式，帮助开发</w:t>
      </w:r>
      <w:r>
        <w:rPr>
          <w:spacing w:val="-55"/>
        </w:rPr>
        <w:t> </w:t>
      </w:r>
      <w:r>
        <w:rPr>
          <w:spacing w:val="-55"/>
        </w:rPr>
      </w:r>
      <w:r>
        <w:rPr/>
        <w:t>者、合作伙伴持续推出最受企业客户喜爱的应用及服务。借助于云市场、开发者中心、</w:t>
      </w:r>
      <w:r>
        <w:rPr>
          <w:rFonts w:ascii="宋体" w:hAnsi="宋体" w:cs="宋体" w:eastAsia="宋体" w:hint="default"/>
        </w:rPr>
        <w:t>UDN</w:t>
      </w:r>
      <w:r>
        <w:rPr>
          <w:rFonts w:ascii="宋体" w:hAnsi="宋体" w:cs="宋体" w:eastAsia="宋体" w:hint="default"/>
          <w:spacing w:val="6"/>
        </w:rPr>
        <w:t> </w:t>
      </w:r>
      <w:r>
        <w:rPr/>
        <w:t>社区</w:t>
      </w:r>
      <w:r>
        <w:rPr>
          <w:w w:val="100"/>
        </w:rPr>
        <w:t> </w:t>
      </w:r>
      <w:r>
        <w:rPr>
          <w:spacing w:val="-1"/>
        </w:rPr>
        <w:t>等，用友云平台支撑企业互联网化的一系列开发、集成、运行、运维、运营等能力也开放给产业</w:t>
      </w:r>
      <w:r>
        <w:rPr>
          <w:spacing w:val="-54"/>
        </w:rPr>
        <w:t> </w:t>
      </w:r>
      <w:r>
        <w:rPr>
          <w:spacing w:val="-54"/>
        </w:rPr>
      </w:r>
      <w:r>
        <w:rPr/>
        <w:t>伙伴，赋能整个生态。</w:t>
      </w:r>
    </w:p>
    <w:p>
      <w:pPr>
        <w:pStyle w:val="Heading3"/>
        <w:spacing w:line="240" w:lineRule="auto" w:before="30"/>
        <w:ind w:left="138" w:right="0"/>
        <w:jc w:val="both"/>
        <w:rPr>
          <w:b w:val="0"/>
          <w:bCs w:val="0"/>
        </w:rPr>
      </w:pPr>
      <w:r>
        <w:rPr/>
        <w:t>（三）</w:t>
      </w:r>
      <w:r>
        <w:rPr>
          <w:spacing w:val="-1"/>
        </w:rPr>
        <w:t> </w:t>
      </w:r>
      <w:r>
        <w:rPr/>
        <w:t>品牌及市场优势</w:t>
      </w:r>
      <w:r>
        <w:rPr>
          <w:b w:val="0"/>
          <w:bCs w:val="0"/>
        </w:rPr>
      </w:r>
    </w:p>
    <w:p>
      <w:pPr>
        <w:pStyle w:val="BodyText"/>
        <w:spacing w:line="357" w:lineRule="auto" w:before="133"/>
        <w:ind w:left="138" w:right="98" w:firstLine="419"/>
        <w:jc w:val="left"/>
      </w:pPr>
      <w:r>
        <w:rPr/>
        <w:t>公司专注企业服务</w:t>
      </w:r>
      <w:r>
        <w:rPr>
          <w:spacing w:val="-49"/>
        </w:rPr>
        <w:t> </w:t>
      </w:r>
      <w:r>
        <w:rPr>
          <w:rFonts w:ascii="宋体" w:hAnsi="宋体" w:cs="宋体" w:eastAsia="宋体" w:hint="default"/>
        </w:rPr>
        <w:t>30</w:t>
      </w:r>
      <w:r>
        <w:rPr>
          <w:rFonts w:ascii="宋体" w:hAnsi="宋体" w:cs="宋体" w:eastAsia="宋体" w:hint="default"/>
          <w:spacing w:val="-50"/>
        </w:rPr>
        <w:t> </w:t>
      </w:r>
      <w:r>
        <w:rPr/>
        <w:t>年，在企业服务领域拥有深厚的积淀，是全球领先的企业服务提供商，</w:t>
      </w:r>
      <w:r>
        <w:rPr>
          <w:w w:val="100"/>
        </w:rPr>
        <w:t> </w:t>
      </w:r>
      <w:r>
        <w:rPr/>
        <w:t>在数字营销、智能制造、财务、人力资源、社交与协同办公、企业金融等企业云服务领域快速发</w:t>
      </w:r>
      <w:r>
        <w:rPr>
          <w:spacing w:val="-97"/>
        </w:rPr>
        <w:t> </w:t>
      </w:r>
      <w:r>
        <w:rPr>
          <w:spacing w:val="-97"/>
        </w:rPr>
      </w:r>
      <w:r>
        <w:rPr/>
        <w:t>展。现在，公司形成了以用友云为核心，云服务、软件、金融服务融合发展的新战略布局，服务</w:t>
      </w:r>
      <w:r>
        <w:rPr>
          <w:spacing w:val="-98"/>
        </w:rPr>
        <w:t> </w:t>
      </w:r>
      <w:r>
        <w:rPr>
          <w:spacing w:val="-98"/>
        </w:rPr>
      </w:r>
      <w:r>
        <w:rPr/>
        <w:t>企业的业务、金融和</w:t>
      </w:r>
      <w:r>
        <w:rPr>
          <w:spacing w:val="-50"/>
        </w:rPr>
        <w:t> </w:t>
      </w:r>
      <w:r>
        <w:rPr>
          <w:rFonts w:ascii="宋体" w:hAnsi="宋体" w:cs="宋体" w:eastAsia="宋体" w:hint="default"/>
        </w:rPr>
        <w:t>IT</w:t>
      </w:r>
      <w:r>
        <w:rPr>
          <w:rFonts w:ascii="宋体" w:hAnsi="宋体" w:cs="宋体" w:eastAsia="宋体" w:hint="default"/>
          <w:spacing w:val="-50"/>
        </w:rPr>
        <w:t> </w:t>
      </w:r>
      <w:r>
        <w:rPr/>
        <w:t>三位一体的创新发展，为企业与公共组织提供数字化、智能化企业服务，</w:t>
      </w:r>
      <w:r>
        <w:rPr>
          <w:w w:val="100"/>
        </w:rPr>
        <w:t> </w:t>
      </w:r>
      <w:r>
        <w:rPr/>
        <w:t>构建中国领先的企业服务生态。</w:t>
      </w:r>
    </w:p>
    <w:p>
      <w:pPr>
        <w:spacing w:after="0" w:line="357" w:lineRule="auto"/>
        <w:jc w:val="left"/>
        <w:sectPr>
          <w:pgSz w:w="11910" w:h="16840"/>
          <w:pgMar w:header="855" w:footer="1195" w:top="1320" w:bottom="1380" w:left="1660" w:right="1060"/>
        </w:sectPr>
      </w:pPr>
    </w:p>
    <w:p>
      <w:pPr>
        <w:spacing w:line="240" w:lineRule="auto" w:before="4"/>
        <w:rPr>
          <w:rFonts w:ascii="宋体" w:hAnsi="宋体" w:cs="宋体" w:eastAsia="宋体" w:hint="default"/>
          <w:sz w:val="9"/>
          <w:szCs w:val="9"/>
        </w:rPr>
      </w:pPr>
    </w:p>
    <w:p>
      <w:pPr>
        <w:pStyle w:val="BodyText"/>
        <w:spacing w:line="357" w:lineRule="auto" w:before="36"/>
        <w:ind w:left="138" w:right="207" w:firstLine="419"/>
        <w:jc w:val="both"/>
      </w:pPr>
      <w:r>
        <w:rPr>
          <w:spacing w:val="-2"/>
        </w:rPr>
        <w:t>公司连续多年被评定为国家“规划布局内重点软件企业”。报告期内，公司获得赛迪顾问颁</w:t>
      </w:r>
      <w:r>
        <w:rPr>
          <w:w w:val="100"/>
        </w:rPr>
        <w:t> </w:t>
      </w:r>
      <w:r>
        <w:rPr/>
        <w:t>发的“</w:t>
      </w:r>
      <w:r>
        <w:rPr>
          <w:rFonts w:ascii="宋体" w:hAnsi="宋体" w:cs="宋体" w:eastAsia="宋体" w:hint="default"/>
        </w:rPr>
        <w:t>2016-2017</w:t>
      </w:r>
      <w:r>
        <w:rPr>
          <w:rFonts w:ascii="宋体" w:hAnsi="宋体" w:cs="宋体" w:eastAsia="宋体" w:hint="default"/>
          <w:spacing w:val="79"/>
        </w:rPr>
        <w:t> </w:t>
      </w:r>
      <w:r>
        <w:rPr/>
        <w:t>年中国企业互联网服务市场年度成功企业”奖，用友云平台获得“2016</w:t>
      </w:r>
      <w:r>
        <w:rPr>
          <w:rFonts w:ascii="宋体" w:hAnsi="宋体" w:cs="宋体" w:eastAsia="宋体" w:hint="default"/>
        </w:rPr>
        <w:t>-2017</w:t>
      </w:r>
      <w:r>
        <w:rPr>
          <w:rFonts w:ascii="宋体" w:hAnsi="宋体" w:cs="宋体" w:eastAsia="宋体" w:hint="default"/>
          <w:spacing w:val="-84"/>
        </w:rPr>
        <w:t> </w:t>
      </w:r>
      <w:r>
        <w:rPr>
          <w:rFonts w:ascii="宋体" w:hAnsi="宋体" w:cs="宋体" w:eastAsia="宋体" w:hint="default"/>
          <w:spacing w:val="-84"/>
        </w:rPr>
      </w:r>
      <w:r>
        <w:rPr/>
        <w:t>年中国企业云计算市场年度创新产品”奖，用友数字营销解决方案获得“2016</w:t>
      </w:r>
      <w:r>
        <w:rPr>
          <w:rFonts w:ascii="宋体" w:hAnsi="宋体" w:cs="宋体" w:eastAsia="宋体" w:hint="default"/>
        </w:rPr>
        <w:t>-2017</w:t>
      </w:r>
      <w:r>
        <w:rPr>
          <w:rFonts w:ascii="宋体" w:hAnsi="宋体" w:cs="宋体" w:eastAsia="宋体" w:hint="default"/>
          <w:spacing w:val="6"/>
        </w:rPr>
        <w:t> </w:t>
      </w:r>
      <w:r>
        <w:rPr/>
        <w:t>中国（大中</w:t>
      </w:r>
      <w:r>
        <w:rPr>
          <w:w w:val="100"/>
        </w:rPr>
        <w:t> </w:t>
      </w:r>
      <w:r>
        <w:rPr/>
        <w:t>型）企业信息化市场年度最佳解决方案”奖，用友智能制造解决方案获得“2016</w:t>
      </w:r>
      <w:r>
        <w:rPr>
          <w:rFonts w:ascii="宋体" w:hAnsi="宋体" w:cs="宋体" w:eastAsia="宋体" w:hint="default"/>
        </w:rPr>
        <w:t>-2017</w:t>
      </w:r>
      <w:r>
        <w:rPr>
          <w:rFonts w:ascii="宋体" w:hAnsi="宋体" w:cs="宋体" w:eastAsia="宋体" w:hint="default"/>
          <w:spacing w:val="4"/>
        </w:rPr>
        <w:t> </w:t>
      </w:r>
      <w:r>
        <w:rPr/>
        <w:t>中国（大</w:t>
      </w:r>
      <w:r>
        <w:rPr>
          <w:w w:val="100"/>
        </w:rPr>
        <w:t> </w:t>
      </w:r>
      <w:r>
        <w:rPr/>
        <w:t>中型）企业信息化市场年度最佳解决方案”奖，用友</w:t>
      </w:r>
      <w:r>
        <w:rPr>
          <w:spacing w:val="-48"/>
        </w:rPr>
        <w:t> </w:t>
      </w:r>
      <w:r>
        <w:rPr>
          <w:rFonts w:ascii="宋体" w:hAnsi="宋体" w:cs="宋体" w:eastAsia="宋体" w:hint="default"/>
        </w:rPr>
        <w:t>U8+</w:t>
      </w:r>
      <w:r>
        <w:rPr/>
        <w:t>获得</w:t>
      </w:r>
      <w:r>
        <w:rPr>
          <w:spacing w:val="-4"/>
        </w:rPr>
        <w:t> </w:t>
      </w:r>
      <w:r>
        <w:rPr/>
        <w:t>“2016</w:t>
      </w:r>
      <w:r>
        <w:rPr>
          <w:rFonts w:ascii="宋体" w:hAnsi="宋体" w:cs="宋体" w:eastAsia="宋体" w:hint="default"/>
        </w:rPr>
        <w:t>-2017</w:t>
      </w:r>
      <w:r>
        <w:rPr>
          <w:rFonts w:ascii="宋体" w:hAnsi="宋体" w:cs="宋体" w:eastAsia="宋体" w:hint="default"/>
          <w:spacing w:val="-50"/>
        </w:rPr>
        <w:t> </w:t>
      </w:r>
      <w:r>
        <w:rPr/>
        <w:t>年中国企业信息化市</w:t>
      </w:r>
      <w:r>
        <w:rPr>
          <w:w w:val="100"/>
        </w:rPr>
        <w:t> </w:t>
      </w:r>
      <w:r>
        <w:rPr/>
        <w:t>场年度创新产品”奖；用友政务公司的</w:t>
      </w:r>
      <w:r>
        <w:rPr>
          <w:spacing w:val="-51"/>
        </w:rPr>
        <w:t> </w:t>
      </w:r>
      <w:r>
        <w:rPr>
          <w:rFonts w:ascii="宋体" w:hAnsi="宋体" w:cs="宋体" w:eastAsia="宋体" w:hint="default"/>
        </w:rPr>
        <w:t>GRP</w:t>
      </w:r>
      <w:r>
        <w:rPr>
          <w:rFonts w:ascii="宋体" w:hAnsi="宋体" w:cs="宋体" w:eastAsia="宋体" w:hint="default"/>
          <w:spacing w:val="-50"/>
        </w:rPr>
        <w:t> </w:t>
      </w:r>
      <w:r>
        <w:rPr/>
        <w:t>金财一体化解决方案获得“财政市场年度最佳解决方</w:t>
      </w:r>
      <w:r>
        <w:rPr>
          <w:w w:val="100"/>
        </w:rPr>
        <w:t> </w:t>
      </w:r>
      <w:r>
        <w:rPr>
          <w:spacing w:val="-1"/>
        </w:rPr>
        <w:t>案”奖；新道科技公司的创新创业教育解决方案获得“中国教育市场年度最佳解决方案”奖；用</w:t>
      </w:r>
      <w:r>
        <w:rPr>
          <w:spacing w:val="-55"/>
        </w:rPr>
        <w:t> </w:t>
      </w:r>
      <w:r>
        <w:rPr>
          <w:spacing w:val="-55"/>
        </w:rPr>
      </w:r>
      <w:r>
        <w:rPr>
          <w:spacing w:val="-1"/>
        </w:rPr>
        <w:t>友能源公司的“能源云”获得“能源行业云计算市场年度创新产品”奖。报告期内，公司继续保</w:t>
      </w:r>
      <w:r>
        <w:rPr>
          <w:spacing w:val="-55"/>
        </w:rPr>
        <w:t> </w:t>
      </w:r>
      <w:r>
        <w:rPr>
          <w:spacing w:val="-55"/>
        </w:rPr>
      </w:r>
      <w:r>
        <w:rPr/>
        <w:t>持在中国企业级应用软件市场占有率第一、中国</w:t>
      </w:r>
      <w:r>
        <w:rPr>
          <w:spacing w:val="-51"/>
        </w:rPr>
        <w:t> </w:t>
      </w:r>
      <w:r>
        <w:rPr>
          <w:rFonts w:ascii="宋体" w:hAnsi="宋体" w:cs="宋体" w:eastAsia="宋体" w:hint="default"/>
        </w:rPr>
        <w:t>ERP</w:t>
      </w:r>
      <w:r>
        <w:rPr>
          <w:rFonts w:ascii="宋体" w:hAnsi="宋体" w:cs="宋体" w:eastAsia="宋体" w:hint="default"/>
          <w:spacing w:val="-49"/>
        </w:rPr>
        <w:t> </w:t>
      </w:r>
      <w:r>
        <w:rPr/>
        <w:t>软件市场占有率第一、中国财务软件市场占</w:t>
      </w:r>
      <w:r>
        <w:rPr>
          <w:w w:val="100"/>
        </w:rPr>
        <w:t> </w:t>
      </w:r>
      <w:r>
        <w:rPr/>
        <w:t>有率第一；用友医疗</w:t>
      </w:r>
      <w:r>
        <w:rPr>
          <w:spacing w:val="-50"/>
        </w:rPr>
        <w:t> </w:t>
      </w:r>
      <w:r>
        <w:rPr>
          <w:rFonts w:ascii="宋体" w:hAnsi="宋体" w:cs="宋体" w:eastAsia="宋体" w:hint="default"/>
        </w:rPr>
        <w:t>HRP</w:t>
      </w:r>
      <w:r>
        <w:rPr>
          <w:rFonts w:ascii="宋体" w:hAnsi="宋体" w:cs="宋体" w:eastAsia="宋体" w:hint="default"/>
          <w:spacing w:val="-50"/>
        </w:rPr>
        <w:t> </w:t>
      </w:r>
      <w:r>
        <w:rPr/>
        <w:t>系统在中国医疗机构运营管理系统市场占有率第一；用友金融公司在中</w:t>
      </w:r>
      <w:r>
        <w:rPr>
          <w:w w:val="100"/>
        </w:rPr>
        <w:t> </w:t>
      </w:r>
      <w:r>
        <w:rPr>
          <w:spacing w:val="-1"/>
        </w:rPr>
        <w:t>国金融增值税市场占有率第一，用友政务公司在中国财政市场占有率第一。公司加力、加速云服</w:t>
      </w:r>
      <w:r>
        <w:rPr>
          <w:spacing w:val="-55"/>
        </w:rPr>
        <w:t> </w:t>
      </w:r>
      <w:r>
        <w:rPr>
          <w:spacing w:val="-55"/>
        </w:rPr>
      </w:r>
      <w:r>
        <w:rPr/>
        <w:t>务发展的力度和速度，用友云获得“2017</w:t>
      </w:r>
      <w:r>
        <w:rPr>
          <w:spacing w:val="-53"/>
        </w:rPr>
        <w:t> </w:t>
      </w:r>
      <w:r>
        <w:rPr/>
        <w:t>可信云大会”2016—</w:t>
      </w:r>
      <w:r>
        <w:rPr>
          <w:rFonts w:ascii="宋体" w:hAnsi="宋体" w:cs="宋体" w:eastAsia="宋体" w:hint="default"/>
        </w:rPr>
        <w:t>2017</w:t>
      </w:r>
      <w:r>
        <w:rPr>
          <w:rFonts w:ascii="宋体" w:hAnsi="宋体" w:cs="宋体" w:eastAsia="宋体" w:hint="default"/>
          <w:spacing w:val="-53"/>
        </w:rPr>
        <w:t> </w:t>
      </w:r>
      <w:r>
        <w:rPr/>
        <w:t>年度企业级</w:t>
      </w:r>
      <w:r>
        <w:rPr>
          <w:spacing w:val="-50"/>
        </w:rPr>
        <w:t> </w:t>
      </w:r>
      <w:r>
        <w:rPr>
          <w:rFonts w:ascii="宋体" w:hAnsi="宋体" w:cs="宋体" w:eastAsia="宋体" w:hint="default"/>
        </w:rPr>
        <w:t>SaaS</w:t>
      </w:r>
      <w:r>
        <w:rPr>
          <w:rFonts w:ascii="宋体" w:hAnsi="宋体" w:cs="宋体" w:eastAsia="宋体" w:hint="default"/>
          <w:spacing w:val="-53"/>
        </w:rPr>
        <w:t> </w:t>
      </w:r>
      <w:r>
        <w:rPr/>
        <w:t>服务奖。公</w:t>
      </w:r>
      <w:r>
        <w:rPr>
          <w:w w:val="100"/>
        </w:rPr>
        <w:t> </w:t>
      </w:r>
      <w:r>
        <w:rPr/>
        <w:t>司获得“2017</w:t>
      </w:r>
      <w:r>
        <w:rPr>
          <w:spacing w:val="-47"/>
        </w:rPr>
        <w:t> </w:t>
      </w:r>
      <w:r>
        <w:rPr/>
        <w:t>年中国</w:t>
      </w:r>
      <w:r>
        <w:rPr>
          <w:spacing w:val="-44"/>
        </w:rPr>
        <w:t> </w:t>
      </w:r>
      <w:r>
        <w:rPr>
          <w:rFonts w:ascii="宋体" w:hAnsi="宋体" w:cs="宋体" w:eastAsia="宋体" w:hint="default"/>
        </w:rPr>
        <w:t>IT</w:t>
      </w:r>
      <w:r>
        <w:rPr>
          <w:rFonts w:ascii="宋体" w:hAnsi="宋体" w:cs="宋体" w:eastAsia="宋体" w:hint="default"/>
          <w:spacing w:val="-45"/>
        </w:rPr>
        <w:t> </w:t>
      </w:r>
      <w:r>
        <w:rPr/>
        <w:t>用户满意度”调研</w:t>
      </w:r>
      <w:r>
        <w:rPr>
          <w:spacing w:val="-44"/>
        </w:rPr>
        <w:t> </w:t>
      </w:r>
      <w:r>
        <w:rPr>
          <w:rFonts w:ascii="宋体" w:hAnsi="宋体" w:cs="宋体" w:eastAsia="宋体" w:hint="default"/>
        </w:rPr>
        <w:t>18</w:t>
      </w:r>
      <w:r>
        <w:rPr>
          <w:rFonts w:ascii="宋体" w:hAnsi="宋体" w:cs="宋体" w:eastAsia="宋体" w:hint="default"/>
          <w:spacing w:val="-44"/>
        </w:rPr>
        <w:t> </w:t>
      </w:r>
      <w:r>
        <w:rPr>
          <w:spacing w:val="-4"/>
        </w:rPr>
        <w:t>项大奖，其中企业云服务等获得用户满意度第一荣</w:t>
      </w:r>
    </w:p>
    <w:p>
      <w:pPr>
        <w:pStyle w:val="BodyText"/>
        <w:spacing w:line="355" w:lineRule="auto" w:before="30"/>
        <w:ind w:left="558" w:right="102" w:hanging="420"/>
        <w:jc w:val="left"/>
      </w:pPr>
      <w:r>
        <w:rPr>
          <w:spacing w:val="-26"/>
          <w:w w:val="100"/>
        </w:rPr>
        <w:t>誉，企业</w:t>
      </w:r>
      <w:r>
        <w:rPr>
          <w:spacing w:val="-38"/>
          <w:w w:val="100"/>
        </w:rPr>
        <w:t> </w:t>
      </w:r>
      <w:r>
        <w:rPr>
          <w:rFonts w:ascii="宋体" w:hAnsi="宋体" w:cs="宋体" w:eastAsia="宋体" w:hint="default"/>
          <w:spacing w:val="-1"/>
          <w:w w:val="100"/>
        </w:rPr>
        <w:t>PaaS</w:t>
      </w:r>
      <w:r>
        <w:rPr>
          <w:rFonts w:ascii="宋体" w:hAnsi="宋体" w:cs="宋体" w:eastAsia="宋体" w:hint="default"/>
          <w:spacing w:val="-41"/>
          <w:w w:val="100"/>
        </w:rPr>
        <w:t> </w:t>
      </w:r>
      <w:r>
        <w:rPr>
          <w:spacing w:val="-5"/>
          <w:w w:val="100"/>
        </w:rPr>
        <w:t>云平台获得“用户首选品牌”荣誉，工业互联网平台等获得“用户推荐品牌”荣誉。</w:t>
      </w:r>
      <w:r>
        <w:rPr>
          <w:spacing w:val="-101"/>
          <w:w w:val="100"/>
        </w:rPr>
        <w:t> </w:t>
      </w:r>
      <w:r>
        <w:rPr>
          <w:spacing w:val="-101"/>
          <w:w w:val="100"/>
        </w:rPr>
      </w:r>
      <w:r>
        <w:rPr/>
        <w:t>新的时期，用友将引领企业服务产业的商业范式变革，基于前所未有的创想与新一代信息技</w:t>
      </w:r>
    </w:p>
    <w:p>
      <w:pPr>
        <w:pStyle w:val="BodyText"/>
        <w:spacing w:line="357" w:lineRule="auto" w:before="34"/>
        <w:ind w:left="138" w:right="102"/>
        <w:jc w:val="left"/>
      </w:pPr>
      <w:r>
        <w:rPr>
          <w:spacing w:val="-4"/>
        </w:rPr>
        <w:t>术，通过用友云为企业提供全新服务，支持企业业务创新，管理变革、金融嵌入与</w:t>
      </w:r>
      <w:r>
        <w:rPr>
          <w:spacing w:val="-23"/>
        </w:rPr>
        <w:t> </w:t>
      </w:r>
      <w:r>
        <w:rPr>
          <w:rFonts w:ascii="宋体" w:hAnsi="宋体" w:cs="宋体" w:eastAsia="宋体" w:hint="default"/>
        </w:rPr>
        <w:t>IT</w:t>
      </w:r>
      <w:r>
        <w:rPr>
          <w:rFonts w:ascii="宋体" w:hAnsi="宋体" w:cs="宋体" w:eastAsia="宋体" w:hint="default"/>
          <w:spacing w:val="-28"/>
        </w:rPr>
        <w:t> </w:t>
      </w:r>
      <w:r>
        <w:rPr>
          <w:spacing w:val="-5"/>
        </w:rPr>
        <w:t>升级，带动</w:t>
      </w:r>
      <w:r>
        <w:rPr>
          <w:spacing w:val="-94"/>
        </w:rPr>
        <w:t> </w:t>
      </w:r>
      <w:r>
        <w:rPr>
          <w:spacing w:val="-94"/>
        </w:rPr>
      </w:r>
      <w:r>
        <w:rPr/>
        <w:t>企业</w:t>
      </w:r>
      <w:r>
        <w:rPr>
          <w:spacing w:val="-55"/>
        </w:rPr>
        <w:t> </w:t>
      </w:r>
      <w:r>
        <w:rPr>
          <w:rFonts w:ascii="宋体" w:hAnsi="宋体" w:cs="宋体" w:eastAsia="宋体" w:hint="default"/>
        </w:rPr>
        <w:t>IT</w:t>
      </w:r>
      <w:r>
        <w:rPr>
          <w:rFonts w:ascii="宋体" w:hAnsi="宋体" w:cs="宋体" w:eastAsia="宋体" w:hint="default"/>
          <w:spacing w:val="-55"/>
        </w:rPr>
        <w:t> </w:t>
      </w:r>
      <w:r>
        <w:rPr/>
        <w:t>产业的新发展，推进商业和社会进步。</w:t>
      </w:r>
    </w:p>
    <w:p>
      <w:pPr>
        <w:spacing w:line="355" w:lineRule="auto" w:before="30"/>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（四）营销服务网络优势</w:t>
      </w:r>
      <w:r>
        <w:rPr>
          <w:rFonts w:ascii="宋体" w:hAnsi="宋体" w:cs="宋体" w:eastAsia="宋体" w:hint="default"/>
          <w:b/>
          <w:bCs/>
          <w:w w:val="100"/>
          <w:sz w:val="21"/>
          <w:szCs w:val="21"/>
        </w:rPr>
        <w:t> </w:t>
      </w:r>
      <w:r>
        <w:rPr>
          <w:rFonts w:ascii="宋体" w:hAnsi="宋体" w:cs="宋体" w:eastAsia="宋体" w:hint="default"/>
          <w:spacing w:val="-4"/>
          <w:w w:val="100"/>
          <w:sz w:val="21"/>
          <w:szCs w:val="21"/>
        </w:rPr>
        <w:t>公司拥有中国管理软件业最大的营销服务网络。公司中高端客户业务营销服务网络遍布全国，</w:t>
      </w:r>
    </w:p>
    <w:p>
      <w:pPr>
        <w:pStyle w:val="BodyText"/>
        <w:spacing w:line="357" w:lineRule="auto" w:before="32"/>
        <w:ind w:left="138" w:right="102"/>
        <w:jc w:val="left"/>
      </w:pPr>
      <w:r>
        <w:rPr/>
        <w:t>拥有近百家分支机构开展客户营销、销售、服务业务，为国内大中型企业提供及时快捷的本土化</w:t>
      </w:r>
      <w:r>
        <w:rPr>
          <w:spacing w:val="-97"/>
        </w:rPr>
        <w:t> </w:t>
      </w:r>
      <w:r>
        <w:rPr>
          <w:spacing w:val="-97"/>
        </w:rPr>
      </w:r>
      <w:r>
        <w:rPr/>
        <w:t>贴身服务。公司设置了海外客户事业本部，在多个地区和国家设立了营销服务机构，以拓展海外</w:t>
      </w:r>
      <w:r>
        <w:rPr>
          <w:spacing w:val="-96"/>
        </w:rPr>
        <w:t> </w:t>
      </w:r>
      <w:r>
        <w:rPr>
          <w:spacing w:val="-96"/>
        </w:rPr>
      </w:r>
      <w:r>
        <w:rPr>
          <w:spacing w:val="-6"/>
          <w:w w:val="100"/>
        </w:rPr>
        <w:t>中高端业务。公司面向小微企业客户的业务目前已拥有近</w:t>
      </w:r>
      <w:r>
        <w:rPr>
          <w:spacing w:val="-43"/>
          <w:w w:val="100"/>
        </w:rPr>
        <w:t> </w:t>
      </w:r>
      <w:r>
        <w:rPr>
          <w:rFonts w:ascii="宋体" w:hAnsi="宋体" w:cs="宋体" w:eastAsia="宋体" w:hint="default"/>
          <w:spacing w:val="-1"/>
          <w:w w:val="100"/>
        </w:rPr>
        <w:t>2000</w:t>
      </w:r>
      <w:r>
        <w:rPr>
          <w:rFonts w:ascii="宋体" w:hAnsi="宋体" w:cs="宋体" w:eastAsia="宋体" w:hint="default"/>
          <w:spacing w:val="-45"/>
          <w:w w:val="100"/>
        </w:rPr>
        <w:t> </w:t>
      </w:r>
      <w:r>
        <w:rPr>
          <w:spacing w:val="-8"/>
          <w:w w:val="100"/>
        </w:rPr>
        <w:t>多家渠道合作伙伴，遍布全国各地。</w:t>
      </w:r>
      <w:r>
        <w:rPr>
          <w:spacing w:val="-101"/>
          <w:w w:val="100"/>
        </w:rPr>
        <w:t> </w:t>
      </w:r>
      <w:r>
        <w:rPr>
          <w:spacing w:val="-101"/>
          <w:w w:val="100"/>
        </w:rPr>
      </w:r>
      <w:r>
        <w:rPr/>
        <w:t>首创的“全程服务模式”，根据客户在不同阶段所遇到的信息化管理问题，提供针对性地专业服</w:t>
      </w:r>
      <w:r>
        <w:rPr>
          <w:spacing w:val="-97"/>
        </w:rPr>
        <w:t> </w:t>
      </w:r>
      <w:r>
        <w:rPr>
          <w:spacing w:val="-97"/>
        </w:rPr>
      </w:r>
      <w:r>
        <w:rPr/>
        <w:t>务，包括经营诊断、在线服务、远程服务、现场服务、用户培训等客户定制化服务。公司行业业</w:t>
      </w:r>
      <w:r>
        <w:rPr>
          <w:spacing w:val="-97"/>
        </w:rPr>
        <w:t> </w:t>
      </w:r>
      <w:r>
        <w:rPr>
          <w:spacing w:val="-97"/>
        </w:rPr>
      </w:r>
      <w:r>
        <w:rPr/>
        <w:t>务在政务、汽车、金融、烟草、医疗、教育、广电和电信、能源、审计等行业和领域已具有非常</w:t>
      </w:r>
      <w:r>
        <w:rPr>
          <w:spacing w:val="-97"/>
        </w:rPr>
        <w:t> </w:t>
      </w:r>
      <w:r>
        <w:rPr>
          <w:spacing w:val="-97"/>
        </w:rPr>
      </w:r>
      <w:r>
        <w:rPr/>
        <w:t>成熟的营销服务生态链。</w:t>
      </w:r>
    </w:p>
    <w:p>
      <w:pPr>
        <w:spacing w:line="355" w:lineRule="auto" w:before="30"/>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（五）公司客户基础优势</w:t>
      </w:r>
      <w:r>
        <w:rPr>
          <w:rFonts w:ascii="宋体" w:hAnsi="宋体" w:cs="宋体" w:eastAsia="宋体" w:hint="default"/>
          <w:b/>
          <w:bCs/>
          <w:w w:val="100"/>
          <w:sz w:val="21"/>
          <w:szCs w:val="21"/>
        </w:rPr>
        <w:t> </w:t>
      </w:r>
      <w:r>
        <w:rPr>
          <w:rFonts w:ascii="宋体" w:hAnsi="宋体" w:cs="宋体" w:eastAsia="宋体" w:hint="default"/>
          <w:spacing w:val="-2"/>
          <w:sz w:val="21"/>
          <w:szCs w:val="21"/>
        </w:rPr>
        <w:t>经过多年的经营，公司形成了庞大的客户基础，用户粘度高。公司将凭借这些优势，通过企</w:t>
      </w:r>
    </w:p>
    <w:p>
      <w:pPr>
        <w:pStyle w:val="BodyText"/>
        <w:spacing w:line="357" w:lineRule="auto" w:before="32"/>
        <w:ind w:left="138" w:right="207"/>
        <w:jc w:val="both"/>
      </w:pPr>
      <w:r>
        <w:rPr>
          <w:spacing w:val="-1"/>
        </w:rPr>
        <w:t>业互联网服务逐渐形成企业服务生态圈，实现用友三大业务的协同发展。用友为中国及亚太地区</w:t>
      </w:r>
      <w:r>
        <w:rPr>
          <w:spacing w:val="-56"/>
        </w:rPr>
        <w:t> </w:t>
      </w:r>
      <w:r>
        <w:rPr>
          <w:spacing w:val="-56"/>
        </w:rPr>
      </w:r>
      <w:r>
        <w:rPr/>
        <w:t>众多企业与机构提供软件、云服务和金融服务，其中中国</w:t>
      </w:r>
      <w:r>
        <w:rPr>
          <w:spacing w:val="-33"/>
        </w:rPr>
        <w:t> </w:t>
      </w:r>
      <w:r>
        <w:rPr>
          <w:rFonts w:ascii="宋体" w:hAnsi="宋体" w:cs="宋体" w:eastAsia="宋体" w:hint="default"/>
        </w:rPr>
        <w:t>500</w:t>
      </w:r>
      <w:r>
        <w:rPr>
          <w:rFonts w:ascii="宋体" w:hAnsi="宋体" w:cs="宋体" w:eastAsia="宋体" w:hint="default"/>
          <w:spacing w:val="-35"/>
        </w:rPr>
        <w:t> </w:t>
      </w:r>
      <w:r>
        <w:rPr/>
        <w:t>强企业超过</w:t>
      </w:r>
      <w:r>
        <w:rPr>
          <w:spacing w:val="-33"/>
        </w:rPr>
        <w:t> </w:t>
      </w:r>
      <w:r>
        <w:rPr>
          <w:rFonts w:ascii="宋体" w:hAnsi="宋体" w:cs="宋体" w:eastAsia="宋体" w:hint="default"/>
        </w:rPr>
        <w:t>60%</w:t>
      </w:r>
      <w:r>
        <w:rPr/>
        <w:t>与用友建立合作关</w:t>
      </w:r>
      <w:r>
        <w:rPr>
          <w:w w:val="100"/>
        </w:rPr>
        <w:t> </w:t>
      </w:r>
      <w:r>
        <w:rPr/>
        <w:t>系。在用友发展的</w:t>
      </w:r>
      <w:r>
        <w:rPr>
          <w:spacing w:val="-53"/>
        </w:rPr>
        <w:t> </w:t>
      </w:r>
      <w:r>
        <w:rPr>
          <w:rFonts w:ascii="宋体" w:hAnsi="宋体" w:cs="宋体" w:eastAsia="宋体" w:hint="default"/>
        </w:rPr>
        <w:t>3.0</w:t>
      </w:r>
      <w:r>
        <w:rPr>
          <w:rFonts w:ascii="宋体" w:hAnsi="宋体" w:cs="宋体" w:eastAsia="宋体" w:hint="default"/>
          <w:spacing w:val="-50"/>
        </w:rPr>
        <w:t> </w:t>
      </w:r>
      <w:r>
        <w:rPr/>
        <w:t>阶段，用友将与合作伙伴持续合作，合力构建中国最强大的数字化商业应</w:t>
      </w:r>
      <w:r>
        <w:rPr>
          <w:spacing w:val="-3"/>
          <w:w w:val="100"/>
        </w:rPr>
        <w:t> </w:t>
      </w:r>
      <w:r>
        <w:rPr>
          <w:spacing w:val="-1"/>
        </w:rPr>
        <w:t>用基础设施服务，共同打造中国领先的企业服务生态，服务超过千万家中国企业互联网化、金融</w:t>
      </w:r>
      <w:r>
        <w:rPr>
          <w:spacing w:val="-55"/>
        </w:rPr>
        <w:t> </w:t>
      </w:r>
      <w:r>
        <w:rPr>
          <w:spacing w:val="-55"/>
        </w:rPr>
      </w:r>
      <w:r>
        <w:rPr/>
        <w:t>化，共同赢在企业互联网时代。</w:t>
      </w:r>
    </w:p>
    <w:p>
      <w:pPr>
        <w:spacing w:after="0" w:line="357" w:lineRule="auto"/>
        <w:jc w:val="both"/>
        <w:sectPr>
          <w:pgSz w:w="11910" w:h="16840"/>
          <w:pgMar w:header="855" w:footer="1195" w:top="1320" w:bottom="1380" w:left="1660" w:right="1060"/>
        </w:sectPr>
      </w:pPr>
    </w:p>
    <w:p>
      <w:pPr>
        <w:spacing w:line="240" w:lineRule="auto" w:before="12"/>
        <w:rPr>
          <w:rFonts w:ascii="宋体" w:hAnsi="宋体" w:cs="宋体" w:eastAsia="宋体" w:hint="default"/>
          <w:sz w:val="9"/>
          <w:szCs w:val="9"/>
        </w:rPr>
      </w:pPr>
    </w:p>
    <w:p>
      <w:pPr>
        <w:pStyle w:val="Heading1"/>
        <w:tabs>
          <w:tab w:pos="1259" w:val="left" w:leader="none"/>
        </w:tabs>
        <w:spacing w:line="240" w:lineRule="auto"/>
        <w:ind w:left="0" w:right="117"/>
        <w:jc w:val="center"/>
        <w:rPr>
          <w:b w:val="0"/>
          <w:bCs w:val="0"/>
        </w:rPr>
      </w:pPr>
      <w:bookmarkStart w:name="_TOC_250008" w:id="4"/>
      <w:r>
        <w:rPr>
          <w:w w:val="95"/>
        </w:rPr>
        <w:t>第四节</w:t>
        <w:tab/>
      </w:r>
      <w:r>
        <w:rPr/>
        <w:t>经营情况讨论与分析</w:t>
      </w:r>
      <w:bookmarkEnd w:id="4"/>
      <w:r>
        <w:rPr>
          <w:b w:val="0"/>
          <w:bCs w:val="0"/>
        </w:rPr>
      </w:r>
    </w:p>
    <w:p>
      <w:pPr>
        <w:spacing w:line="240" w:lineRule="auto" w:before="4"/>
        <w:rPr>
          <w:rFonts w:ascii="黑体" w:hAnsi="黑体" w:cs="黑体" w:eastAsia="黑体" w:hint="default"/>
          <w:b/>
          <w:bCs/>
          <w:sz w:val="19"/>
          <w:szCs w:val="19"/>
        </w:rPr>
      </w:pPr>
    </w:p>
    <w:p>
      <w:pPr>
        <w:pStyle w:val="Heading3"/>
        <w:spacing w:line="240" w:lineRule="auto"/>
        <w:ind w:left="138" w:right="0"/>
        <w:jc w:val="both"/>
        <w:rPr>
          <w:b w:val="0"/>
          <w:bCs w:val="0"/>
        </w:rPr>
      </w:pPr>
      <w:r>
        <w:rPr/>
        <w:t>一、经营情况讨论与分析</w:t>
      </w:r>
      <w:r>
        <w:rPr>
          <w:b w:val="0"/>
          <w:bCs w:val="0"/>
        </w:rPr>
      </w:r>
    </w:p>
    <w:p>
      <w:pPr>
        <w:spacing w:line="355" w:lineRule="auto" w:before="58"/>
        <w:ind w:left="558" w:right="244" w:hanging="420"/>
        <w:jc w:val="left"/>
        <w:rPr>
          <w:rFonts w:ascii="宋体" w:hAnsi="宋体" w:cs="宋体" w:eastAsia="宋体" w:hint="default"/>
          <w:sz w:val="21"/>
          <w:szCs w:val="21"/>
        </w:rPr>
      </w:pPr>
      <w:r>
        <w:rPr>
          <w:rFonts w:ascii="宋体" w:hAnsi="宋体" w:cs="宋体" w:eastAsia="宋体" w:hint="default"/>
          <w:b/>
          <w:bCs/>
          <w:sz w:val="21"/>
          <w:szCs w:val="21"/>
        </w:rPr>
        <w:t>（一）</w:t>
      </w:r>
      <w:r>
        <w:rPr>
          <w:rFonts w:ascii="宋体" w:hAnsi="宋体" w:cs="宋体" w:eastAsia="宋体" w:hint="default"/>
          <w:b/>
          <w:bCs/>
          <w:spacing w:val="-20"/>
          <w:sz w:val="21"/>
          <w:szCs w:val="21"/>
        </w:rPr>
        <w:t> </w:t>
      </w:r>
      <w:r>
        <w:rPr>
          <w:rFonts w:ascii="宋体" w:hAnsi="宋体" w:cs="宋体" w:eastAsia="宋体" w:hint="default"/>
          <w:b/>
          <w:bCs/>
          <w:sz w:val="21"/>
          <w:szCs w:val="21"/>
        </w:rPr>
        <w:t>报告期内公司经营情况</w:t>
      </w:r>
      <w:r>
        <w:rPr>
          <w:rFonts w:ascii="宋体" w:hAnsi="宋体" w:cs="宋体" w:eastAsia="宋体" w:hint="default"/>
          <w:b/>
          <w:bCs/>
          <w:w w:val="100"/>
          <w:sz w:val="21"/>
          <w:szCs w:val="21"/>
        </w:rPr>
        <w:t> </w:t>
      </w:r>
      <w:r>
        <w:rPr>
          <w:rFonts w:ascii="宋体" w:hAnsi="宋体" w:cs="宋体" w:eastAsia="宋体" w:hint="default"/>
          <w:spacing w:val="-4"/>
          <w:sz w:val="21"/>
          <w:szCs w:val="21"/>
        </w:rPr>
        <w:t>报告期内，公司围绕“聚合用友云”、“软件效益化”及“互联网金融”</w:t>
      </w:r>
      <w:r>
        <w:rPr>
          <w:rFonts w:ascii="宋体" w:hAnsi="宋体" w:cs="宋体" w:eastAsia="宋体" w:hint="default"/>
          <w:spacing w:val="75"/>
          <w:sz w:val="21"/>
          <w:szCs w:val="21"/>
        </w:rPr>
        <w:t> </w:t>
      </w:r>
      <w:r>
        <w:rPr>
          <w:rFonts w:ascii="宋体" w:hAnsi="宋体" w:cs="宋体" w:eastAsia="宋体" w:hint="default"/>
          <w:spacing w:val="-6"/>
          <w:sz w:val="21"/>
          <w:szCs w:val="21"/>
        </w:rPr>
        <w:t>三大经营策略，大</w:t>
      </w:r>
    </w:p>
    <w:p>
      <w:pPr>
        <w:pStyle w:val="BodyText"/>
        <w:spacing w:line="357" w:lineRule="auto" w:before="32"/>
        <w:ind w:left="138" w:right="247"/>
        <w:jc w:val="both"/>
      </w:pPr>
      <w:r>
        <w:rPr/>
        <w:t>力推进用友</w:t>
      </w:r>
      <w:r>
        <w:rPr>
          <w:spacing w:val="-49"/>
        </w:rPr>
        <w:t> </w:t>
      </w:r>
      <w:r>
        <w:rPr>
          <w:rFonts w:ascii="宋体" w:hAnsi="宋体" w:cs="宋体" w:eastAsia="宋体" w:hint="default"/>
        </w:rPr>
        <w:t>3.0</w:t>
      </w:r>
      <w:r>
        <w:rPr>
          <w:rFonts w:ascii="宋体" w:hAnsi="宋体" w:cs="宋体" w:eastAsia="宋体" w:hint="default"/>
          <w:spacing w:val="-51"/>
        </w:rPr>
        <w:t> </w:t>
      </w:r>
      <w:r>
        <w:rPr/>
        <w:t>战略的实施，加大、加速了云服务和金融服务发展力度和速度，实现了云服务收</w:t>
      </w:r>
      <w:r>
        <w:rPr>
          <w:w w:val="100"/>
        </w:rPr>
        <w:t> </w:t>
      </w:r>
      <w:r>
        <w:rPr>
          <w:spacing w:val="-1"/>
        </w:rPr>
        <w:t>入和金融服务收入的高速增长、软件业务稳定增长，经营效益得到大幅提升，并初步树立了用友</w:t>
      </w:r>
      <w:r>
        <w:rPr>
          <w:spacing w:val="-56"/>
        </w:rPr>
        <w:t> </w:t>
      </w:r>
      <w:r>
        <w:rPr>
          <w:spacing w:val="-56"/>
        </w:rPr>
      </w:r>
      <w:r>
        <w:rPr/>
        <w:t>云在企业服务领域的市场领导地位。</w:t>
      </w:r>
    </w:p>
    <w:p>
      <w:pPr>
        <w:pStyle w:val="BodyText"/>
        <w:spacing w:line="240" w:lineRule="auto" w:before="30"/>
        <w:ind w:left="558" w:right="0"/>
        <w:jc w:val="left"/>
      </w:pPr>
      <w:r>
        <w:rPr/>
        <w:t>报告期内，公司实现营业收入 </w:t>
      </w:r>
      <w:r>
        <w:rPr>
          <w:rFonts w:ascii="宋体" w:hAnsi="宋体" w:cs="宋体" w:eastAsia="宋体" w:hint="default"/>
        </w:rPr>
        <w:t>6,343,658,549 </w:t>
      </w:r>
      <w:r>
        <w:rPr/>
        <w:t>元，同比增加 </w:t>
      </w:r>
      <w:r>
        <w:rPr>
          <w:rFonts w:ascii="宋体" w:hAnsi="宋体" w:cs="宋体" w:eastAsia="宋体" w:hint="default"/>
        </w:rPr>
        <w:t>1,230,309,688</w:t>
      </w:r>
      <w:r>
        <w:rPr>
          <w:rFonts w:ascii="宋体" w:hAnsi="宋体" w:cs="宋体" w:eastAsia="宋体" w:hint="default"/>
          <w:spacing w:val="5"/>
        </w:rPr>
        <w:t> </w:t>
      </w:r>
      <w:r>
        <w:rPr/>
        <w:t>元，同比增长</w:t>
      </w:r>
    </w:p>
    <w:p>
      <w:pPr>
        <w:pStyle w:val="BodyText"/>
        <w:spacing w:line="240" w:lineRule="auto" w:before="133"/>
        <w:ind w:left="138" w:right="0"/>
        <w:jc w:val="both"/>
      </w:pPr>
      <w:r>
        <w:rPr>
          <w:rFonts w:ascii="宋体" w:hAnsi="宋体" w:cs="宋体" w:eastAsia="宋体" w:hint="default"/>
        </w:rPr>
        <w:t>24.1%</w:t>
      </w:r>
      <w:r>
        <w:rPr/>
        <w:t>；归属于上市公司股东的净利润为</w:t>
      </w:r>
      <w:r>
        <w:rPr>
          <w:spacing w:val="-27"/>
        </w:rPr>
        <w:t> </w:t>
      </w:r>
      <w:r>
        <w:rPr>
          <w:rFonts w:ascii="宋体" w:hAnsi="宋体" w:cs="宋体" w:eastAsia="宋体" w:hint="default"/>
        </w:rPr>
        <w:t>389,080,894</w:t>
      </w:r>
      <w:r>
        <w:rPr>
          <w:rFonts w:ascii="宋体" w:hAnsi="宋体" w:cs="宋体" w:eastAsia="宋体" w:hint="default"/>
          <w:spacing w:val="-27"/>
        </w:rPr>
        <w:t> </w:t>
      </w:r>
      <w:r>
        <w:rPr/>
        <w:t>元，同比增加</w:t>
      </w:r>
      <w:r>
        <w:rPr>
          <w:spacing w:val="-27"/>
        </w:rPr>
        <w:t> </w:t>
      </w:r>
      <w:r>
        <w:rPr>
          <w:rFonts w:ascii="宋体" w:hAnsi="宋体" w:cs="宋体" w:eastAsia="宋体" w:hint="default"/>
        </w:rPr>
        <w:t>191,689,169</w:t>
      </w:r>
      <w:r>
        <w:rPr>
          <w:rFonts w:ascii="宋体" w:hAnsi="宋体" w:cs="宋体" w:eastAsia="宋体" w:hint="default"/>
          <w:spacing w:val="-27"/>
        </w:rPr>
        <w:t> </w:t>
      </w:r>
      <w:r>
        <w:rPr/>
        <w:t>元，同比增长</w:t>
      </w:r>
    </w:p>
    <w:p>
      <w:pPr>
        <w:pStyle w:val="BodyText"/>
        <w:spacing w:line="240" w:lineRule="auto" w:before="133"/>
        <w:ind w:left="138" w:right="0"/>
        <w:jc w:val="both"/>
      </w:pPr>
      <w:r>
        <w:rPr>
          <w:rFonts w:ascii="宋体" w:hAnsi="宋体" w:cs="宋体" w:eastAsia="宋体" w:hint="default"/>
          <w:spacing w:val="8"/>
        </w:rPr>
        <w:t>97.1%</w:t>
      </w:r>
      <w:r>
        <w:rPr>
          <w:spacing w:val="8"/>
        </w:rPr>
        <w:t>；归属于上市公司股东的扣除非经常性损益后的净利润为  </w:t>
      </w:r>
      <w:r>
        <w:rPr>
          <w:rFonts w:ascii="宋体" w:hAnsi="宋体" w:cs="宋体" w:eastAsia="宋体" w:hint="default"/>
        </w:rPr>
        <w:t>293,075,149</w:t>
      </w:r>
      <w:r>
        <w:rPr>
          <w:rFonts w:ascii="宋体" w:hAnsi="宋体" w:cs="宋体" w:eastAsia="宋体" w:hint="default"/>
          <w:spacing w:val="3"/>
        </w:rPr>
        <w:t> </w:t>
      </w:r>
      <w:r>
        <w:rPr>
          <w:spacing w:val="8"/>
        </w:rPr>
        <w:t>元，同比增加</w:t>
      </w:r>
    </w:p>
    <w:p>
      <w:pPr>
        <w:pStyle w:val="BodyText"/>
        <w:spacing w:line="240" w:lineRule="auto" w:before="135"/>
        <w:ind w:left="138" w:right="0"/>
        <w:jc w:val="both"/>
      </w:pPr>
      <w:r>
        <w:rPr>
          <w:rFonts w:ascii="宋体" w:hAnsi="宋体" w:cs="宋体" w:eastAsia="宋体" w:hint="default"/>
        </w:rPr>
        <w:t>155,797,126</w:t>
      </w:r>
      <w:r>
        <w:rPr>
          <w:rFonts w:ascii="宋体" w:hAnsi="宋体" w:cs="宋体" w:eastAsia="宋体" w:hint="default"/>
          <w:spacing w:val="-53"/>
        </w:rPr>
        <w:t> </w:t>
      </w:r>
      <w:r>
        <w:rPr/>
        <w:t>元，同比增长</w:t>
      </w:r>
      <w:r>
        <w:rPr>
          <w:spacing w:val="-51"/>
        </w:rPr>
        <w:t> </w:t>
      </w:r>
      <w:r>
        <w:rPr>
          <w:rFonts w:ascii="宋体" w:hAnsi="宋体" w:cs="宋体" w:eastAsia="宋体" w:hint="default"/>
        </w:rPr>
        <w:t>113.5%</w:t>
      </w:r>
      <w:r>
        <w:rPr/>
        <w:t>；归属于上市公司股东的扣除非经常性损益和股权激励成本的</w:t>
      </w:r>
    </w:p>
    <w:p>
      <w:pPr>
        <w:pStyle w:val="BodyText"/>
        <w:spacing w:line="240" w:lineRule="auto" w:before="133"/>
        <w:ind w:left="138" w:right="0"/>
        <w:jc w:val="both"/>
      </w:pPr>
      <w:r>
        <w:rPr/>
        <w:t>净利润为</w:t>
      </w:r>
      <w:r>
        <w:rPr>
          <w:spacing w:val="-42"/>
        </w:rPr>
        <w:t> </w:t>
      </w:r>
      <w:r>
        <w:rPr>
          <w:rFonts w:ascii="宋体" w:hAnsi="宋体" w:cs="宋体" w:eastAsia="宋体" w:hint="default"/>
        </w:rPr>
        <w:t>488,111,663</w:t>
      </w:r>
      <w:r>
        <w:rPr>
          <w:rFonts w:ascii="宋体" w:hAnsi="宋体" w:cs="宋体" w:eastAsia="宋体" w:hint="default"/>
          <w:spacing w:val="-43"/>
        </w:rPr>
        <w:t> </w:t>
      </w:r>
      <w:r>
        <w:rPr/>
        <w:t>元，同比增加</w:t>
      </w:r>
      <w:r>
        <w:rPr>
          <w:spacing w:val="-42"/>
        </w:rPr>
        <w:t> </w:t>
      </w:r>
      <w:r>
        <w:rPr>
          <w:rFonts w:ascii="宋体" w:hAnsi="宋体" w:cs="宋体" w:eastAsia="宋体" w:hint="default"/>
        </w:rPr>
        <w:t>208,615,063</w:t>
      </w:r>
      <w:r>
        <w:rPr>
          <w:rFonts w:ascii="宋体" w:hAnsi="宋体" w:cs="宋体" w:eastAsia="宋体" w:hint="default"/>
          <w:spacing w:val="-44"/>
        </w:rPr>
        <w:t> </w:t>
      </w:r>
      <w:r>
        <w:rPr/>
        <w:t>元，同比增长</w:t>
      </w:r>
      <w:r>
        <w:rPr>
          <w:spacing w:val="-42"/>
        </w:rPr>
        <w:t> </w:t>
      </w:r>
      <w:r>
        <w:rPr>
          <w:rFonts w:ascii="宋体" w:hAnsi="宋体" w:cs="宋体" w:eastAsia="宋体" w:hint="default"/>
        </w:rPr>
        <w:t>74.6%</w:t>
      </w:r>
      <w:r>
        <w:rPr/>
        <w:t>。经营活动产生的现金流</w:t>
      </w:r>
    </w:p>
    <w:p>
      <w:pPr>
        <w:pStyle w:val="BodyText"/>
        <w:spacing w:line="355" w:lineRule="auto" w:before="133"/>
        <w:ind w:left="138" w:right="247"/>
        <w:jc w:val="both"/>
      </w:pPr>
      <w:r>
        <w:rPr/>
        <w:t>净额</w:t>
      </w:r>
      <w:r>
        <w:rPr>
          <w:spacing w:val="-42"/>
        </w:rPr>
        <w:t> </w:t>
      </w:r>
      <w:r>
        <w:rPr>
          <w:rFonts w:ascii="宋体" w:hAnsi="宋体" w:cs="宋体" w:eastAsia="宋体" w:hint="default"/>
        </w:rPr>
        <w:t>1,430,325,852</w:t>
      </w:r>
      <w:r>
        <w:rPr>
          <w:rFonts w:ascii="宋体" w:hAnsi="宋体" w:cs="宋体" w:eastAsia="宋体" w:hint="default"/>
          <w:spacing w:val="-42"/>
        </w:rPr>
        <w:t> </w:t>
      </w:r>
      <w:r>
        <w:rPr/>
        <w:t>元，同比增加</w:t>
      </w:r>
      <w:r>
        <w:rPr>
          <w:spacing w:val="-41"/>
        </w:rPr>
        <w:t> </w:t>
      </w:r>
      <w:r>
        <w:rPr>
          <w:rFonts w:ascii="宋体" w:hAnsi="宋体" w:cs="宋体" w:eastAsia="宋体" w:hint="default"/>
        </w:rPr>
        <w:t>543,244,663</w:t>
      </w:r>
      <w:r>
        <w:rPr>
          <w:rFonts w:ascii="宋体" w:hAnsi="宋体" w:cs="宋体" w:eastAsia="宋体" w:hint="default"/>
          <w:spacing w:val="-44"/>
        </w:rPr>
        <w:t> </w:t>
      </w:r>
      <w:r>
        <w:rPr/>
        <w:t>元，同比增长</w:t>
      </w:r>
      <w:r>
        <w:rPr>
          <w:spacing w:val="-41"/>
        </w:rPr>
        <w:t> </w:t>
      </w:r>
      <w:r>
        <w:rPr>
          <w:rFonts w:ascii="宋体" w:hAnsi="宋体" w:cs="宋体" w:eastAsia="宋体" w:hint="default"/>
        </w:rPr>
        <w:t>61.2%</w:t>
      </w:r>
      <w:r>
        <w:rPr/>
        <w:t>。报告期内，公司总研发投</w:t>
      </w:r>
      <w:r>
        <w:rPr>
          <w:w w:val="100"/>
        </w:rPr>
        <w:t> </w:t>
      </w:r>
      <w:r>
        <w:rPr/>
        <w:t>入合计</w:t>
      </w:r>
      <w:r>
        <w:rPr>
          <w:spacing w:val="-32"/>
        </w:rPr>
        <w:t> </w:t>
      </w:r>
      <w:r>
        <w:rPr>
          <w:rFonts w:ascii="宋体" w:hAnsi="宋体" w:cs="宋体" w:eastAsia="宋体" w:hint="default"/>
        </w:rPr>
        <w:t>129,732</w:t>
      </w:r>
      <w:r>
        <w:rPr>
          <w:rFonts w:ascii="宋体" w:hAnsi="宋体" w:cs="宋体" w:eastAsia="宋体" w:hint="default"/>
          <w:spacing w:val="-34"/>
        </w:rPr>
        <w:t> </w:t>
      </w:r>
      <w:r>
        <w:rPr/>
        <w:t>万元，占营业收入比重为</w:t>
      </w:r>
      <w:r>
        <w:rPr>
          <w:spacing w:val="-34"/>
        </w:rPr>
        <w:t> </w:t>
      </w:r>
      <w:r>
        <w:rPr>
          <w:rFonts w:ascii="宋体" w:hAnsi="宋体" w:cs="宋体" w:eastAsia="宋体" w:hint="default"/>
        </w:rPr>
        <w:t>20.5%</w:t>
      </w:r>
      <w:r>
        <w:rPr/>
        <w:t>，持续保持了对云服务业务和金融服务业务的大</w:t>
      </w:r>
      <w:r>
        <w:rPr>
          <w:w w:val="100"/>
        </w:rPr>
        <w:t> </w:t>
      </w:r>
      <w:r>
        <w:rPr/>
        <w:t>力度研发投入。</w:t>
      </w:r>
    </w:p>
    <w:p>
      <w:pPr>
        <w:pStyle w:val="BodyText"/>
        <w:spacing w:line="357" w:lineRule="auto" w:before="34"/>
        <w:ind w:left="138" w:right="0" w:firstLine="419"/>
        <w:jc w:val="left"/>
      </w:pPr>
      <w:r>
        <w:rPr>
          <w:spacing w:val="-3"/>
        </w:rPr>
        <w:t>报告期内，软件业务实现收入</w:t>
      </w:r>
      <w:r>
        <w:rPr>
          <w:spacing w:val="-44"/>
        </w:rPr>
        <w:t> </w:t>
      </w:r>
      <w:r>
        <w:rPr>
          <w:rFonts w:ascii="宋体" w:hAnsi="宋体" w:cs="宋体" w:eastAsia="宋体" w:hint="default"/>
        </w:rPr>
        <w:t>5,132,126,961</w:t>
      </w:r>
      <w:r>
        <w:rPr>
          <w:rFonts w:ascii="宋体" w:hAnsi="宋体" w:cs="宋体" w:eastAsia="宋体" w:hint="default"/>
          <w:spacing w:val="-48"/>
        </w:rPr>
        <w:t> </w:t>
      </w:r>
      <w:r>
        <w:rPr>
          <w:spacing w:val="-5"/>
        </w:rPr>
        <w:t>元，同比增长</w:t>
      </w:r>
      <w:r>
        <w:rPr>
          <w:spacing w:val="16"/>
        </w:rPr>
        <w:t> </w:t>
      </w:r>
      <w:r>
        <w:rPr>
          <w:rFonts w:ascii="宋体" w:hAnsi="宋体" w:cs="宋体" w:eastAsia="宋体" w:hint="default"/>
          <w:spacing w:val="-5"/>
        </w:rPr>
        <w:t>8.0%</w:t>
      </w:r>
      <w:r>
        <w:rPr>
          <w:spacing w:val="-5"/>
        </w:rPr>
        <w:t>；云服务业务（不含金融类</w:t>
      </w:r>
      <w:r>
        <w:rPr>
          <w:w w:val="100"/>
        </w:rPr>
        <w:t> </w:t>
      </w:r>
      <w:r>
        <w:rPr/>
        <w:t>云服务）实现收入</w:t>
      </w:r>
      <w:r>
        <w:rPr>
          <w:spacing w:val="-52"/>
        </w:rPr>
        <w:t> </w:t>
      </w:r>
      <w:r>
        <w:rPr>
          <w:rFonts w:ascii="宋体" w:hAnsi="宋体" w:cs="宋体" w:eastAsia="宋体" w:hint="default"/>
        </w:rPr>
        <w:t>408,985,467</w:t>
      </w:r>
      <w:r>
        <w:rPr>
          <w:rFonts w:ascii="宋体" w:hAnsi="宋体" w:cs="宋体" w:eastAsia="宋体" w:hint="default"/>
          <w:spacing w:val="-51"/>
        </w:rPr>
        <w:t> </w:t>
      </w:r>
      <w:r>
        <w:rPr/>
        <w:t>元，同比增长</w:t>
      </w:r>
      <w:r>
        <w:rPr>
          <w:spacing w:val="-52"/>
        </w:rPr>
        <w:t> </w:t>
      </w:r>
      <w:r>
        <w:rPr>
          <w:rFonts w:ascii="宋体" w:hAnsi="宋体" w:cs="宋体" w:eastAsia="宋体" w:hint="default"/>
        </w:rPr>
        <w:t>249.9%</w:t>
      </w:r>
      <w:r>
        <w:rPr/>
        <w:t>；金融服务业务实现收入</w:t>
      </w:r>
      <w:r>
        <w:rPr>
          <w:spacing w:val="-51"/>
        </w:rPr>
        <w:t> </w:t>
      </w:r>
      <w:r>
        <w:rPr>
          <w:rFonts w:ascii="宋体" w:hAnsi="宋体" w:cs="宋体" w:eastAsia="宋体" w:hint="default"/>
        </w:rPr>
        <w:t>802,546,121</w:t>
      </w:r>
      <w:r>
        <w:rPr>
          <w:rFonts w:ascii="宋体" w:hAnsi="宋体" w:cs="宋体" w:eastAsia="宋体" w:hint="default"/>
          <w:spacing w:val="-3"/>
        </w:rPr>
        <w:t> </w:t>
      </w:r>
      <w:r>
        <w:rPr/>
        <w:t>元，</w:t>
      </w:r>
      <w:r>
        <w:rPr>
          <w:w w:val="100"/>
        </w:rPr>
        <w:t> </w:t>
      </w:r>
      <w:r>
        <w:rPr>
          <w:spacing w:val="-1"/>
          <w:w w:val="100"/>
        </w:rPr>
        <w:t>同比增长</w:t>
      </w:r>
      <w:r>
        <w:rPr>
          <w:spacing w:val="-52"/>
          <w:w w:val="100"/>
        </w:rPr>
        <w:t> </w:t>
      </w:r>
      <w:r>
        <w:rPr>
          <w:rFonts w:ascii="宋体" w:hAnsi="宋体" w:cs="宋体" w:eastAsia="宋体" w:hint="default"/>
          <w:spacing w:val="-10"/>
          <w:w w:val="100"/>
        </w:rPr>
        <w:t>229.3%</w:t>
      </w:r>
      <w:r>
        <w:rPr>
          <w:spacing w:val="-10"/>
          <w:w w:val="100"/>
        </w:rPr>
        <w:t>。截至报告期末，云服务业务的企业客户数</w:t>
      </w:r>
      <w:r>
        <w:rPr>
          <w:spacing w:val="-51"/>
          <w:w w:val="100"/>
        </w:rPr>
        <w:t> </w:t>
      </w:r>
      <w:r>
        <w:rPr>
          <w:rFonts w:ascii="宋体" w:hAnsi="宋体" w:cs="宋体" w:eastAsia="宋体" w:hint="default"/>
          <w:w w:val="100"/>
        </w:rPr>
        <w:t>393 </w:t>
      </w:r>
      <w:r>
        <w:rPr>
          <w:spacing w:val="-27"/>
          <w:w w:val="100"/>
        </w:rPr>
        <w:t>万家，较</w:t>
      </w:r>
      <w:r>
        <w:rPr>
          <w:spacing w:val="3"/>
          <w:w w:val="100"/>
        </w:rPr>
        <w:t> </w:t>
      </w:r>
      <w:r>
        <w:rPr>
          <w:rFonts w:ascii="宋体" w:hAnsi="宋体" w:cs="宋体" w:eastAsia="宋体" w:hint="default"/>
          <w:spacing w:val="-1"/>
          <w:w w:val="100"/>
        </w:rPr>
        <w:t>2016</w:t>
      </w:r>
      <w:r>
        <w:rPr>
          <w:rFonts w:ascii="宋体" w:hAnsi="宋体" w:cs="宋体" w:eastAsia="宋体" w:hint="default"/>
          <w:w w:val="100"/>
        </w:rPr>
        <w:t> </w:t>
      </w:r>
      <w:r>
        <w:rPr>
          <w:spacing w:val="-2"/>
          <w:w w:val="100"/>
        </w:rPr>
        <w:t>年年末增长</w:t>
      </w:r>
      <w:r>
        <w:rPr>
          <w:spacing w:val="3"/>
          <w:w w:val="100"/>
        </w:rPr>
        <w:t> </w:t>
      </w:r>
      <w:r>
        <w:rPr>
          <w:rFonts w:ascii="宋体" w:hAnsi="宋体" w:cs="宋体" w:eastAsia="宋体" w:hint="default"/>
          <w:spacing w:val="-1"/>
          <w:w w:val="100"/>
        </w:rPr>
        <w:t>47%</w:t>
      </w:r>
      <w:r>
        <w:rPr>
          <w:spacing w:val="-1"/>
          <w:w w:val="100"/>
        </w:rPr>
        <w:t>；</w:t>
      </w:r>
      <w:r>
        <w:rPr>
          <w:spacing w:val="-102"/>
          <w:w w:val="100"/>
        </w:rPr>
        <w:t> </w:t>
      </w:r>
      <w:r>
        <w:rPr/>
        <w:t>付费企业客户数大幅增长；支付业务交易金额完成</w:t>
      </w:r>
      <w:r>
        <w:rPr>
          <w:spacing w:val="-49"/>
        </w:rPr>
        <w:t> </w:t>
      </w:r>
      <w:r>
        <w:rPr>
          <w:rFonts w:ascii="宋体" w:hAnsi="宋体" w:cs="宋体" w:eastAsia="宋体" w:hint="default"/>
        </w:rPr>
        <w:t>2786</w:t>
      </w:r>
      <w:r>
        <w:rPr>
          <w:rFonts w:ascii="宋体" w:hAnsi="宋体" w:cs="宋体" w:eastAsia="宋体" w:hint="default"/>
          <w:spacing w:val="-49"/>
        </w:rPr>
        <w:t> </w:t>
      </w:r>
      <w:r>
        <w:rPr/>
        <w:t>亿元，同比增长</w:t>
      </w:r>
      <w:r>
        <w:rPr>
          <w:spacing w:val="-2"/>
        </w:rPr>
        <w:t> </w:t>
      </w:r>
      <w:r>
        <w:rPr>
          <w:rFonts w:ascii="宋体" w:hAnsi="宋体" w:cs="宋体" w:eastAsia="宋体" w:hint="default"/>
        </w:rPr>
        <w:t>166%</w:t>
      </w:r>
      <w:r>
        <w:rPr/>
        <w:t>；互联网投融资信</w:t>
      </w:r>
      <w:r>
        <w:rPr>
          <w:w w:val="100"/>
        </w:rPr>
        <w:t> </w:t>
      </w:r>
      <w:r>
        <w:rPr/>
        <w:t>息服务业务的累计撮合成交金额</w:t>
      </w:r>
      <w:r>
        <w:rPr>
          <w:spacing w:val="-42"/>
        </w:rPr>
        <w:t> </w:t>
      </w:r>
      <w:r>
        <w:rPr>
          <w:rFonts w:ascii="宋体" w:hAnsi="宋体" w:cs="宋体" w:eastAsia="宋体" w:hint="default"/>
        </w:rPr>
        <w:t>265</w:t>
      </w:r>
      <w:r>
        <w:rPr>
          <w:rFonts w:ascii="宋体" w:hAnsi="宋体" w:cs="宋体" w:eastAsia="宋体" w:hint="default"/>
          <w:spacing w:val="-42"/>
        </w:rPr>
        <w:t> </w:t>
      </w:r>
      <w:r>
        <w:rPr/>
        <w:t>亿元，较</w:t>
      </w:r>
      <w:r>
        <w:rPr>
          <w:spacing w:val="-42"/>
        </w:rPr>
        <w:t> </w:t>
      </w:r>
      <w:r>
        <w:rPr>
          <w:rFonts w:ascii="宋体" w:hAnsi="宋体" w:cs="宋体" w:eastAsia="宋体" w:hint="default"/>
        </w:rPr>
        <w:t>2016</w:t>
      </w:r>
      <w:r>
        <w:rPr>
          <w:rFonts w:ascii="宋体" w:hAnsi="宋体" w:cs="宋体" w:eastAsia="宋体" w:hint="default"/>
          <w:spacing w:val="-41"/>
        </w:rPr>
        <w:t> </w:t>
      </w:r>
      <w:r>
        <w:rPr/>
        <w:t>年年末增长</w:t>
      </w:r>
      <w:r>
        <w:rPr>
          <w:spacing w:val="-42"/>
        </w:rPr>
        <w:t> </w:t>
      </w:r>
      <w:r>
        <w:rPr>
          <w:rFonts w:ascii="宋体" w:hAnsi="宋体" w:cs="宋体" w:eastAsia="宋体" w:hint="default"/>
        </w:rPr>
        <w:t>141%</w:t>
      </w:r>
      <w:r>
        <w:rPr/>
        <w:t>，其中报告期内新增撮合成</w:t>
      </w:r>
    </w:p>
    <w:p>
      <w:pPr>
        <w:pStyle w:val="BodyText"/>
        <w:spacing w:line="240" w:lineRule="auto" w:before="32"/>
        <w:ind w:left="138" w:right="0"/>
        <w:jc w:val="both"/>
      </w:pPr>
      <w:r>
        <w:rPr/>
        <w:t>交金额</w:t>
      </w:r>
      <w:r>
        <w:rPr>
          <w:spacing w:val="-52"/>
        </w:rPr>
        <w:t> </w:t>
      </w:r>
      <w:r>
        <w:rPr>
          <w:rFonts w:ascii="宋体" w:hAnsi="宋体" w:cs="宋体" w:eastAsia="宋体" w:hint="default"/>
        </w:rPr>
        <w:t>155</w:t>
      </w:r>
      <w:r>
        <w:rPr>
          <w:rFonts w:ascii="宋体" w:hAnsi="宋体" w:cs="宋体" w:eastAsia="宋体" w:hint="default"/>
          <w:spacing w:val="-54"/>
        </w:rPr>
        <w:t> </w:t>
      </w:r>
      <w:r>
        <w:rPr/>
        <w:t>亿元。</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spacing w:line="4592" w:lineRule="exact"/>
        <w:ind w:left="557" w:right="0" w:firstLine="0"/>
        <w:rPr>
          <w:rFonts w:ascii="宋体" w:hAnsi="宋体" w:cs="宋体" w:eastAsia="宋体" w:hint="default"/>
          <w:sz w:val="20"/>
          <w:szCs w:val="20"/>
        </w:rPr>
      </w:pPr>
      <w:r>
        <w:rPr>
          <w:rFonts w:ascii="宋体" w:hAnsi="宋体" w:cs="宋体" w:eastAsia="宋体" w:hint="default"/>
          <w:position w:val="-91"/>
          <w:sz w:val="20"/>
          <w:szCs w:val="20"/>
        </w:rPr>
        <w:drawing>
          <wp:inline distT="0" distB="0" distL="0" distR="0">
            <wp:extent cx="5387486" cy="2916174"/>
            <wp:effectExtent l="0" t="0" r="0" b="0"/>
            <wp:docPr id="19" name="image11.png" descr=""/>
            <wp:cNvGraphicFramePr>
              <a:graphicFrameLocks noChangeAspect="1"/>
            </wp:cNvGraphicFramePr>
            <a:graphic>
              <a:graphicData uri="http://schemas.openxmlformats.org/drawingml/2006/picture">
                <pic:pic>
                  <pic:nvPicPr>
                    <pic:cNvPr id="20" name="image11.png"/>
                    <pic:cNvPicPr/>
                  </pic:nvPicPr>
                  <pic:blipFill>
                    <a:blip r:embed="rId25" cstate="print"/>
                    <a:stretch>
                      <a:fillRect/>
                    </a:stretch>
                  </pic:blipFill>
                  <pic:spPr>
                    <a:xfrm>
                      <a:off x="0" y="0"/>
                      <a:ext cx="5387486" cy="2916174"/>
                    </a:xfrm>
                    <a:prstGeom prst="rect">
                      <a:avLst/>
                    </a:prstGeom>
                  </pic:spPr>
                </pic:pic>
              </a:graphicData>
            </a:graphic>
          </wp:inline>
        </w:drawing>
      </w:r>
      <w:r>
        <w:rPr>
          <w:rFonts w:ascii="宋体" w:hAnsi="宋体" w:cs="宋体" w:eastAsia="宋体" w:hint="default"/>
          <w:position w:val="-91"/>
          <w:sz w:val="20"/>
          <w:szCs w:val="20"/>
        </w:rPr>
      </w:r>
    </w:p>
    <w:p>
      <w:pPr>
        <w:spacing w:after="0" w:line="4592" w:lineRule="exact"/>
        <w:rPr>
          <w:rFonts w:ascii="宋体" w:hAnsi="宋体" w:cs="宋体" w:eastAsia="宋体" w:hint="default"/>
          <w:sz w:val="20"/>
          <w:szCs w:val="20"/>
        </w:rPr>
        <w:sectPr>
          <w:pgSz w:w="11910" w:h="16840"/>
          <w:pgMar w:header="855" w:footer="1195" w:top="1320" w:bottom="1380" w:left="1660" w:right="1020"/>
        </w:sectPr>
      </w:pPr>
    </w:p>
    <w:p>
      <w:pPr>
        <w:spacing w:line="240" w:lineRule="auto" w:before="4"/>
        <w:rPr>
          <w:rFonts w:ascii="宋体" w:hAnsi="宋体" w:cs="宋体" w:eastAsia="宋体" w:hint="default"/>
          <w:sz w:val="9"/>
          <w:szCs w:val="9"/>
        </w:rPr>
      </w:pPr>
    </w:p>
    <w:p>
      <w:pPr>
        <w:pStyle w:val="Heading3"/>
        <w:spacing w:line="357" w:lineRule="auto" w:before="36"/>
        <w:ind w:left="138" w:right="3487"/>
        <w:jc w:val="left"/>
        <w:rPr>
          <w:b w:val="0"/>
          <w:bCs w:val="0"/>
        </w:rPr>
      </w:pPr>
      <w:r>
        <w:rPr>
          <w:spacing w:val="-1"/>
        </w:rPr>
        <w:t>（二）报告期内公司各项业务发展情况</w:t>
      </w:r>
      <w:r>
        <w:rPr>
          <w:spacing w:val="-90"/>
        </w:rPr>
        <w:t> </w:t>
      </w:r>
      <w:r>
        <w:rPr>
          <w:spacing w:val="-90"/>
        </w:rPr>
      </w:r>
      <w:r>
        <w:rPr>
          <w:rFonts w:ascii="宋体" w:hAnsi="宋体" w:cs="宋体" w:eastAsia="宋体" w:hint="default"/>
        </w:rPr>
        <w:t>1</w:t>
      </w:r>
      <w:r>
        <w:rPr/>
        <w:t>、云服务业务发展情况</w:t>
      </w:r>
      <w:r>
        <w:rPr>
          <w:b w:val="0"/>
          <w:bCs w:val="0"/>
        </w:rPr>
      </w:r>
    </w:p>
    <w:p>
      <w:pPr>
        <w:pStyle w:val="BodyText"/>
        <w:spacing w:line="355" w:lineRule="auto" w:before="30"/>
        <w:ind w:left="138" w:right="148" w:firstLine="419"/>
        <w:jc w:val="both"/>
      </w:pPr>
      <w:r>
        <w:rPr>
          <w:spacing w:val="-2"/>
        </w:rPr>
        <w:t>报告期内，公司加力、加速云服务发展的力度和速度，关键云产品取得跨越式发展。公司持</w:t>
      </w:r>
      <w:r>
        <w:rPr>
          <w:w w:val="100"/>
        </w:rPr>
        <w:t> </w:t>
      </w:r>
      <w:r>
        <w:rPr>
          <w:spacing w:val="-1"/>
        </w:rPr>
        <w:t>续加强人工智能的应用，打造企业智能服务，公司云平台实现突破性发展。报告期内，公司行业</w:t>
      </w:r>
      <w:r>
        <w:rPr>
          <w:spacing w:val="-55"/>
        </w:rPr>
        <w:t> </w:t>
      </w:r>
      <w:r>
        <w:rPr>
          <w:spacing w:val="-55"/>
        </w:rPr>
      </w:r>
      <w:r>
        <w:rPr/>
        <w:t>云采用聚焦、分步、客户项目驱动策略，行业云取得明显成效。</w:t>
      </w:r>
    </w:p>
    <w:p>
      <w:pPr>
        <w:pStyle w:val="Heading3"/>
        <w:spacing w:line="240" w:lineRule="auto" w:before="32"/>
        <w:ind w:left="138" w:right="0"/>
        <w:jc w:val="left"/>
        <w:rPr>
          <w:b w:val="0"/>
          <w:bCs w:val="0"/>
        </w:rPr>
      </w:pPr>
      <w:r>
        <w:rPr/>
        <w:t>（</w:t>
      </w:r>
      <w:r>
        <w:rPr>
          <w:rFonts w:ascii="宋体" w:hAnsi="宋体" w:cs="宋体" w:eastAsia="宋体" w:hint="default"/>
        </w:rPr>
        <w:t>1</w:t>
      </w:r>
      <w:r>
        <w:rPr/>
        <w:t>）云平台</w:t>
      </w:r>
      <w:r>
        <w:rPr>
          <w:b w:val="0"/>
          <w:bCs w:val="0"/>
        </w:rPr>
      </w:r>
    </w:p>
    <w:p>
      <w:pPr>
        <w:pStyle w:val="BodyText"/>
        <w:spacing w:line="357" w:lineRule="auto" w:before="135"/>
        <w:ind w:left="138" w:right="147" w:firstLine="419"/>
        <w:jc w:val="both"/>
      </w:pPr>
      <w:r>
        <w:rPr/>
        <w:t>报告期内，公司</w:t>
      </w:r>
      <w:r>
        <w:rPr>
          <w:spacing w:val="-51"/>
        </w:rPr>
        <w:t> </w:t>
      </w:r>
      <w:r>
        <w:rPr>
          <w:rFonts w:ascii="宋体" w:hAnsi="宋体" w:cs="宋体" w:eastAsia="宋体" w:hint="default"/>
        </w:rPr>
        <w:t>iuap</w:t>
      </w:r>
      <w:r>
        <w:rPr>
          <w:rFonts w:ascii="宋体" w:hAnsi="宋体" w:cs="宋体" w:eastAsia="宋体" w:hint="default"/>
          <w:spacing w:val="-51"/>
        </w:rPr>
        <w:t> </w:t>
      </w:r>
      <w:r>
        <w:rPr/>
        <w:t>云平台业务实现快速发展。公司持续加强了</w:t>
      </w:r>
      <w:r>
        <w:rPr>
          <w:spacing w:val="-52"/>
        </w:rPr>
        <w:t> </w:t>
      </w:r>
      <w:r>
        <w:rPr>
          <w:rFonts w:ascii="宋体" w:hAnsi="宋体" w:cs="宋体" w:eastAsia="宋体" w:hint="default"/>
        </w:rPr>
        <w:t>PaaS</w:t>
      </w:r>
      <w:r>
        <w:rPr>
          <w:rFonts w:ascii="宋体" w:hAnsi="宋体" w:cs="宋体" w:eastAsia="宋体" w:hint="default"/>
          <w:spacing w:val="-54"/>
        </w:rPr>
        <w:t> </w:t>
      </w:r>
      <w:r>
        <w:rPr/>
        <w:t>平台能力建设，统一</w:t>
      </w:r>
      <w:r>
        <w:rPr>
          <w:w w:val="100"/>
        </w:rPr>
        <w:t> </w:t>
      </w:r>
      <w:r>
        <w:rPr>
          <w:spacing w:val="-3"/>
        </w:rPr>
        <w:t>了用友云技术架构，发布了用友云接入规范，公司云产品快速接入用友云平台；积极推进了 </w:t>
      </w:r>
      <w:r>
        <w:rPr>
          <w:rFonts w:ascii="宋体" w:hAnsi="宋体" w:cs="宋体" w:eastAsia="宋体" w:hint="default"/>
        </w:rPr>
        <w:t>iuap</w:t>
      </w:r>
      <w:r>
        <w:rPr>
          <w:rFonts w:ascii="宋体" w:hAnsi="宋体" w:cs="宋体" w:eastAsia="宋体" w:hint="default"/>
          <w:spacing w:val="-86"/>
        </w:rPr>
        <w:t> </w:t>
      </w:r>
      <w:r>
        <w:rPr>
          <w:rFonts w:ascii="宋体" w:hAnsi="宋体" w:cs="宋体" w:eastAsia="宋体" w:hint="default"/>
          <w:spacing w:val="-86"/>
        </w:rPr>
      </w:r>
      <w:r>
        <w:rPr>
          <w:spacing w:val="-4"/>
        </w:rPr>
        <w:t>云平台服务建设，保障了云服务持续稳定运行；平台</w:t>
      </w:r>
      <w:r>
        <w:rPr>
          <w:rFonts w:ascii="宋体" w:hAnsi="宋体" w:cs="宋体" w:eastAsia="宋体" w:hint="default"/>
          <w:spacing w:val="-4"/>
        </w:rPr>
        <w:t>+</w:t>
      </w:r>
      <w:r>
        <w:rPr>
          <w:spacing w:val="-4"/>
        </w:rPr>
        <w:t>行业方案得到长足发展，同时独立的平台项</w:t>
      </w:r>
      <w:r>
        <w:rPr>
          <w:spacing w:val="-35"/>
        </w:rPr>
        <w:t> </w:t>
      </w:r>
      <w:r>
        <w:rPr>
          <w:spacing w:val="-35"/>
        </w:rPr>
      </w:r>
      <w:r>
        <w:rPr>
          <w:spacing w:val="-4"/>
        </w:rPr>
        <w:t>目和主数据业务增长迅速；公司</w:t>
      </w:r>
      <w:r>
        <w:rPr>
          <w:spacing w:val="-29"/>
        </w:rPr>
        <w:t> </w:t>
      </w:r>
      <w:r>
        <w:rPr>
          <w:rFonts w:ascii="宋体" w:hAnsi="宋体" w:cs="宋体" w:eastAsia="宋体" w:hint="default"/>
        </w:rPr>
        <w:t>iuap</w:t>
      </w:r>
      <w:r>
        <w:rPr>
          <w:rFonts w:ascii="宋体" w:hAnsi="宋体" w:cs="宋体" w:eastAsia="宋体" w:hint="default"/>
          <w:spacing w:val="-29"/>
        </w:rPr>
        <w:t> </w:t>
      </w:r>
      <w:r>
        <w:rPr>
          <w:spacing w:val="-4"/>
        </w:rPr>
        <w:t>云生态取得可喜成果，并成功引入多家平台融合型伙伴，形</w:t>
      </w:r>
      <w:r>
        <w:rPr>
          <w:spacing w:val="-95"/>
        </w:rPr>
        <w:t> </w:t>
      </w:r>
      <w:r>
        <w:rPr>
          <w:spacing w:val="-95"/>
        </w:rPr>
      </w:r>
      <w:r>
        <w:rPr>
          <w:spacing w:val="-1"/>
        </w:rPr>
        <w:t>成了融合型的解决方案，在语音识别、人脸识别、机器学习等领域与知名第三方厂商深度合作，</w:t>
      </w:r>
      <w:r>
        <w:rPr>
          <w:spacing w:val="-55"/>
        </w:rPr>
        <w:t> </w:t>
      </w:r>
      <w:r>
        <w:rPr>
          <w:spacing w:val="-55"/>
        </w:rPr>
      </w:r>
      <w:r>
        <w:rPr/>
        <w:t>为企业快速构建提供</w:t>
      </w:r>
      <w:r>
        <w:rPr>
          <w:spacing w:val="-53"/>
        </w:rPr>
        <w:t> </w:t>
      </w:r>
      <w:r>
        <w:rPr>
          <w:rFonts w:ascii="宋体" w:hAnsi="宋体" w:cs="宋体" w:eastAsia="宋体" w:hint="default"/>
        </w:rPr>
        <w:t>AI+</w:t>
      </w:r>
      <w:r>
        <w:rPr/>
        <w:t>一体化的解决方案。</w:t>
      </w:r>
    </w:p>
    <w:p>
      <w:pPr>
        <w:pStyle w:val="Heading3"/>
        <w:spacing w:line="355" w:lineRule="auto" w:before="30"/>
        <w:ind w:left="138" w:right="7808"/>
        <w:jc w:val="left"/>
        <w:rPr>
          <w:b w:val="0"/>
          <w:bCs w:val="0"/>
        </w:rPr>
      </w:pPr>
      <w:r>
        <w:rPr/>
        <w:t>（</w:t>
      </w:r>
      <w:r>
        <w:rPr>
          <w:rFonts w:ascii="宋体" w:hAnsi="宋体" w:cs="宋体" w:eastAsia="宋体" w:hint="default"/>
        </w:rPr>
        <w:t>2</w:t>
      </w:r>
      <w:r>
        <w:rPr/>
        <w:t>）领域云</w:t>
      </w:r>
      <w:r>
        <w:rPr>
          <w:w w:val="100"/>
        </w:rPr>
        <w:t> </w:t>
      </w:r>
      <w:r>
        <w:rPr>
          <w:rFonts w:ascii="宋体" w:hAnsi="宋体" w:cs="宋体" w:eastAsia="宋体" w:hint="default"/>
        </w:rPr>
        <w:t>1</w:t>
      </w:r>
      <w:r>
        <w:rPr/>
        <w:t>）营销云</w:t>
      </w:r>
      <w:r>
        <w:rPr>
          <w:b w:val="0"/>
          <w:bCs w:val="0"/>
        </w:rPr>
      </w:r>
    </w:p>
    <w:p>
      <w:pPr>
        <w:pStyle w:val="BodyText"/>
        <w:spacing w:line="357" w:lineRule="auto" w:before="32"/>
        <w:ind w:left="138" w:right="148" w:firstLine="419"/>
        <w:jc w:val="both"/>
      </w:pPr>
      <w:r>
        <w:rPr>
          <w:spacing w:val="-2"/>
        </w:rPr>
        <w:t>报告期内，公司发布了渠道云和零售云服务，为大中型品牌企业和连锁零售企业提供全渠道</w:t>
      </w:r>
      <w:r>
        <w:rPr>
          <w:w w:val="100"/>
        </w:rPr>
        <w:t> </w:t>
      </w:r>
      <w:r>
        <w:rPr>
          <w:spacing w:val="-1"/>
        </w:rPr>
        <w:t>管理云平台服务和新零售云服务，得到了市场的广泛认可，签约和交付了一大批百万级、千万级</w:t>
      </w:r>
      <w:r>
        <w:rPr>
          <w:spacing w:val="-55"/>
        </w:rPr>
        <w:t> </w:t>
      </w:r>
      <w:r>
        <w:rPr>
          <w:spacing w:val="-55"/>
        </w:rPr>
      </w:r>
      <w:r>
        <w:rPr>
          <w:spacing w:val="-1"/>
        </w:rPr>
        <w:t>服务大单，典型客户包括曲美、雅戈尔、郎酒等知名企业；并发布了多语言版本，成功签约了海</w:t>
      </w:r>
      <w:r>
        <w:rPr>
          <w:spacing w:val="-55"/>
        </w:rPr>
        <w:t> </w:t>
      </w:r>
      <w:r>
        <w:rPr>
          <w:spacing w:val="-55"/>
        </w:rPr>
      </w:r>
      <w:r>
        <w:rPr/>
        <w:t>外客户。</w:t>
      </w:r>
    </w:p>
    <w:p>
      <w:pPr>
        <w:pStyle w:val="BodyText"/>
        <w:spacing w:line="357" w:lineRule="auto" w:before="30"/>
        <w:ind w:left="138" w:right="147" w:firstLine="419"/>
        <w:jc w:val="both"/>
      </w:pPr>
      <w:r>
        <w:rPr>
          <w:spacing w:val="-2"/>
        </w:rPr>
        <w:t>报告期内，用友秉钧公司围绕丰富场景、完善体验，提高客户营销投放效果；引导伙伴开展</w:t>
      </w:r>
      <w:r>
        <w:rPr>
          <w:w w:val="100"/>
        </w:rPr>
        <w:t> </w:t>
      </w:r>
      <w:r>
        <w:rPr/>
        <w:t>线下沙龙，降低伙伴成交难度。报告期内，红人点点产品累计付费客户数达到</w:t>
      </w:r>
      <w:r>
        <w:rPr>
          <w:spacing w:val="-51"/>
        </w:rPr>
        <w:t> </w:t>
      </w:r>
      <w:r>
        <w:rPr>
          <w:rFonts w:ascii="宋体" w:hAnsi="宋体" w:cs="宋体" w:eastAsia="宋体" w:hint="default"/>
        </w:rPr>
        <w:t>6</w:t>
      </w:r>
      <w:r>
        <w:rPr>
          <w:rFonts w:ascii="宋体" w:hAnsi="宋体" w:cs="宋体" w:eastAsia="宋体" w:hint="default"/>
          <w:spacing w:val="-49"/>
        </w:rPr>
        <w:t> </w:t>
      </w:r>
      <w:r>
        <w:rPr/>
        <w:t>万家，收入实现</w:t>
      </w:r>
      <w:r>
        <w:rPr>
          <w:w w:val="100"/>
        </w:rPr>
        <w:t> </w:t>
      </w:r>
      <w:r>
        <w:rPr/>
        <w:t>快速增长。</w:t>
      </w:r>
    </w:p>
    <w:p>
      <w:pPr>
        <w:pStyle w:val="Heading3"/>
        <w:spacing w:line="240" w:lineRule="auto" w:before="30"/>
        <w:ind w:left="138" w:right="0"/>
        <w:jc w:val="left"/>
        <w:rPr>
          <w:b w:val="0"/>
          <w:bCs w:val="0"/>
        </w:rPr>
      </w:pPr>
      <w:r>
        <w:rPr>
          <w:rFonts w:ascii="宋体" w:hAnsi="宋体" w:cs="宋体" w:eastAsia="宋体" w:hint="default"/>
        </w:rPr>
        <w:t>2</w:t>
      </w:r>
      <w:r>
        <w:rPr/>
        <w:t>）采购云</w:t>
      </w:r>
      <w:r>
        <w:rPr>
          <w:b w:val="0"/>
          <w:bCs w:val="0"/>
        </w:rPr>
      </w:r>
    </w:p>
    <w:p>
      <w:pPr>
        <w:pStyle w:val="BodyText"/>
        <w:spacing w:line="357" w:lineRule="auto" w:before="133"/>
        <w:ind w:left="138" w:right="147" w:firstLine="419"/>
        <w:jc w:val="both"/>
      </w:pPr>
      <w:r>
        <w:rPr>
          <w:spacing w:val="-2"/>
        </w:rPr>
        <w:t>报告期内，公司友云采服务业务坚持采购平台社会化和公有云的发展模式，通过向采购商提</w:t>
      </w:r>
      <w:r>
        <w:rPr>
          <w:w w:val="100"/>
        </w:rPr>
        <w:t> </w:t>
      </w:r>
      <w:r>
        <w:rPr>
          <w:spacing w:val="-1"/>
        </w:rPr>
        <w:t>供采购寻源、招标竞价、采购协同、供应商管理、电子超市等多项服务，将采购商与供应商的线</w:t>
      </w:r>
      <w:r>
        <w:rPr>
          <w:spacing w:val="-55"/>
        </w:rPr>
        <w:t> </w:t>
      </w:r>
      <w:r>
        <w:rPr>
          <w:spacing w:val="-55"/>
        </w:rPr>
      </w:r>
      <w:r>
        <w:rPr>
          <w:spacing w:val="-1"/>
        </w:rPr>
        <w:t>下交易发展到线上，加速企业采购的数字化转型。友云采与苏宁易购、西域、慧聪网等多家生态</w:t>
      </w:r>
      <w:r>
        <w:rPr>
          <w:spacing w:val="-55"/>
        </w:rPr>
        <w:t> </w:t>
      </w:r>
      <w:r>
        <w:rPr>
          <w:spacing w:val="-55"/>
        </w:rPr>
      </w:r>
      <w:r>
        <w:rPr>
          <w:spacing w:val="-1"/>
        </w:rPr>
        <w:t>伙伴进行了深度合作，共同构建采购云生态圈。采购云平台通过了数据中心联盟的可信云认证和</w:t>
      </w:r>
      <w:r>
        <w:rPr>
          <w:spacing w:val="-55"/>
        </w:rPr>
        <w:t> </w:t>
      </w:r>
      <w:r>
        <w:rPr>
          <w:spacing w:val="-55"/>
        </w:rPr>
      </w:r>
      <w:r>
        <w:rPr>
          <w:rFonts w:ascii="宋体" w:hAnsi="宋体" w:cs="宋体" w:eastAsia="宋体" w:hint="default"/>
        </w:rPr>
        <w:t>ISO27001</w:t>
      </w:r>
      <w:r>
        <w:rPr>
          <w:rFonts w:ascii="宋体" w:hAnsi="宋体" w:cs="宋体" w:eastAsia="宋体" w:hint="default"/>
          <w:spacing w:val="-56"/>
        </w:rPr>
        <w:t> </w:t>
      </w:r>
      <w:r>
        <w:rPr/>
        <w:t>认证。报告期内，友云采新增了</w:t>
      </w:r>
      <w:r>
        <w:rPr>
          <w:spacing w:val="-54"/>
        </w:rPr>
        <w:t> </w:t>
      </w:r>
      <w:r>
        <w:rPr>
          <w:rFonts w:ascii="宋体" w:hAnsi="宋体" w:cs="宋体" w:eastAsia="宋体" w:hint="default"/>
        </w:rPr>
        <w:t>1.5</w:t>
      </w:r>
      <w:r>
        <w:rPr>
          <w:rFonts w:ascii="宋体" w:hAnsi="宋体" w:cs="宋体" w:eastAsia="宋体" w:hint="default"/>
          <w:spacing w:val="-56"/>
        </w:rPr>
        <w:t> </w:t>
      </w:r>
      <w:r>
        <w:rPr/>
        <w:t>万家以上的企业客户。</w:t>
      </w:r>
    </w:p>
    <w:p>
      <w:pPr>
        <w:pStyle w:val="Heading3"/>
        <w:spacing w:line="240" w:lineRule="auto" w:before="30"/>
        <w:ind w:left="138" w:right="0"/>
        <w:jc w:val="left"/>
        <w:rPr>
          <w:b w:val="0"/>
          <w:bCs w:val="0"/>
        </w:rPr>
      </w:pPr>
      <w:r>
        <w:rPr>
          <w:rFonts w:ascii="宋体" w:hAnsi="宋体" w:cs="宋体" w:eastAsia="宋体" w:hint="default"/>
        </w:rPr>
        <w:t>3</w:t>
      </w:r>
      <w:r>
        <w:rPr/>
        <w:t>）协同云</w:t>
      </w:r>
      <w:r>
        <w:rPr>
          <w:b w:val="0"/>
          <w:bCs w:val="0"/>
        </w:rPr>
      </w:r>
    </w:p>
    <w:p>
      <w:pPr>
        <w:pStyle w:val="BodyText"/>
        <w:spacing w:line="357" w:lineRule="auto" w:before="133"/>
        <w:ind w:left="138" w:right="150" w:firstLine="419"/>
        <w:jc w:val="both"/>
      </w:pPr>
      <w:r>
        <w:rPr>
          <w:spacing w:val="-2"/>
        </w:rPr>
        <w:t>报告期内，公司友空间产品强化了统一门户、日常办公、团队协作、业务协同、社交沟通、</w:t>
      </w:r>
      <w:r>
        <w:rPr>
          <w:w w:val="100"/>
        </w:rPr>
        <w:t> </w:t>
      </w:r>
      <w:r>
        <w:rPr/>
        <w:t>开放平台等功能覆盖，新增双良集团、泸州老窖集团、鹏飞实业集团等知名企业。</w:t>
      </w:r>
    </w:p>
    <w:p>
      <w:pPr>
        <w:pStyle w:val="Heading3"/>
        <w:spacing w:line="240" w:lineRule="auto" w:before="30"/>
        <w:ind w:left="138" w:right="0"/>
        <w:jc w:val="left"/>
        <w:rPr>
          <w:b w:val="0"/>
          <w:bCs w:val="0"/>
        </w:rPr>
      </w:pPr>
      <w:r>
        <w:rPr>
          <w:rFonts w:ascii="宋体" w:hAnsi="宋体" w:cs="宋体" w:eastAsia="宋体" w:hint="default"/>
        </w:rPr>
        <w:t>4</w:t>
      </w:r>
      <w:r>
        <w:rPr/>
        <w:t>）财务云</w:t>
      </w:r>
      <w:r>
        <w:rPr>
          <w:b w:val="0"/>
          <w:bCs w:val="0"/>
        </w:rPr>
      </w:r>
    </w:p>
    <w:p>
      <w:pPr>
        <w:pStyle w:val="BodyText"/>
        <w:spacing w:line="357" w:lineRule="auto" w:before="133"/>
        <w:ind w:left="138" w:right="150" w:firstLine="419"/>
        <w:jc w:val="both"/>
      </w:pPr>
      <w:r>
        <w:rPr/>
        <w:t>报告期内，公司财务云服务业务聚焦企业商旅、报账等应用痛点，陆续发布了友报账</w:t>
      </w:r>
      <w:r>
        <w:rPr>
          <w:spacing w:val="5"/>
        </w:rPr>
        <w:t> </w:t>
      </w:r>
      <w:r>
        <w:rPr>
          <w:rFonts w:ascii="宋体" w:hAnsi="宋体" w:cs="宋体" w:eastAsia="宋体" w:hint="default"/>
        </w:rPr>
        <w:t>2.0</w:t>
      </w:r>
      <w:r>
        <w:rPr/>
        <w:t>、</w:t>
      </w:r>
      <w:r>
        <w:rPr>
          <w:w w:val="100"/>
        </w:rPr>
        <w:t> </w:t>
      </w:r>
      <w:r>
        <w:rPr/>
        <w:t>财务云核算服务、电子会计档案</w:t>
      </w:r>
      <w:r>
        <w:rPr>
          <w:spacing w:val="-53"/>
        </w:rPr>
        <w:t> </w:t>
      </w:r>
      <w:r>
        <w:rPr>
          <w:rFonts w:ascii="宋体" w:hAnsi="宋体" w:cs="宋体" w:eastAsia="宋体" w:hint="default"/>
        </w:rPr>
        <w:t>2.0</w:t>
      </w:r>
      <w:r>
        <w:rPr>
          <w:rFonts w:ascii="宋体" w:hAnsi="宋体" w:cs="宋体" w:eastAsia="宋体" w:hint="default"/>
          <w:spacing w:val="-55"/>
        </w:rPr>
        <w:t> </w:t>
      </w:r>
      <w:r>
        <w:rPr/>
        <w:t>等财务云服务产品，并实现了业绩高速增长。</w:t>
      </w:r>
    </w:p>
    <w:p>
      <w:pPr>
        <w:pStyle w:val="Heading3"/>
        <w:spacing w:line="240" w:lineRule="auto" w:before="32"/>
        <w:ind w:left="138" w:right="0"/>
        <w:jc w:val="left"/>
        <w:rPr>
          <w:b w:val="0"/>
          <w:bCs w:val="0"/>
        </w:rPr>
      </w:pPr>
      <w:r>
        <w:rPr>
          <w:rFonts w:ascii="宋体" w:hAnsi="宋体" w:cs="宋体" w:eastAsia="宋体" w:hint="default"/>
        </w:rPr>
        <w:t>5</w:t>
      </w:r>
      <w:r>
        <w:rPr/>
        <w:t>）人力云</w:t>
      </w:r>
      <w:r>
        <w:rPr>
          <w:b w:val="0"/>
          <w:bCs w:val="0"/>
        </w:rPr>
      </w:r>
    </w:p>
    <w:p>
      <w:pPr>
        <w:spacing w:after="0" w:line="240" w:lineRule="auto"/>
        <w:jc w:val="left"/>
        <w:sectPr>
          <w:pgSz w:w="11910" w:h="16840"/>
          <w:pgMar w:header="855" w:footer="1195" w:top="1320" w:bottom="1380" w:left="1660" w:right="1120"/>
        </w:sectPr>
      </w:pPr>
    </w:p>
    <w:p>
      <w:pPr>
        <w:spacing w:line="240" w:lineRule="auto" w:before="4"/>
        <w:rPr>
          <w:rFonts w:ascii="宋体" w:hAnsi="宋体" w:cs="宋体" w:eastAsia="宋体" w:hint="default"/>
          <w:b/>
          <w:bCs/>
          <w:sz w:val="9"/>
          <w:szCs w:val="9"/>
        </w:rPr>
      </w:pPr>
    </w:p>
    <w:p>
      <w:pPr>
        <w:pStyle w:val="BodyText"/>
        <w:spacing w:line="357" w:lineRule="auto" w:before="36"/>
        <w:ind w:left="138" w:right="96" w:firstLine="422"/>
        <w:jc w:val="left"/>
      </w:pPr>
      <w:r>
        <w:rPr/>
        <w:t>报告期内，公司友人才在产品服务功能上强化了核心人力资源管理、假勤管理和员工服务，</w:t>
      </w:r>
      <w:r>
        <w:rPr>
          <w:w w:val="100"/>
        </w:rPr>
        <w:t> </w:t>
      </w:r>
      <w:r>
        <w:rPr>
          <w:spacing w:val="-3"/>
        </w:rPr>
        <w:t>发布了多个新应用；完善了与公司</w:t>
      </w:r>
      <w:r>
        <w:rPr>
          <w:spacing w:val="-35"/>
        </w:rPr>
        <w:t> </w:t>
      </w:r>
      <w:r>
        <w:rPr>
          <w:rFonts w:ascii="宋体" w:hAnsi="宋体" w:cs="宋体" w:eastAsia="宋体" w:hint="default"/>
          <w:spacing w:val="-6"/>
        </w:rPr>
        <w:t>NC</w:t>
      </w:r>
      <w:r>
        <w:rPr>
          <w:spacing w:val="-6"/>
        </w:rPr>
        <w:t>、</w:t>
      </w:r>
      <w:r>
        <w:rPr>
          <w:rFonts w:ascii="宋体" w:hAnsi="宋体" w:cs="宋体" w:eastAsia="宋体" w:hint="default"/>
          <w:spacing w:val="-6"/>
        </w:rPr>
        <w:t>U8</w:t>
      </w:r>
      <w:r>
        <w:rPr>
          <w:spacing w:val="-6"/>
        </w:rPr>
        <w:t>、</w:t>
      </w:r>
      <w:r>
        <w:rPr>
          <w:rFonts w:ascii="宋体" w:hAnsi="宋体" w:cs="宋体" w:eastAsia="宋体" w:hint="default"/>
          <w:spacing w:val="-6"/>
        </w:rPr>
        <w:t>U9</w:t>
      </w:r>
      <w:r>
        <w:rPr>
          <w:rFonts w:ascii="宋体" w:hAnsi="宋体" w:cs="宋体" w:eastAsia="宋体" w:hint="default"/>
          <w:spacing w:val="-37"/>
        </w:rPr>
        <w:t> </w:t>
      </w:r>
      <w:r>
        <w:rPr>
          <w:spacing w:val="-4"/>
        </w:rPr>
        <w:t>产品的集成；整合了大易云招聘服务；实现了与智</w:t>
      </w:r>
      <w:r>
        <w:rPr>
          <w:spacing w:val="-60"/>
        </w:rPr>
        <w:t> </w:t>
      </w:r>
      <w:r>
        <w:rPr>
          <w:spacing w:val="-60"/>
        </w:rPr>
      </w:r>
      <w:r>
        <w:rPr/>
        <w:t>联招聘、</w:t>
      </w:r>
      <w:r>
        <w:rPr>
          <w:rFonts w:ascii="宋体" w:hAnsi="宋体" w:cs="宋体" w:eastAsia="宋体" w:hint="default"/>
        </w:rPr>
        <w:t>58</w:t>
      </w:r>
      <w:r>
        <w:rPr>
          <w:rFonts w:ascii="宋体" w:hAnsi="宋体" w:cs="宋体" w:eastAsia="宋体" w:hint="default"/>
          <w:spacing w:val="7"/>
        </w:rPr>
        <w:t> </w:t>
      </w:r>
      <w:r>
        <w:rPr/>
        <w:t>同城等人力资源服务商的业务集成，更好地满足了客户对人力资源服务的整体需求。</w:t>
      </w:r>
      <w:r>
        <w:rPr>
          <w:w w:val="100"/>
        </w:rPr>
        <w:t> </w:t>
      </w:r>
      <w:r>
        <w:rPr/>
        <w:t>新增横店、象屿、青松华药、联想控股等标杆客户，实现了客户数高速增长。</w:t>
      </w:r>
    </w:p>
    <w:p>
      <w:pPr>
        <w:pStyle w:val="BodyText"/>
        <w:spacing w:line="355" w:lineRule="auto" w:before="30"/>
        <w:ind w:left="138" w:right="102" w:firstLine="419"/>
        <w:jc w:val="left"/>
      </w:pPr>
      <w:r>
        <w:rPr>
          <w:spacing w:val="-2"/>
        </w:rPr>
        <w:t>报告期内，薪福社进一步聚焦薪酬服务业务，为客户提供薪酬发放服务业务，实现收入快速</w:t>
      </w:r>
      <w:r>
        <w:rPr>
          <w:w w:val="100"/>
        </w:rPr>
        <w:t> </w:t>
      </w:r>
      <w:r>
        <w:rPr/>
        <w:t>增长，并改善了经营效益。</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spacing w:line="4275" w:lineRule="exact"/>
        <w:ind w:left="557" w:right="0" w:firstLine="0"/>
        <w:rPr>
          <w:rFonts w:ascii="宋体" w:hAnsi="宋体" w:cs="宋体" w:eastAsia="宋体" w:hint="default"/>
          <w:sz w:val="20"/>
          <w:szCs w:val="20"/>
        </w:rPr>
      </w:pPr>
      <w:r>
        <w:rPr>
          <w:rFonts w:ascii="宋体" w:hAnsi="宋体" w:cs="宋体" w:eastAsia="宋体" w:hint="default"/>
          <w:position w:val="-85"/>
          <w:sz w:val="20"/>
          <w:szCs w:val="20"/>
        </w:rPr>
        <w:drawing>
          <wp:inline distT="0" distB="0" distL="0" distR="0">
            <wp:extent cx="5213116" cy="2714625"/>
            <wp:effectExtent l="0" t="0" r="0" b="0"/>
            <wp:docPr id="21" name="image12.jpeg" descr=""/>
            <wp:cNvGraphicFramePr>
              <a:graphicFrameLocks noChangeAspect="1"/>
            </wp:cNvGraphicFramePr>
            <a:graphic>
              <a:graphicData uri="http://schemas.openxmlformats.org/drawingml/2006/picture">
                <pic:pic>
                  <pic:nvPicPr>
                    <pic:cNvPr id="22" name="image12.jpeg"/>
                    <pic:cNvPicPr/>
                  </pic:nvPicPr>
                  <pic:blipFill>
                    <a:blip r:embed="rId26" cstate="print"/>
                    <a:stretch>
                      <a:fillRect/>
                    </a:stretch>
                  </pic:blipFill>
                  <pic:spPr>
                    <a:xfrm>
                      <a:off x="0" y="0"/>
                      <a:ext cx="5213116" cy="2714625"/>
                    </a:xfrm>
                    <a:prstGeom prst="rect">
                      <a:avLst/>
                    </a:prstGeom>
                  </pic:spPr>
                </pic:pic>
              </a:graphicData>
            </a:graphic>
          </wp:inline>
        </w:drawing>
      </w:r>
      <w:r>
        <w:rPr>
          <w:rFonts w:ascii="宋体" w:hAnsi="宋体" w:cs="宋体" w:eastAsia="宋体" w:hint="default"/>
          <w:position w:val="-85"/>
          <w:sz w:val="20"/>
          <w:szCs w:val="20"/>
        </w:rPr>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7"/>
          <w:szCs w:val="17"/>
        </w:rPr>
      </w:pPr>
    </w:p>
    <w:p>
      <w:pPr>
        <w:pStyle w:val="Heading3"/>
        <w:spacing w:line="240" w:lineRule="auto"/>
        <w:ind w:left="138" w:right="102"/>
        <w:jc w:val="left"/>
        <w:rPr>
          <w:rFonts w:ascii="宋体" w:hAnsi="宋体" w:cs="宋体" w:eastAsia="宋体" w:hint="default"/>
          <w:b w:val="0"/>
          <w:bCs w:val="0"/>
        </w:rPr>
      </w:pPr>
      <w:r>
        <w:rPr>
          <w:rFonts w:ascii="宋体" w:hAnsi="宋体" w:cs="宋体" w:eastAsia="宋体" w:hint="default"/>
        </w:rPr>
        <w:t>6</w:t>
      </w:r>
      <w:r>
        <w:rPr/>
        <w:t>）云</w:t>
      </w:r>
      <w:r>
        <w:rPr>
          <w:spacing w:val="-55"/>
        </w:rPr>
        <w:t> </w:t>
      </w:r>
      <w:r>
        <w:rPr>
          <w:rFonts w:ascii="宋体" w:hAnsi="宋体" w:cs="宋体" w:eastAsia="宋体" w:hint="default"/>
        </w:rPr>
        <w:t>ERP</w:t>
      </w:r>
      <w:r>
        <w:rPr>
          <w:rFonts w:ascii="宋体" w:hAnsi="宋体" w:cs="宋体" w:eastAsia="宋体" w:hint="default"/>
          <w:b w:val="0"/>
          <w:bCs w:val="0"/>
        </w:rPr>
      </w:r>
    </w:p>
    <w:p>
      <w:pPr>
        <w:pStyle w:val="BodyText"/>
        <w:spacing w:line="357" w:lineRule="auto" w:before="133"/>
        <w:ind w:left="138" w:right="208" w:firstLine="419"/>
        <w:jc w:val="both"/>
      </w:pPr>
      <w:r>
        <w:rPr/>
        <w:t>报告期第三季度，公司发布了新一代云</w:t>
      </w:r>
      <w:r>
        <w:rPr>
          <w:spacing w:val="-54"/>
        </w:rPr>
        <w:t> </w:t>
      </w:r>
      <w:r>
        <w:rPr>
          <w:rFonts w:ascii="宋体" w:hAnsi="宋体" w:cs="宋体" w:eastAsia="宋体" w:hint="default"/>
        </w:rPr>
        <w:t>ERP</w:t>
      </w:r>
      <w:r>
        <w:rPr>
          <w:rFonts w:ascii="宋体" w:hAnsi="宋体" w:cs="宋体" w:eastAsia="宋体" w:hint="default"/>
          <w:spacing w:val="-54"/>
        </w:rPr>
        <w:t> </w:t>
      </w:r>
      <w:r>
        <w:rPr/>
        <w:t>产品</w:t>
      </w:r>
      <w:r>
        <w:rPr>
          <w:spacing w:val="-53"/>
        </w:rPr>
        <w:t> </w:t>
      </w:r>
      <w:r>
        <w:rPr>
          <w:rFonts w:ascii="宋体" w:hAnsi="宋体" w:cs="宋体" w:eastAsia="宋体" w:hint="default"/>
        </w:rPr>
        <w:t>U8</w:t>
      </w:r>
      <w:r>
        <w:rPr>
          <w:rFonts w:ascii="宋体" w:hAnsi="宋体" w:cs="宋体" w:eastAsia="宋体" w:hint="default"/>
          <w:spacing w:val="-49"/>
        </w:rPr>
        <w:t> </w:t>
      </w:r>
      <w:r>
        <w:rPr>
          <w:rFonts w:ascii="宋体" w:hAnsi="宋体" w:cs="宋体" w:eastAsia="宋体" w:hint="default"/>
        </w:rPr>
        <w:t>cloud</w:t>
      </w:r>
      <w:r>
        <w:rPr/>
        <w:t>。</w:t>
      </w:r>
      <w:r>
        <w:rPr>
          <w:rFonts w:ascii="宋体" w:hAnsi="宋体" w:cs="宋体" w:eastAsia="宋体" w:hint="default"/>
        </w:rPr>
        <w:t>U8</w:t>
      </w:r>
      <w:r>
        <w:rPr>
          <w:rFonts w:ascii="宋体" w:hAnsi="宋体" w:cs="宋体" w:eastAsia="宋体" w:hint="default"/>
          <w:spacing w:val="-49"/>
        </w:rPr>
        <w:t> </w:t>
      </w:r>
      <w:r>
        <w:rPr>
          <w:rFonts w:ascii="宋体" w:hAnsi="宋体" w:cs="宋体" w:eastAsia="宋体" w:hint="default"/>
        </w:rPr>
        <w:t>cloud</w:t>
      </w:r>
      <w:r>
        <w:rPr>
          <w:rFonts w:ascii="宋体" w:hAnsi="宋体" w:cs="宋体" w:eastAsia="宋体" w:hint="default"/>
          <w:spacing w:val="-54"/>
        </w:rPr>
        <w:t> </w:t>
      </w:r>
      <w:r>
        <w:rPr/>
        <w:t>聚焦成长型、创新型企</w:t>
      </w:r>
      <w:r>
        <w:rPr>
          <w:w w:val="100"/>
        </w:rPr>
        <w:t> </w:t>
      </w:r>
      <w:r>
        <w:rPr>
          <w:spacing w:val="-13"/>
        </w:rPr>
        <w:t>业，为企业提供集人、财、物、客、产、供、销于一体的云</w:t>
      </w:r>
      <w:r>
        <w:rPr>
          <w:spacing w:val="-33"/>
        </w:rPr>
        <w:t> </w:t>
      </w:r>
      <w:r>
        <w:rPr>
          <w:rFonts w:ascii="宋体" w:hAnsi="宋体" w:cs="宋体" w:eastAsia="宋体" w:hint="default"/>
        </w:rPr>
        <w:t>ERP</w:t>
      </w:r>
      <w:r>
        <w:rPr>
          <w:rFonts w:ascii="宋体" w:hAnsi="宋体" w:cs="宋体" w:eastAsia="宋体" w:hint="default"/>
          <w:spacing w:val="-33"/>
        </w:rPr>
        <w:t> </w:t>
      </w:r>
      <w:r>
        <w:rPr>
          <w:spacing w:val="-7"/>
        </w:rPr>
        <w:t>整体解决方案。报告期内，</w:t>
      </w:r>
      <w:r>
        <w:rPr>
          <w:rFonts w:ascii="宋体" w:hAnsi="宋体" w:cs="宋体" w:eastAsia="宋体" w:hint="default"/>
          <w:spacing w:val="-7"/>
        </w:rPr>
        <w:t>U8</w:t>
      </w:r>
      <w:r>
        <w:rPr>
          <w:rFonts w:ascii="宋体" w:hAnsi="宋体" w:cs="宋体" w:eastAsia="宋体" w:hint="default"/>
          <w:spacing w:val="-36"/>
        </w:rPr>
        <w:t> </w:t>
      </w:r>
      <w:r>
        <w:rPr>
          <w:rFonts w:ascii="宋体" w:hAnsi="宋体" w:cs="宋体" w:eastAsia="宋体" w:hint="default"/>
        </w:rPr>
        <w:t>cloud</w:t>
      </w:r>
      <w:r>
        <w:rPr>
          <w:rFonts w:ascii="宋体" w:hAnsi="宋体" w:cs="宋体" w:eastAsia="宋体" w:hint="default"/>
          <w:spacing w:val="-95"/>
        </w:rPr>
        <w:t> </w:t>
      </w:r>
      <w:r>
        <w:rPr>
          <w:rFonts w:ascii="宋体" w:hAnsi="宋体" w:cs="宋体" w:eastAsia="宋体" w:hint="default"/>
          <w:spacing w:val="-95"/>
        </w:rPr>
      </w:r>
      <w:r>
        <w:rPr>
          <w:spacing w:val="-3"/>
        </w:rPr>
        <w:t>开展了百余场市场活动，树立了</w:t>
      </w:r>
      <w:r>
        <w:rPr>
          <w:spacing w:val="-45"/>
        </w:rPr>
        <w:t> </w:t>
      </w:r>
      <w:r>
        <w:rPr>
          <w:rFonts w:ascii="宋体" w:hAnsi="宋体" w:cs="宋体" w:eastAsia="宋体" w:hint="default"/>
        </w:rPr>
        <w:t>U8</w:t>
      </w:r>
      <w:r>
        <w:rPr>
          <w:rFonts w:ascii="宋体" w:hAnsi="宋体" w:cs="宋体" w:eastAsia="宋体" w:hint="default"/>
          <w:spacing w:val="-45"/>
        </w:rPr>
        <w:t> </w:t>
      </w:r>
      <w:r>
        <w:rPr>
          <w:rFonts w:ascii="宋体" w:hAnsi="宋体" w:cs="宋体" w:eastAsia="宋体" w:hint="default"/>
        </w:rPr>
        <w:t>cloud</w:t>
      </w:r>
      <w:r>
        <w:rPr>
          <w:rFonts w:ascii="宋体" w:hAnsi="宋体" w:cs="宋体" w:eastAsia="宋体" w:hint="default"/>
          <w:spacing w:val="-45"/>
        </w:rPr>
        <w:t> </w:t>
      </w:r>
      <w:r>
        <w:rPr/>
        <w:t>新一代云</w:t>
      </w:r>
      <w:r>
        <w:rPr>
          <w:spacing w:val="-47"/>
        </w:rPr>
        <w:t> </w:t>
      </w:r>
      <w:r>
        <w:rPr>
          <w:rFonts w:ascii="宋体" w:hAnsi="宋体" w:cs="宋体" w:eastAsia="宋体" w:hint="default"/>
        </w:rPr>
        <w:t>ERP</w:t>
      </w:r>
      <w:r>
        <w:rPr>
          <w:rFonts w:ascii="宋体" w:hAnsi="宋体" w:cs="宋体" w:eastAsia="宋体" w:hint="default"/>
          <w:spacing w:val="-45"/>
        </w:rPr>
        <w:t> </w:t>
      </w:r>
      <w:r>
        <w:rPr>
          <w:spacing w:val="-3"/>
        </w:rPr>
        <w:t>市场品牌形象，为业务发展奠定了良好基</w:t>
      </w:r>
      <w:r>
        <w:rPr>
          <w:spacing w:val="-101"/>
        </w:rPr>
        <w:t> </w:t>
      </w:r>
      <w:r>
        <w:rPr>
          <w:spacing w:val="-101"/>
        </w:rPr>
      </w:r>
      <w:r>
        <w:rPr/>
        <w:t>础。</w:t>
      </w:r>
    </w:p>
    <w:p>
      <w:pPr>
        <w:spacing w:after="0" w:line="357" w:lineRule="auto"/>
        <w:jc w:val="both"/>
        <w:sectPr>
          <w:pgSz w:w="11910" w:h="16840"/>
          <w:pgMar w:header="855" w:footer="1195" w:top="1320" w:bottom="1380" w:left="1660" w:right="1060"/>
        </w:sectPr>
      </w:pPr>
    </w:p>
    <w:p>
      <w:pPr>
        <w:spacing w:line="240" w:lineRule="auto" w:before="10"/>
        <w:rPr>
          <w:rFonts w:ascii="宋体" w:hAnsi="宋体" w:cs="宋体" w:eastAsia="宋体" w:hint="default"/>
          <w:sz w:val="14"/>
          <w:szCs w:val="14"/>
        </w:rPr>
      </w:pPr>
    </w:p>
    <w:p>
      <w:pPr>
        <w:spacing w:line="5456" w:lineRule="exact"/>
        <w:ind w:left="557" w:right="0" w:firstLine="0"/>
        <w:rPr>
          <w:rFonts w:ascii="宋体" w:hAnsi="宋体" w:cs="宋体" w:eastAsia="宋体" w:hint="default"/>
          <w:sz w:val="20"/>
          <w:szCs w:val="20"/>
        </w:rPr>
      </w:pPr>
      <w:r>
        <w:rPr>
          <w:rFonts w:ascii="宋体" w:hAnsi="宋体" w:cs="宋体" w:eastAsia="宋体" w:hint="default"/>
          <w:position w:val="-108"/>
          <w:sz w:val="20"/>
          <w:szCs w:val="20"/>
        </w:rPr>
        <w:drawing>
          <wp:inline distT="0" distB="0" distL="0" distR="0">
            <wp:extent cx="5243570" cy="3465004"/>
            <wp:effectExtent l="0" t="0" r="0" b="0"/>
            <wp:docPr id="23" name="image13.jpeg" descr=""/>
            <wp:cNvGraphicFramePr>
              <a:graphicFrameLocks noChangeAspect="1"/>
            </wp:cNvGraphicFramePr>
            <a:graphic>
              <a:graphicData uri="http://schemas.openxmlformats.org/drawingml/2006/picture">
                <pic:pic>
                  <pic:nvPicPr>
                    <pic:cNvPr id="24" name="image13.jpeg"/>
                    <pic:cNvPicPr/>
                  </pic:nvPicPr>
                  <pic:blipFill>
                    <a:blip r:embed="rId27" cstate="print"/>
                    <a:stretch>
                      <a:fillRect/>
                    </a:stretch>
                  </pic:blipFill>
                  <pic:spPr>
                    <a:xfrm>
                      <a:off x="0" y="0"/>
                      <a:ext cx="5243570" cy="3465004"/>
                    </a:xfrm>
                    <a:prstGeom prst="rect">
                      <a:avLst/>
                    </a:prstGeom>
                  </pic:spPr>
                </pic:pic>
              </a:graphicData>
            </a:graphic>
          </wp:inline>
        </w:drawing>
      </w:r>
      <w:r>
        <w:rPr>
          <w:rFonts w:ascii="宋体" w:hAnsi="宋体" w:cs="宋体" w:eastAsia="宋体" w:hint="default"/>
          <w:position w:val="-108"/>
          <w:sz w:val="20"/>
          <w:szCs w:val="20"/>
        </w:rPr>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pStyle w:val="Heading3"/>
        <w:spacing w:line="355" w:lineRule="auto"/>
        <w:ind w:left="138" w:right="7808"/>
        <w:jc w:val="left"/>
        <w:rPr>
          <w:b w:val="0"/>
          <w:bCs w:val="0"/>
        </w:rPr>
      </w:pPr>
      <w:r>
        <w:rPr/>
        <w:t>（</w:t>
      </w:r>
      <w:r>
        <w:rPr>
          <w:rFonts w:ascii="宋体" w:hAnsi="宋体" w:cs="宋体" w:eastAsia="宋体" w:hint="default"/>
        </w:rPr>
        <w:t>3</w:t>
      </w:r>
      <w:r>
        <w:rPr/>
        <w:t>）行业云</w:t>
      </w:r>
      <w:r>
        <w:rPr>
          <w:w w:val="100"/>
        </w:rPr>
        <w:t> </w:t>
      </w:r>
      <w:r>
        <w:rPr>
          <w:rFonts w:ascii="宋体" w:hAnsi="宋体" w:cs="宋体" w:eastAsia="宋体" w:hint="default"/>
        </w:rPr>
        <w:t>1</w:t>
      </w:r>
      <w:r>
        <w:rPr/>
        <w:t>）工业云</w:t>
      </w:r>
      <w:r>
        <w:rPr>
          <w:b w:val="0"/>
          <w:bCs w:val="0"/>
        </w:rPr>
      </w:r>
    </w:p>
    <w:p>
      <w:pPr>
        <w:pStyle w:val="BodyText"/>
        <w:spacing w:line="357" w:lineRule="auto" w:before="32"/>
        <w:ind w:left="138" w:right="148" w:firstLine="419"/>
        <w:jc w:val="both"/>
      </w:pPr>
      <w:r>
        <w:rPr>
          <w:spacing w:val="-2"/>
        </w:rPr>
        <w:t>报告期内，公司发布了用友工业互联网平台“精智”，该平台完全基于数字化商业场景而设</w:t>
      </w:r>
      <w:r>
        <w:rPr>
          <w:w w:val="100"/>
        </w:rPr>
        <w:t> </w:t>
      </w:r>
      <w:r>
        <w:rPr>
          <w:spacing w:val="-1"/>
        </w:rPr>
        <w:t>计、提供基于数据的场景化智能云服务，融合了互联网与智能制造相关的企业云计算、大数据、</w:t>
      </w:r>
      <w:r>
        <w:rPr>
          <w:spacing w:val="-55"/>
        </w:rPr>
        <w:t> </w:t>
      </w:r>
      <w:r>
        <w:rPr>
          <w:spacing w:val="-55"/>
        </w:rPr>
      </w:r>
      <w:r>
        <w:rPr>
          <w:spacing w:val="-4"/>
        </w:rPr>
        <w:t>物联网、人工智能等技术，提供支撑智能制造的软件和</w:t>
      </w:r>
      <w:r>
        <w:rPr>
          <w:spacing w:val="-26"/>
        </w:rPr>
        <w:t> </w:t>
      </w:r>
      <w:r>
        <w:rPr>
          <w:rFonts w:ascii="宋体" w:hAnsi="宋体" w:cs="宋体" w:eastAsia="宋体" w:hint="default"/>
        </w:rPr>
        <w:t>SaaS</w:t>
      </w:r>
      <w:r>
        <w:rPr>
          <w:rFonts w:ascii="宋体" w:hAnsi="宋体" w:cs="宋体" w:eastAsia="宋体" w:hint="default"/>
          <w:spacing w:val="-30"/>
        </w:rPr>
        <w:t> </w:t>
      </w:r>
      <w:r>
        <w:rPr>
          <w:spacing w:val="-4"/>
        </w:rPr>
        <w:t>服务、提供智能制造应用组件和最佳</w:t>
      </w:r>
      <w:r>
        <w:rPr>
          <w:spacing w:val="-96"/>
        </w:rPr>
        <w:t> </w:t>
      </w:r>
      <w:r>
        <w:rPr>
          <w:spacing w:val="-96"/>
        </w:rPr>
      </w:r>
      <w:r>
        <w:rPr>
          <w:spacing w:val="-1"/>
        </w:rPr>
        <w:t>实践库。报告期内，连续签约鞍钢、深圳特发、大亚圣象、江铜集团、中国振华电子集团等大型</w:t>
      </w:r>
      <w:r>
        <w:rPr>
          <w:spacing w:val="-55"/>
        </w:rPr>
        <w:t> </w:t>
      </w:r>
      <w:r>
        <w:rPr>
          <w:spacing w:val="-55"/>
        </w:rPr>
      </w:r>
      <w:r>
        <w:rPr/>
        <w:t>集团客户。</w:t>
      </w:r>
    </w:p>
    <w:p>
      <w:pPr>
        <w:pStyle w:val="BodyText"/>
        <w:spacing w:line="357" w:lineRule="auto" w:before="30"/>
        <w:ind w:left="138" w:right="148" w:firstLine="419"/>
        <w:jc w:val="both"/>
      </w:pPr>
      <w:r>
        <w:rPr>
          <w:spacing w:val="-4"/>
        </w:rPr>
        <w:t>报告期内，公司发布用友智能工厂 </w:t>
      </w:r>
      <w:r>
        <w:rPr>
          <w:rFonts w:ascii="宋体" w:hAnsi="宋体" w:cs="宋体" w:eastAsia="宋体" w:hint="default"/>
        </w:rPr>
        <w:t>2.0</w:t>
      </w:r>
      <w:r>
        <w:rPr>
          <w:rFonts w:ascii="宋体" w:hAnsi="宋体" w:cs="宋体" w:eastAsia="宋体" w:hint="default"/>
          <w:spacing w:val="-50"/>
        </w:rPr>
        <w:t> </w:t>
      </w:r>
      <w:r>
        <w:rPr>
          <w:spacing w:val="-9"/>
        </w:rPr>
        <w:t>版，借助移动互联网、工业物联网、大数据、云计算、</w:t>
      </w:r>
      <w:r>
        <w:rPr>
          <w:w w:val="100"/>
        </w:rPr>
        <w:t> </w:t>
      </w:r>
      <w:r>
        <w:rPr>
          <w:spacing w:val="-1"/>
        </w:rPr>
        <w:t>人工智能等先进技术，重点实现工厂建模、业务建模、智能排程、智能调度、智能物流、智能采</w:t>
      </w:r>
      <w:r>
        <w:rPr>
          <w:spacing w:val="-55"/>
        </w:rPr>
        <w:t> </w:t>
      </w:r>
      <w:r>
        <w:rPr>
          <w:spacing w:val="-55"/>
        </w:rPr>
      </w:r>
      <w:r>
        <w:rPr>
          <w:spacing w:val="-1"/>
        </w:rPr>
        <w:t>集、品质管理、设备管理、能源管理、智能监控与分析等功能，赋能工业企业，让工厂管理更智</w:t>
      </w:r>
      <w:r>
        <w:rPr>
          <w:spacing w:val="-55"/>
        </w:rPr>
        <w:t> </w:t>
      </w:r>
      <w:r>
        <w:rPr>
          <w:spacing w:val="-55"/>
        </w:rPr>
      </w:r>
      <w:r>
        <w:rPr/>
        <w:t>能；并实现了与</w:t>
      </w:r>
      <w:r>
        <w:rPr>
          <w:spacing w:val="-54"/>
        </w:rPr>
        <w:t> </w:t>
      </w:r>
      <w:r>
        <w:rPr>
          <w:rFonts w:ascii="宋体" w:hAnsi="宋体" w:cs="宋体" w:eastAsia="宋体" w:hint="default"/>
        </w:rPr>
        <w:t>NC</w:t>
      </w:r>
      <w:r>
        <w:rPr/>
        <w:t>、</w:t>
      </w:r>
      <w:r>
        <w:rPr>
          <w:rFonts w:ascii="宋体" w:hAnsi="宋体" w:cs="宋体" w:eastAsia="宋体" w:hint="default"/>
        </w:rPr>
        <w:t>U9</w:t>
      </w:r>
      <w:r>
        <w:rPr>
          <w:rFonts w:ascii="宋体" w:hAnsi="宋体" w:cs="宋体" w:eastAsia="宋体" w:hint="default"/>
          <w:spacing w:val="-55"/>
        </w:rPr>
        <w:t> </w:t>
      </w:r>
      <w:r>
        <w:rPr/>
        <w:t>等用友</w:t>
      </w:r>
      <w:r>
        <w:rPr>
          <w:spacing w:val="-54"/>
        </w:rPr>
        <w:t> </w:t>
      </w:r>
      <w:r>
        <w:rPr>
          <w:rFonts w:ascii="宋体" w:hAnsi="宋体" w:cs="宋体" w:eastAsia="宋体" w:hint="default"/>
        </w:rPr>
        <w:t>ERP</w:t>
      </w:r>
      <w:r>
        <w:rPr>
          <w:rFonts w:ascii="宋体" w:hAnsi="宋体" w:cs="宋体" w:eastAsia="宋体" w:hint="default"/>
          <w:spacing w:val="-54"/>
        </w:rPr>
        <w:t> </w:t>
      </w:r>
      <w:r>
        <w:rPr/>
        <w:t>产品全面集成、互联互通。</w:t>
      </w:r>
    </w:p>
    <w:p>
      <w:pPr>
        <w:pStyle w:val="BodyText"/>
        <w:spacing w:line="355" w:lineRule="auto" w:before="30"/>
        <w:ind w:left="138" w:right="150" w:firstLine="419"/>
        <w:jc w:val="both"/>
      </w:pPr>
      <w:r>
        <w:rPr>
          <w:spacing w:val="-2"/>
        </w:rPr>
        <w:t>报告期内，公司入选工信部第一批智能制造系统解决方案供应商推荐目录；近几年来，公司</w:t>
      </w:r>
      <w:r>
        <w:rPr>
          <w:w w:val="100"/>
        </w:rPr>
        <w:t> </w:t>
      </w:r>
      <w:r>
        <w:rPr/>
        <w:t>参与的国家级智能制造试点示范项目、智能制造综合标准化与新模式应用项目共计</w:t>
      </w:r>
      <w:r>
        <w:rPr>
          <w:spacing w:val="-54"/>
        </w:rPr>
        <w:t> </w:t>
      </w:r>
      <w:r>
        <w:rPr>
          <w:rFonts w:ascii="宋体" w:hAnsi="宋体" w:cs="宋体" w:eastAsia="宋体" w:hint="default"/>
        </w:rPr>
        <w:t>60</w:t>
      </w:r>
      <w:r>
        <w:rPr>
          <w:rFonts w:ascii="宋体" w:hAnsi="宋体" w:cs="宋体" w:eastAsia="宋体" w:hint="default"/>
          <w:spacing w:val="-56"/>
        </w:rPr>
        <w:t> </w:t>
      </w:r>
      <w:r>
        <w:rPr/>
        <w:t>项。</w:t>
      </w:r>
    </w:p>
    <w:p>
      <w:pPr>
        <w:pStyle w:val="BodyText"/>
        <w:spacing w:line="357" w:lineRule="auto" w:before="32"/>
        <w:ind w:left="138" w:right="150" w:firstLine="419"/>
        <w:jc w:val="both"/>
      </w:pPr>
      <w:r>
        <w:rPr>
          <w:spacing w:val="-2"/>
        </w:rPr>
        <w:t>报告期内，公司与江西省政府、浙江省经济和信息化委员会、湖北省经济和信息化委员会等</w:t>
      </w:r>
      <w:r>
        <w:rPr>
          <w:w w:val="100"/>
        </w:rPr>
        <w:t> </w:t>
      </w:r>
      <w:r>
        <w:rPr/>
        <w:t>签署战略合作协议，推动区域工业云项目建设，助推企业上云。</w:t>
      </w:r>
    </w:p>
    <w:p>
      <w:pPr>
        <w:pStyle w:val="Heading3"/>
        <w:spacing w:line="240" w:lineRule="auto" w:before="30"/>
        <w:ind w:left="138" w:right="0"/>
        <w:jc w:val="left"/>
        <w:rPr>
          <w:b w:val="0"/>
          <w:bCs w:val="0"/>
        </w:rPr>
      </w:pPr>
      <w:r>
        <w:rPr>
          <w:rFonts w:ascii="宋体" w:hAnsi="宋体" w:cs="宋体" w:eastAsia="宋体" w:hint="default"/>
        </w:rPr>
        <w:t>2</w:t>
      </w:r>
      <w:r>
        <w:rPr/>
        <w:t>）建筑行业云</w:t>
      </w:r>
      <w:r>
        <w:rPr>
          <w:b w:val="0"/>
          <w:bCs w:val="0"/>
        </w:rPr>
      </w:r>
    </w:p>
    <w:p>
      <w:pPr>
        <w:pStyle w:val="BodyText"/>
        <w:spacing w:line="357" w:lineRule="auto" w:before="133"/>
        <w:ind w:left="138" w:right="147" w:firstLine="419"/>
        <w:jc w:val="both"/>
      </w:pPr>
      <w:r>
        <w:rPr>
          <w:spacing w:val="-2"/>
        </w:rPr>
        <w:t>报告期内，用友建筑公司加大加快了建筑企业互联网开放平台的研发和迭代发展，平台初具</w:t>
      </w:r>
      <w:r>
        <w:rPr>
          <w:w w:val="100"/>
        </w:rPr>
        <w:t> </w:t>
      </w:r>
      <w:r>
        <w:rPr/>
        <w:t>规模，试点取得阶段性成果；积极推广了</w:t>
      </w:r>
      <w:r>
        <w:rPr>
          <w:spacing w:val="-35"/>
        </w:rPr>
        <w:t> </w:t>
      </w:r>
      <w:r>
        <w:rPr>
          <w:rFonts w:ascii="宋体" w:hAnsi="宋体" w:cs="宋体" w:eastAsia="宋体" w:hint="default"/>
        </w:rPr>
        <w:t>i</w:t>
      </w:r>
      <w:r>
        <w:rPr>
          <w:rFonts w:ascii="宋体" w:hAnsi="宋体" w:cs="宋体" w:eastAsia="宋体" w:hint="default"/>
          <w:spacing w:val="-33"/>
        </w:rPr>
        <w:t> </w:t>
      </w:r>
      <w:r>
        <w:rPr/>
        <w:t>建造、</w:t>
      </w:r>
      <w:r>
        <w:rPr>
          <w:rFonts w:ascii="宋体" w:hAnsi="宋体" w:cs="宋体" w:eastAsia="宋体" w:hint="default"/>
        </w:rPr>
        <w:t>i</w:t>
      </w:r>
      <w:r>
        <w:rPr>
          <w:rFonts w:ascii="宋体" w:hAnsi="宋体" w:cs="宋体" w:eastAsia="宋体" w:hint="default"/>
          <w:spacing w:val="-33"/>
        </w:rPr>
        <w:t> </w:t>
      </w:r>
      <w:r>
        <w:rPr/>
        <w:t>设计、筑云采及水平云产品，得到行业高度</w:t>
      </w:r>
      <w:r>
        <w:rPr>
          <w:w w:val="100"/>
        </w:rPr>
        <w:t> </w:t>
      </w:r>
      <w:r>
        <w:rPr/>
        <w:t>认同。</w:t>
      </w:r>
    </w:p>
    <w:p>
      <w:pPr>
        <w:spacing w:after="0" w:line="357" w:lineRule="auto"/>
        <w:jc w:val="both"/>
        <w:sectPr>
          <w:pgSz w:w="11910" w:h="16840"/>
          <w:pgMar w:header="855" w:footer="1195" w:top="1320" w:bottom="1380" w:left="1660" w:right="1120"/>
        </w:sectPr>
      </w:pPr>
    </w:p>
    <w:p>
      <w:pPr>
        <w:spacing w:line="240" w:lineRule="auto" w:before="4"/>
        <w:rPr>
          <w:rFonts w:ascii="宋体" w:hAnsi="宋体" w:cs="宋体" w:eastAsia="宋体" w:hint="default"/>
          <w:sz w:val="9"/>
          <w:szCs w:val="9"/>
        </w:rPr>
      </w:pPr>
    </w:p>
    <w:p>
      <w:pPr>
        <w:pStyle w:val="Heading3"/>
        <w:spacing w:line="240" w:lineRule="auto" w:before="36"/>
        <w:ind w:left="138" w:right="102"/>
        <w:jc w:val="left"/>
        <w:rPr>
          <w:b w:val="0"/>
          <w:bCs w:val="0"/>
        </w:rPr>
      </w:pPr>
      <w:r>
        <w:rPr>
          <w:rFonts w:ascii="宋体" w:hAnsi="宋体" w:cs="宋体" w:eastAsia="宋体" w:hint="default"/>
        </w:rPr>
        <w:t>3</w:t>
      </w:r>
      <w:r>
        <w:rPr/>
        <w:t>）餐饮行业云</w:t>
      </w:r>
      <w:r>
        <w:rPr>
          <w:b w:val="0"/>
          <w:bCs w:val="0"/>
        </w:rPr>
      </w:r>
    </w:p>
    <w:p>
      <w:pPr>
        <w:pStyle w:val="BodyText"/>
        <w:spacing w:line="345" w:lineRule="auto" w:before="135"/>
        <w:ind w:left="138" w:right="98" w:firstLine="419"/>
        <w:jc w:val="left"/>
      </w:pPr>
      <w:r>
        <w:rPr/>
        <w:t>报告期内，餐饮云服务业务发布了红火台企业用餐服务平台，解决企业客户商业用餐预定需</w:t>
      </w:r>
      <w:r>
        <w:rPr>
          <w:w w:val="100"/>
        </w:rPr>
        <w:t> </w:t>
      </w:r>
      <w:r>
        <w:rPr/>
        <w:t>求；发布红火台智能云 </w:t>
      </w:r>
      <w:r>
        <w:rPr>
          <w:rFonts w:ascii="Times New Roman" w:hAnsi="Times New Roman" w:cs="Times New Roman" w:eastAsia="Times New Roman" w:hint="default"/>
        </w:rPr>
        <w:t>POS</w:t>
      </w:r>
      <w:r>
        <w:rPr>
          <w:rFonts w:ascii="Times New Roman" w:hAnsi="Times New Roman" w:cs="Times New Roman" w:eastAsia="Times New Roman" w:hint="default"/>
          <w:spacing w:val="-13"/>
        </w:rPr>
        <w:t> </w:t>
      </w:r>
      <w:r>
        <w:rPr/>
        <w:t>产品，解决餐饮企业特别是火锅、正餐业态的点餐收银需求；同时，</w:t>
      </w:r>
      <w:r>
        <w:rPr>
          <w:w w:val="100"/>
        </w:rPr>
        <w:t> </w:t>
      </w:r>
      <w:r>
        <w:rPr/>
        <w:t>海底捞上云项目在全国门店上线，海底捞智慧项目陆续上线。</w:t>
      </w:r>
    </w:p>
    <w:p>
      <w:pPr>
        <w:pStyle w:val="Heading3"/>
        <w:spacing w:line="240" w:lineRule="auto" w:before="40"/>
        <w:ind w:left="138" w:right="102"/>
        <w:jc w:val="left"/>
        <w:rPr>
          <w:b w:val="0"/>
          <w:bCs w:val="0"/>
        </w:rPr>
      </w:pPr>
      <w:r>
        <w:rPr>
          <w:rFonts w:ascii="宋体" w:hAnsi="宋体" w:cs="宋体" w:eastAsia="宋体" w:hint="default"/>
        </w:rPr>
        <w:t>4</w:t>
      </w:r>
      <w:r>
        <w:rPr/>
        <w:t>）金融行业云</w:t>
      </w:r>
      <w:r>
        <w:rPr>
          <w:b w:val="0"/>
          <w:bCs w:val="0"/>
        </w:rPr>
      </w:r>
    </w:p>
    <w:p>
      <w:pPr>
        <w:pStyle w:val="BodyText"/>
        <w:spacing w:line="350" w:lineRule="auto" w:before="133"/>
        <w:ind w:left="138" w:right="208" w:firstLine="419"/>
        <w:jc w:val="both"/>
      </w:pPr>
      <w:r>
        <w:rPr>
          <w:spacing w:val="-2"/>
        </w:rPr>
        <w:t>报告期内，用友金融公司面向金控、企业金融及互联网金融目标客户群，构建以交易系统为</w:t>
      </w:r>
      <w:r>
        <w:rPr>
          <w:w w:val="100"/>
        </w:rPr>
        <w:t> </w:t>
      </w:r>
      <w:r>
        <w:rPr>
          <w:spacing w:val="-7"/>
          <w:w w:val="100"/>
        </w:rPr>
        <w:t>主、“平台</w:t>
      </w:r>
      <w:r>
        <w:rPr>
          <w:rFonts w:ascii="Times New Roman" w:hAnsi="Times New Roman" w:cs="Times New Roman" w:eastAsia="Times New Roman" w:hint="default"/>
          <w:spacing w:val="-7"/>
          <w:w w:val="100"/>
        </w:rPr>
        <w:t>+</w:t>
      </w:r>
      <w:r>
        <w:rPr>
          <w:spacing w:val="-7"/>
          <w:w w:val="100"/>
        </w:rPr>
        <w:t>应用</w:t>
      </w:r>
      <w:r>
        <w:rPr>
          <w:rFonts w:ascii="Times New Roman" w:hAnsi="Times New Roman" w:cs="Times New Roman" w:eastAsia="Times New Roman" w:hint="default"/>
          <w:spacing w:val="-7"/>
          <w:w w:val="100"/>
        </w:rPr>
        <w:t>+</w:t>
      </w:r>
      <w:r>
        <w:rPr>
          <w:spacing w:val="-7"/>
          <w:w w:val="100"/>
        </w:rPr>
        <w:t>运营”的链融云生态金融平台；发布了链融云财务管理系统、云保理业务系统、</w:t>
      </w:r>
      <w:r>
        <w:rPr>
          <w:spacing w:val="-85"/>
          <w:w w:val="100"/>
        </w:rPr>
        <w:t> </w:t>
      </w:r>
      <w:r>
        <w:rPr>
          <w:spacing w:val="-85"/>
          <w:w w:val="100"/>
        </w:rPr>
      </w:r>
      <w:r>
        <w:rPr>
          <w:spacing w:val="-1"/>
        </w:rPr>
        <w:t>云小贷业务系统、云融资租赁业务系统、云保险经纪业务系统；成功签约华夏恒邦保险、大地保</w:t>
      </w:r>
      <w:r>
        <w:rPr>
          <w:spacing w:val="-55"/>
        </w:rPr>
        <w:t> </w:t>
      </w:r>
      <w:r>
        <w:rPr>
          <w:spacing w:val="-55"/>
        </w:rPr>
      </w:r>
      <w:r>
        <w:rPr/>
        <w:t>险、裕国融资租赁、泉州汇鑫小额贷款等样板客户。</w:t>
      </w:r>
    </w:p>
    <w:p>
      <w:pPr>
        <w:pStyle w:val="Heading3"/>
        <w:spacing w:line="240" w:lineRule="auto" w:before="36"/>
        <w:ind w:left="138" w:right="102"/>
        <w:jc w:val="left"/>
        <w:rPr>
          <w:b w:val="0"/>
          <w:bCs w:val="0"/>
        </w:rPr>
      </w:pPr>
      <w:r>
        <w:rPr>
          <w:rFonts w:ascii="宋体" w:hAnsi="宋体" w:cs="宋体" w:eastAsia="宋体" w:hint="default"/>
        </w:rPr>
        <w:t>5</w:t>
      </w:r>
      <w:r>
        <w:rPr/>
        <w:t>）财政行业云</w:t>
      </w:r>
      <w:r>
        <w:rPr>
          <w:b w:val="0"/>
          <w:bCs w:val="0"/>
        </w:rPr>
      </w:r>
    </w:p>
    <w:p>
      <w:pPr>
        <w:pStyle w:val="BodyText"/>
        <w:spacing w:line="355" w:lineRule="auto" w:before="135"/>
        <w:ind w:left="138" w:right="207" w:firstLine="419"/>
        <w:jc w:val="both"/>
      </w:pPr>
      <w:r>
        <w:rPr>
          <w:spacing w:val="-7"/>
          <w:w w:val="100"/>
        </w:rPr>
        <w:t>报告期内，用友政务公司资产云的单位资产、部门资产和财政资产三大资产服务已正式上线。</w:t>
      </w:r>
      <w:r>
        <w:rPr>
          <w:w w:val="100"/>
        </w:rPr>
        <w:t> </w:t>
      </w:r>
      <w:r>
        <w:rPr>
          <w:spacing w:val="-1"/>
        </w:rPr>
        <w:t>长沙市政府采购电子卖场正式上线运行，标志着政府采购云服务从应用推广进入运营阶段；完成</w:t>
      </w:r>
      <w:r>
        <w:rPr>
          <w:spacing w:val="-55"/>
        </w:rPr>
        <w:t> </w:t>
      </w:r>
      <w:r>
        <w:rPr>
          <w:spacing w:val="-55"/>
        </w:rPr>
      </w:r>
      <w:r>
        <w:rPr/>
        <w:t>海关总署</w:t>
      </w:r>
      <w:r>
        <w:rPr>
          <w:spacing w:val="-53"/>
        </w:rPr>
        <w:t> </w:t>
      </w:r>
      <w:r>
        <w:rPr>
          <w:rFonts w:ascii="Times New Roman" w:hAnsi="Times New Roman" w:cs="Times New Roman" w:eastAsia="Times New Roman" w:hint="default"/>
        </w:rPr>
        <w:t>12360</w:t>
      </w:r>
      <w:r>
        <w:rPr>
          <w:rFonts w:ascii="Times New Roman" w:hAnsi="Times New Roman" w:cs="Times New Roman" w:eastAsia="Times New Roman" w:hint="default"/>
          <w:spacing w:val="-3"/>
        </w:rPr>
        <w:t> </w:t>
      </w:r>
      <w:r>
        <w:rPr/>
        <w:t>移动端等政府服务云项目建设。</w:t>
      </w:r>
    </w:p>
    <w:p>
      <w:pPr>
        <w:pStyle w:val="Heading3"/>
        <w:spacing w:line="240" w:lineRule="auto" w:before="5"/>
        <w:ind w:left="138" w:right="102"/>
        <w:jc w:val="left"/>
        <w:rPr>
          <w:b w:val="0"/>
          <w:bCs w:val="0"/>
        </w:rPr>
      </w:pPr>
      <w:r>
        <w:rPr>
          <w:rFonts w:ascii="宋体" w:hAnsi="宋体" w:cs="宋体" w:eastAsia="宋体" w:hint="default"/>
        </w:rPr>
        <w:t>6</w:t>
      </w:r>
      <w:r>
        <w:rPr/>
        <w:t>）教育行业云</w:t>
      </w:r>
      <w:r>
        <w:rPr>
          <w:b w:val="0"/>
          <w:bCs w:val="0"/>
        </w:rPr>
      </w:r>
    </w:p>
    <w:p>
      <w:pPr>
        <w:pStyle w:val="BodyText"/>
        <w:spacing w:line="357" w:lineRule="auto" w:before="133"/>
        <w:ind w:left="138" w:right="102" w:firstLine="419"/>
        <w:jc w:val="left"/>
      </w:pPr>
      <w:r>
        <w:rPr>
          <w:spacing w:val="-4"/>
          <w:w w:val="100"/>
        </w:rPr>
        <w:t>报告期内，新道科技推出了“新道云”，实现对教育服务的支撑与落地。在双模驱动策略下，</w:t>
      </w:r>
      <w:r>
        <w:rPr>
          <w:w w:val="100"/>
        </w:rPr>
        <w:t> </w:t>
      </w:r>
      <w:r>
        <w:rPr/>
        <w:t>公司新研发产品也全面实现了软件平台与互联网服务的双驱动，实现互联网化远程双师授课、远</w:t>
      </w:r>
      <w:r>
        <w:rPr>
          <w:spacing w:val="-97"/>
        </w:rPr>
        <w:t> </w:t>
      </w:r>
      <w:r>
        <w:rPr>
          <w:spacing w:val="-97"/>
        </w:rPr>
      </w:r>
      <w:r>
        <w:rPr/>
        <w:t>程服务模式，解决院校和老师的产品交付、教学的困惑。</w:t>
      </w:r>
    </w:p>
    <w:p>
      <w:pPr>
        <w:pStyle w:val="Heading3"/>
        <w:spacing w:line="240" w:lineRule="auto" w:before="30"/>
        <w:ind w:left="138" w:right="102"/>
        <w:jc w:val="left"/>
        <w:rPr>
          <w:b w:val="0"/>
          <w:bCs w:val="0"/>
        </w:rPr>
      </w:pPr>
      <w:r>
        <w:rPr>
          <w:rFonts w:ascii="宋体" w:hAnsi="宋体" w:cs="宋体" w:eastAsia="宋体" w:hint="default"/>
        </w:rPr>
        <w:t>7</w:t>
      </w:r>
      <w:r>
        <w:rPr/>
        <w:t>）医疗行业云</w:t>
      </w:r>
      <w:r>
        <w:rPr>
          <w:b w:val="0"/>
          <w:bCs w:val="0"/>
        </w:rPr>
      </w:r>
    </w:p>
    <w:p>
      <w:pPr>
        <w:pStyle w:val="BodyText"/>
        <w:spacing w:line="357" w:lineRule="auto" w:before="133"/>
        <w:ind w:left="138" w:right="208" w:firstLine="419"/>
        <w:jc w:val="both"/>
      </w:pPr>
      <w:r>
        <w:rPr>
          <w:spacing w:val="-2"/>
        </w:rPr>
        <w:t>报告期内，用友医疗公司成功开发了多项创新云服务，业务涵盖医疗物资采购、医疗数据分</w:t>
      </w:r>
      <w:r>
        <w:rPr>
          <w:w w:val="100"/>
        </w:rPr>
        <w:t> </w:t>
      </w:r>
      <w:r>
        <w:rPr>
          <w:spacing w:val="-1"/>
        </w:rPr>
        <w:t>析、移动办公社交等多个领域；无忧医采通过优化医院采购全流程，提高供应商的供货质量和供</w:t>
      </w:r>
      <w:r>
        <w:rPr>
          <w:spacing w:val="-55"/>
        </w:rPr>
        <w:t> </w:t>
      </w:r>
      <w:r>
        <w:rPr>
          <w:spacing w:val="-55"/>
        </w:rPr>
      </w:r>
      <w:r>
        <w:rPr/>
        <w:t>货效率。报告期内，云服务客户数量和云服务收入实现高速增长。</w:t>
      </w:r>
    </w:p>
    <w:p>
      <w:pPr>
        <w:pStyle w:val="Heading3"/>
        <w:spacing w:line="240" w:lineRule="auto" w:before="30"/>
        <w:ind w:left="138" w:right="102"/>
        <w:jc w:val="left"/>
        <w:rPr>
          <w:b w:val="0"/>
          <w:bCs w:val="0"/>
        </w:rPr>
      </w:pPr>
      <w:r>
        <w:rPr>
          <w:rFonts w:ascii="Times New Roman" w:hAnsi="Times New Roman" w:cs="Times New Roman" w:eastAsia="Times New Roman" w:hint="default"/>
        </w:rPr>
        <w:t>8</w:t>
      </w:r>
      <w:r>
        <w:rPr/>
        <w:t>）汽车行业云</w:t>
      </w:r>
      <w:r>
        <w:rPr>
          <w:b w:val="0"/>
          <w:bCs w:val="0"/>
        </w:rPr>
      </w:r>
    </w:p>
    <w:p>
      <w:pPr>
        <w:pStyle w:val="BodyText"/>
        <w:spacing w:line="348" w:lineRule="auto" w:before="117"/>
        <w:ind w:left="138" w:right="204" w:firstLine="419"/>
        <w:jc w:val="left"/>
        <w:rPr>
          <w:rFonts w:ascii="宋体" w:hAnsi="宋体" w:cs="宋体" w:eastAsia="宋体" w:hint="default"/>
        </w:rPr>
      </w:pPr>
      <w:r>
        <w:rPr/>
        <w:t>报告期内，用友汽车公司的车商云服务业务包含经销商互联网增值服务平台和经销商</w:t>
      </w:r>
      <w:r>
        <w:rPr>
          <w:spacing w:val="91"/>
        </w:rPr>
        <w:t> </w:t>
      </w:r>
      <w:r>
        <w:rPr>
          <w:rFonts w:ascii="Times New Roman" w:hAnsi="Times New Roman" w:cs="Times New Roman" w:eastAsia="Times New Roman" w:hint="default"/>
        </w:rPr>
        <w:t>SaaS</w:t>
      </w:r>
      <w:r>
        <w:rPr>
          <w:rFonts w:ascii="Times New Roman" w:hAnsi="Times New Roman" w:cs="Times New Roman" w:eastAsia="Times New Roman" w:hint="default"/>
          <w:w w:val="100"/>
        </w:rPr>
        <w:t> </w:t>
      </w:r>
      <w:r>
        <w:rPr/>
        <w:t>服务平台，互联网增值服务平台推出了取送车、聚合支付、电子发票等集成服务。</w:t>
      </w:r>
      <w:r>
        <w:rPr>
          <w:w w:val="100"/>
        </w:rPr>
        <w:t> </w:t>
      </w:r>
      <w:r>
        <w:rPr>
          <w:rFonts w:ascii="宋体" w:hAnsi="宋体" w:cs="宋体" w:eastAsia="宋体" w:hint="default"/>
          <w:b/>
          <w:bCs/>
        </w:rPr>
        <w:t>9</w:t>
      </w:r>
      <w:r>
        <w:rPr>
          <w:rFonts w:ascii="宋体" w:hAnsi="宋体" w:cs="宋体" w:eastAsia="宋体" w:hint="default"/>
          <w:b/>
          <w:bCs/>
        </w:rPr>
        <w:t>）能源行业云</w:t>
      </w:r>
      <w:r>
        <w:rPr>
          <w:rFonts w:ascii="宋体" w:hAnsi="宋体" w:cs="宋体" w:eastAsia="宋体" w:hint="default"/>
        </w:rPr>
      </w:r>
    </w:p>
    <w:p>
      <w:pPr>
        <w:pStyle w:val="BodyText"/>
        <w:spacing w:line="336" w:lineRule="auto" w:before="38"/>
        <w:ind w:left="138" w:right="204" w:firstLine="419"/>
        <w:jc w:val="left"/>
        <w:rPr>
          <w:rFonts w:ascii="宋体" w:hAnsi="宋体" w:cs="宋体" w:eastAsia="宋体" w:hint="default"/>
        </w:rPr>
      </w:pPr>
      <w:r>
        <w:rPr>
          <w:spacing w:val="-7"/>
        </w:rPr>
        <w:t>报告期内，用友能源公司加力、加大推进云服务业务，发布了售电云 </w:t>
      </w:r>
      <w:r>
        <w:rPr>
          <w:rFonts w:ascii="Times New Roman" w:hAnsi="Times New Roman" w:cs="Times New Roman" w:eastAsia="Times New Roman" w:hint="default"/>
        </w:rPr>
        <w:t>2.15 </w:t>
      </w:r>
      <w:r>
        <w:rPr>
          <w:spacing w:val="-12"/>
        </w:rPr>
        <w:t>版、备件云 </w:t>
      </w:r>
      <w:r>
        <w:rPr>
          <w:rFonts w:ascii="Times New Roman" w:hAnsi="Times New Roman" w:cs="Times New Roman" w:eastAsia="Times New Roman" w:hint="default"/>
        </w:rPr>
        <w:t>1.0</w:t>
      </w:r>
      <w:r>
        <w:rPr>
          <w:rFonts w:ascii="Times New Roman" w:hAnsi="Times New Roman" w:cs="Times New Roman" w:eastAsia="Times New Roman" w:hint="default"/>
          <w:spacing w:val="-28"/>
        </w:rPr>
        <w:t> </w:t>
      </w:r>
      <w:r>
        <w:rPr/>
        <w:t>版、</w:t>
      </w:r>
      <w:r>
        <w:rPr>
          <w:w w:val="100"/>
        </w:rPr>
        <w:t> </w:t>
      </w:r>
      <w:r>
        <w:rPr/>
        <w:t>能源企业互联网</w:t>
      </w:r>
      <w:r>
        <w:rPr>
          <w:rFonts w:ascii="Times New Roman" w:hAnsi="Times New Roman" w:cs="Times New Roman" w:eastAsia="Times New Roman" w:hint="default"/>
        </w:rPr>
        <w:t>+</w:t>
      </w:r>
      <w:r>
        <w:rPr/>
        <w:t>党建智慧党群云平台等云产品，交付和运营也取得较好口碑。</w:t>
      </w:r>
      <w:r>
        <w:rPr>
          <w:w w:val="100"/>
        </w:rPr>
        <w:t> </w:t>
      </w:r>
      <w:r>
        <w:rPr>
          <w:rFonts w:ascii="Times New Roman" w:hAnsi="Times New Roman" w:cs="Times New Roman" w:eastAsia="Times New Roman" w:hint="default"/>
          <w:b/>
          <w:bCs/>
        </w:rPr>
        <w:t>10</w:t>
      </w:r>
      <w:r>
        <w:rPr>
          <w:rFonts w:ascii="宋体" w:hAnsi="宋体" w:cs="宋体" w:eastAsia="宋体" w:hint="default"/>
          <w:b/>
          <w:bCs/>
        </w:rPr>
        <w:t>）广电与电信云</w:t>
      </w:r>
      <w:r>
        <w:rPr>
          <w:rFonts w:ascii="宋体" w:hAnsi="宋体" w:cs="宋体" w:eastAsia="宋体" w:hint="default"/>
        </w:rPr>
      </w:r>
    </w:p>
    <w:p>
      <w:pPr>
        <w:pStyle w:val="BodyText"/>
        <w:spacing w:line="357" w:lineRule="auto" w:before="24"/>
        <w:ind w:left="138" w:right="102" w:firstLine="419"/>
        <w:jc w:val="left"/>
      </w:pPr>
      <w:r>
        <w:rPr>
          <w:spacing w:val="-2"/>
        </w:rPr>
        <w:t>报告期内，用友广信公司结合客户项目研发云服务新产品，积极发展智慧城市和云业务，形</w:t>
      </w:r>
      <w:r>
        <w:rPr>
          <w:w w:val="100"/>
        </w:rPr>
        <w:t> </w:t>
      </w:r>
      <w:r>
        <w:rPr/>
        <w:t>成基于特定场景的物联网解决方案，丰富智慧城市应用领域。</w:t>
      </w:r>
    </w:p>
    <w:p>
      <w:pPr>
        <w:pStyle w:val="Heading3"/>
        <w:spacing w:line="240" w:lineRule="auto" w:before="30"/>
        <w:ind w:left="138" w:right="102"/>
        <w:jc w:val="left"/>
        <w:rPr>
          <w:b w:val="0"/>
          <w:bCs w:val="0"/>
        </w:rPr>
      </w:pPr>
      <w:r>
        <w:rPr/>
        <w:t>（</w:t>
      </w:r>
      <w:r>
        <w:rPr>
          <w:rFonts w:ascii="宋体" w:hAnsi="宋体" w:cs="宋体" w:eastAsia="宋体" w:hint="default"/>
        </w:rPr>
        <w:t>4</w:t>
      </w:r>
      <w:r>
        <w:rPr/>
        <w:t>）畅捷通云</w:t>
      </w:r>
      <w:r>
        <w:rPr>
          <w:b w:val="0"/>
          <w:bCs w:val="0"/>
        </w:rPr>
      </w:r>
    </w:p>
    <w:p>
      <w:pPr>
        <w:pStyle w:val="BodyText"/>
        <w:spacing w:line="348" w:lineRule="auto" w:before="133"/>
        <w:ind w:left="138" w:right="207" w:firstLine="419"/>
        <w:jc w:val="both"/>
      </w:pPr>
      <w:r>
        <w:rPr>
          <w:spacing w:val="-2"/>
        </w:rPr>
        <w:t>报告期内，畅捷通公司云服务业务紧抓市场机遇，在产品方面，在不断迭代优化核心云应用</w:t>
      </w:r>
      <w:r>
        <w:rPr>
          <w:w w:val="100"/>
        </w:rPr>
        <w:t> </w:t>
      </w:r>
      <w:r>
        <w:rPr>
          <w:spacing w:val="-6"/>
        </w:rPr>
        <w:t>的同时，全新上线 </w:t>
      </w:r>
      <w:r>
        <w:rPr>
          <w:rFonts w:ascii="Times New Roman" w:hAnsi="Times New Roman" w:cs="Times New Roman" w:eastAsia="Times New Roman" w:hint="default"/>
        </w:rPr>
        <w:t>T</w:t>
      </w:r>
      <w:r>
        <w:rPr/>
        <w:t>﹢</w:t>
      </w:r>
      <w:r>
        <w:rPr>
          <w:rFonts w:ascii="Times New Roman" w:hAnsi="Times New Roman" w:cs="Times New Roman" w:eastAsia="Times New Roman" w:hint="default"/>
        </w:rPr>
        <w:t>Cloud </w:t>
      </w:r>
      <w:r>
        <w:rPr>
          <w:spacing w:val="-4"/>
        </w:rPr>
        <w:t>云服务，进一步满足了小微企业财务及管理服务需求；在业务运营方</w:t>
      </w:r>
      <w:r>
        <w:rPr>
          <w:spacing w:val="-97"/>
        </w:rPr>
        <w:t> </w:t>
      </w:r>
      <w:r>
        <w:rPr>
          <w:spacing w:val="-97"/>
        </w:rPr>
      </w:r>
      <w:r>
        <w:rPr>
          <w:spacing w:val="-1"/>
        </w:rPr>
        <w:t>面，与资源型合作伙伴建立合作，开展线上运营、电销和线下渠道一体化的销售，快速发展付费</w:t>
      </w:r>
    </w:p>
    <w:p>
      <w:pPr>
        <w:spacing w:after="0" w:line="348" w:lineRule="auto"/>
        <w:jc w:val="both"/>
        <w:sectPr>
          <w:footerReference w:type="default" r:id="rId28"/>
          <w:pgSz w:w="11910" w:h="16840"/>
          <w:pgMar w:footer="1195" w:header="855" w:top="1320" w:bottom="1380" w:left="1660" w:right="1060"/>
          <w:pgNumType w:start="28"/>
        </w:sectPr>
      </w:pPr>
    </w:p>
    <w:p>
      <w:pPr>
        <w:spacing w:line="240" w:lineRule="auto" w:before="4"/>
        <w:rPr>
          <w:rFonts w:ascii="宋体" w:hAnsi="宋体" w:cs="宋体" w:eastAsia="宋体" w:hint="default"/>
          <w:sz w:val="9"/>
          <w:szCs w:val="9"/>
        </w:rPr>
      </w:pPr>
    </w:p>
    <w:p>
      <w:pPr>
        <w:pStyle w:val="BodyText"/>
        <w:spacing w:line="240" w:lineRule="auto" w:before="36"/>
        <w:ind w:left="138" w:right="102"/>
        <w:jc w:val="left"/>
      </w:pPr>
      <w:r>
        <w:rPr/>
        <w:t>客户规模。</w:t>
      </w:r>
    </w:p>
    <w:p>
      <w:pPr>
        <w:pStyle w:val="BodyText"/>
        <w:spacing w:line="352" w:lineRule="auto" w:before="135"/>
        <w:ind w:left="138" w:right="97" w:firstLine="419"/>
        <w:jc w:val="left"/>
      </w:pPr>
      <w:r>
        <w:rPr/>
        <w:t>报告期内，好会计专业版正式上线，提供了多会计、多辅助核算、经营指标分析等更加丰富</w:t>
      </w:r>
      <w:r>
        <w:rPr>
          <w:w w:val="100"/>
        </w:rPr>
        <w:t> </w:t>
      </w:r>
      <w:r>
        <w:rPr/>
        <w:t>的功能；并快速迭代和优化交互体验、智能生成凭证、增加一键报税覆盖城市。好生意加快核心</w:t>
      </w:r>
      <w:r>
        <w:rPr>
          <w:spacing w:val="-97"/>
        </w:rPr>
        <w:t> </w:t>
      </w:r>
      <w:r>
        <w:rPr>
          <w:spacing w:val="-97"/>
        </w:rPr>
      </w:r>
      <w:r>
        <w:rPr/>
        <w:t>业务场景“销售、库管、采购和往来”功能特性的开发，完成部署、技术运维方案设计和测试。</w:t>
      </w:r>
      <w:r>
        <w:rPr>
          <w:spacing w:val="-97"/>
        </w:rPr>
        <w:t> </w:t>
      </w:r>
      <w:r>
        <w:rPr>
          <w:spacing w:val="-97"/>
        </w:rPr>
      </w:r>
      <w:r>
        <w:rPr/>
        <w:t>报告期内，全新上线的</w:t>
      </w:r>
      <w:r>
        <w:rPr>
          <w:spacing w:val="-54"/>
        </w:rPr>
        <w:t> </w:t>
      </w:r>
      <w:r>
        <w:rPr>
          <w:rFonts w:ascii="Times New Roman" w:hAnsi="Times New Roman" w:cs="Times New Roman" w:eastAsia="Times New Roman" w:hint="default"/>
        </w:rPr>
        <w:t>T</w:t>
      </w:r>
      <w:r>
        <w:rPr/>
        <w:t>﹢</w:t>
      </w:r>
      <w:r>
        <w:rPr>
          <w:rFonts w:ascii="Times New Roman" w:hAnsi="Times New Roman" w:cs="Times New Roman" w:eastAsia="Times New Roman" w:hint="default"/>
        </w:rPr>
        <w:t>Cloud</w:t>
      </w:r>
      <w:r>
        <w:rPr>
          <w:rFonts w:ascii="Times New Roman" w:hAnsi="Times New Roman" w:cs="Times New Roman" w:eastAsia="Times New Roman" w:hint="default"/>
          <w:spacing w:val="-4"/>
        </w:rPr>
        <w:t> </w:t>
      </w:r>
      <w:r>
        <w:rPr/>
        <w:t>是面向小型企业的公有云服务，与工作圈等应用集成，形成人、</w:t>
      </w:r>
      <w:r>
        <w:rPr>
          <w:w w:val="100"/>
        </w:rPr>
        <w:t> </w:t>
      </w:r>
      <w:r>
        <w:rPr/>
        <w:t>财、货、客一体化的解决方案，满足企业经营过程中的全面应用需求，提升企业竞争力。工作圈</w:t>
      </w:r>
      <w:r>
        <w:rPr>
          <w:spacing w:val="-97"/>
        </w:rPr>
        <w:t> </w:t>
      </w:r>
      <w:r>
        <w:rPr>
          <w:spacing w:val="-97"/>
        </w:rPr>
      </w:r>
      <w:r>
        <w:rPr/>
        <w:t>进一步优化轻</w:t>
      </w:r>
      <w:r>
        <w:rPr>
          <w:spacing w:val="-57"/>
        </w:rPr>
        <w:t> </w:t>
      </w:r>
      <w:r>
        <w:rPr>
          <w:rFonts w:ascii="Times New Roman" w:hAnsi="Times New Roman" w:cs="Times New Roman" w:eastAsia="Times New Roman" w:hint="default"/>
        </w:rPr>
        <w:t>OA</w:t>
      </w:r>
      <w:r>
        <w:rPr>
          <w:rFonts w:ascii="Times New Roman" w:hAnsi="Times New Roman" w:cs="Times New Roman" w:eastAsia="Times New Roman" w:hint="default"/>
          <w:spacing w:val="-1"/>
        </w:rPr>
        <w:t> </w:t>
      </w:r>
      <w:r>
        <w:rPr/>
        <w:t>固定审批流、基于角色定义及相关统计分析报表。</w:t>
      </w:r>
    </w:p>
    <w:p>
      <w:pPr>
        <w:pStyle w:val="Heading3"/>
        <w:spacing w:line="240" w:lineRule="auto" w:before="8"/>
        <w:ind w:left="138" w:right="102"/>
        <w:jc w:val="left"/>
        <w:rPr>
          <w:b w:val="0"/>
          <w:bCs w:val="0"/>
        </w:rPr>
      </w:pPr>
      <w:r>
        <w:rPr/>
        <w:t>（</w:t>
      </w:r>
      <w:r>
        <w:rPr>
          <w:rFonts w:ascii="宋体" w:hAnsi="宋体" w:cs="宋体" w:eastAsia="宋体" w:hint="default"/>
        </w:rPr>
        <w:t>5</w:t>
      </w:r>
      <w:r>
        <w:rPr/>
        <w:t>）云市场</w:t>
      </w:r>
      <w:r>
        <w:rPr>
          <w:b w:val="0"/>
          <w:bCs w:val="0"/>
        </w:rPr>
      </w:r>
    </w:p>
    <w:p>
      <w:pPr>
        <w:pStyle w:val="BodyText"/>
        <w:spacing w:line="355" w:lineRule="auto" w:before="133"/>
        <w:ind w:left="138" w:right="210" w:firstLine="419"/>
        <w:jc w:val="both"/>
      </w:pPr>
      <w:r>
        <w:rPr>
          <w:spacing w:val="-2"/>
        </w:rPr>
        <w:t>报告期内，公司云市场以“企业服务产业的共享平台”为建设目标，取得了突破性进展，入</w:t>
      </w:r>
      <w:r>
        <w:rPr>
          <w:w w:val="100"/>
        </w:rPr>
        <w:t> </w:t>
      </w:r>
      <w:r>
        <w:rPr/>
        <w:t>驻生态伙伴数量超过</w:t>
      </w:r>
      <w:r>
        <w:rPr>
          <w:spacing w:val="-53"/>
        </w:rPr>
        <w:t> </w:t>
      </w:r>
      <w:r>
        <w:rPr>
          <w:rFonts w:ascii="Times New Roman" w:hAnsi="Times New Roman" w:cs="Times New Roman" w:eastAsia="Times New Roman" w:hint="default"/>
        </w:rPr>
        <w:t>320</w:t>
      </w:r>
      <w:r>
        <w:rPr>
          <w:rFonts w:ascii="Times New Roman" w:hAnsi="Times New Roman" w:cs="Times New Roman" w:eastAsia="Times New Roman" w:hint="default"/>
          <w:spacing w:val="-2"/>
        </w:rPr>
        <w:t> </w:t>
      </w:r>
      <w:r>
        <w:rPr/>
        <w:t>家，入驻产品及服务数量超过</w:t>
      </w:r>
      <w:r>
        <w:rPr>
          <w:spacing w:val="-53"/>
        </w:rPr>
        <w:t> </w:t>
      </w:r>
      <w:r>
        <w:rPr>
          <w:rFonts w:ascii="Times New Roman" w:hAnsi="Times New Roman" w:cs="Times New Roman" w:eastAsia="Times New Roman" w:hint="default"/>
        </w:rPr>
        <w:t>510 </w:t>
      </w:r>
      <w:r>
        <w:rPr>
          <w:spacing w:val="-3"/>
        </w:rPr>
        <w:t>个。</w:t>
      </w:r>
      <w:r>
        <w:rPr/>
      </w:r>
    </w:p>
    <w:p>
      <w:pPr>
        <w:pStyle w:val="BodyText"/>
        <w:spacing w:line="350" w:lineRule="auto" w:before="8"/>
        <w:ind w:left="138" w:right="102" w:firstLine="419"/>
        <w:jc w:val="left"/>
        <w:rPr>
          <w:rFonts w:ascii="宋体" w:hAnsi="宋体" w:cs="宋体" w:eastAsia="宋体" w:hint="default"/>
        </w:rPr>
      </w:pPr>
      <w:r>
        <w:rPr>
          <w:spacing w:val="-2"/>
        </w:rPr>
        <w:t>报告期内，结合用友线下优势，满足客户一体化应用需要，用友云市场大力推动融合型产品</w:t>
      </w:r>
      <w:r>
        <w:rPr>
          <w:w w:val="100"/>
        </w:rPr>
        <w:t> </w:t>
      </w:r>
      <w:r>
        <w:rPr>
          <w:spacing w:val="-5"/>
        </w:rPr>
        <w:t>发展，授权网易企业邮箱、</w:t>
      </w:r>
      <w:r>
        <w:rPr>
          <w:rFonts w:ascii="Times New Roman" w:hAnsi="Times New Roman" w:cs="Times New Roman" w:eastAsia="Times New Roman" w:hint="default"/>
          <w:spacing w:val="-5"/>
        </w:rPr>
        <w:t>360</w:t>
      </w:r>
      <w:r>
        <w:rPr>
          <w:rFonts w:ascii="Times New Roman" w:hAnsi="Times New Roman" w:cs="Times New Roman" w:eastAsia="Times New Roman" w:hint="default"/>
          <w:spacing w:val="34"/>
        </w:rPr>
        <w:t> </w:t>
      </w:r>
      <w:r>
        <w:rPr>
          <w:spacing w:val="-5"/>
        </w:rPr>
        <w:t>企业安全、</w:t>
      </w:r>
      <w:r>
        <w:rPr>
          <w:rFonts w:ascii="Times New Roman" w:hAnsi="Times New Roman" w:cs="Times New Roman" w:eastAsia="Times New Roman" w:hint="default"/>
          <w:spacing w:val="-5"/>
        </w:rPr>
        <w:t>e</w:t>
      </w:r>
      <w:r>
        <w:rPr>
          <w:rFonts w:ascii="Times New Roman" w:hAnsi="Times New Roman" w:cs="Times New Roman" w:eastAsia="Times New Roman" w:hint="default"/>
          <w:spacing w:val="34"/>
        </w:rPr>
        <w:t> </w:t>
      </w:r>
      <w:r>
        <w:rPr>
          <w:spacing w:val="-3"/>
        </w:rPr>
        <w:t>签宝、小能科技等众多知名企业服务厂商开展融合型</w:t>
      </w:r>
      <w:r>
        <w:rPr>
          <w:spacing w:val="-91"/>
        </w:rPr>
        <w:t> </w:t>
      </w:r>
      <w:r>
        <w:rPr>
          <w:spacing w:val="-91"/>
        </w:rPr>
      </w:r>
      <w:r>
        <w:rPr/>
        <w:t>产品研发，众多融合型产品上市，开展了用友云产品版图，并取得业绩突破性增长。</w:t>
      </w:r>
      <w:r>
        <w:rPr>
          <w:w w:val="100"/>
        </w:rPr>
        <w:t> </w:t>
      </w:r>
      <w:r>
        <w:rPr>
          <w:rFonts w:ascii="宋体" w:hAnsi="宋体" w:cs="宋体" w:eastAsia="宋体" w:hint="default"/>
          <w:b/>
          <w:bCs/>
        </w:rPr>
        <w:t>2</w:t>
      </w:r>
      <w:r>
        <w:rPr>
          <w:rFonts w:ascii="宋体" w:hAnsi="宋体" w:cs="宋体" w:eastAsia="宋体" w:hint="default"/>
          <w:b/>
          <w:bCs/>
        </w:rPr>
        <w:t>、软件业务发展情况</w:t>
      </w:r>
      <w:r>
        <w:rPr>
          <w:rFonts w:ascii="宋体" w:hAnsi="宋体" w:cs="宋体" w:eastAsia="宋体" w:hint="default"/>
        </w:rPr>
      </w:r>
    </w:p>
    <w:p>
      <w:pPr>
        <w:pStyle w:val="BodyText"/>
        <w:spacing w:line="357" w:lineRule="auto" w:before="36"/>
        <w:ind w:left="138" w:right="208" w:firstLine="419"/>
        <w:jc w:val="both"/>
      </w:pPr>
      <w:r>
        <w:rPr>
          <w:spacing w:val="-2"/>
        </w:rPr>
        <w:t>报告期内，在企业转型升级，国内经济整体复苏和软件国产化进程的大背景环境之下，公司</w:t>
      </w:r>
      <w:r>
        <w:rPr>
          <w:w w:val="100"/>
        </w:rPr>
        <w:t> </w:t>
      </w:r>
      <w:r>
        <w:rPr>
          <w:spacing w:val="-1"/>
        </w:rPr>
        <w:t>继续稳步推进软件业务的发展；同时，通过发挥与云服务和金融服务产品的组合优势，实现拉动</w:t>
      </w:r>
      <w:r>
        <w:rPr>
          <w:spacing w:val="-55"/>
        </w:rPr>
        <w:t> </w:t>
      </w:r>
      <w:r>
        <w:rPr>
          <w:spacing w:val="-55"/>
        </w:rPr>
      </w:r>
      <w:r>
        <w:rPr/>
        <w:t>和组合效应，推动软件业务的效益化发展，软件业务整体保持稳定增长。</w:t>
      </w:r>
    </w:p>
    <w:p>
      <w:pPr>
        <w:spacing w:line="355" w:lineRule="auto" w:before="30"/>
        <w:ind w:left="558" w:right="204" w:hanging="42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）面向大型企业的解决方案与专业服务业务</w:t>
      </w:r>
      <w:r>
        <w:rPr>
          <w:rFonts w:ascii="宋体" w:hAnsi="宋体" w:cs="宋体" w:eastAsia="宋体" w:hint="default"/>
          <w:b/>
          <w:bCs/>
          <w:w w:val="100"/>
          <w:sz w:val="21"/>
          <w:szCs w:val="21"/>
        </w:rPr>
        <w:t> </w:t>
      </w:r>
      <w:r>
        <w:rPr>
          <w:rFonts w:ascii="宋体" w:hAnsi="宋体" w:cs="宋体" w:eastAsia="宋体" w:hint="default"/>
          <w:spacing w:val="-6"/>
          <w:sz w:val="21"/>
          <w:szCs w:val="21"/>
        </w:rPr>
        <w:t>报告期内，公司面向大型企业解决方案业务进一步深化，并实现加速发展，帮助包括世界</w:t>
      </w:r>
      <w:r>
        <w:rPr>
          <w:rFonts w:ascii="宋体" w:hAnsi="宋体" w:cs="宋体" w:eastAsia="宋体" w:hint="default"/>
          <w:spacing w:val="28"/>
          <w:sz w:val="21"/>
          <w:szCs w:val="21"/>
        </w:rPr>
        <w:t> </w:t>
      </w:r>
      <w:r>
        <w:rPr>
          <w:rFonts w:ascii="宋体" w:hAnsi="宋体" w:cs="宋体" w:eastAsia="宋体" w:hint="default"/>
          <w:sz w:val="21"/>
          <w:szCs w:val="21"/>
        </w:rPr>
        <w:t>500</w:t>
      </w:r>
    </w:p>
    <w:p>
      <w:pPr>
        <w:pStyle w:val="BodyText"/>
        <w:spacing w:line="357" w:lineRule="auto" w:before="32"/>
        <w:ind w:left="558" w:right="209" w:hanging="420"/>
        <w:jc w:val="left"/>
      </w:pPr>
      <w:r>
        <w:rPr/>
        <w:t>强企业、中国</w:t>
      </w:r>
      <w:r>
        <w:rPr>
          <w:spacing w:val="-54"/>
        </w:rPr>
        <w:t> </w:t>
      </w:r>
      <w:r>
        <w:rPr>
          <w:rFonts w:ascii="宋体" w:hAnsi="宋体" w:cs="宋体" w:eastAsia="宋体" w:hint="default"/>
        </w:rPr>
        <w:t>500</w:t>
      </w:r>
      <w:r>
        <w:rPr>
          <w:rFonts w:ascii="宋体" w:hAnsi="宋体" w:cs="宋体" w:eastAsia="宋体" w:hint="default"/>
          <w:spacing w:val="-54"/>
        </w:rPr>
        <w:t> </w:t>
      </w:r>
      <w:r>
        <w:rPr/>
        <w:t>强企业等各类大型集团企业实现互联网转型，构建数字化商业生态。</w:t>
      </w:r>
      <w:r>
        <w:rPr>
          <w:w w:val="100"/>
        </w:rPr>
        <w:t> </w:t>
      </w:r>
      <w:r>
        <w:rPr/>
        <w:t>在智能制造服务领域，除发布了用友智能工厂</w:t>
      </w:r>
      <w:r>
        <w:rPr>
          <w:spacing w:val="-40"/>
        </w:rPr>
        <w:t> </w:t>
      </w:r>
      <w:r>
        <w:rPr>
          <w:rFonts w:ascii="宋体" w:hAnsi="宋体" w:cs="宋体" w:eastAsia="宋体" w:hint="default"/>
        </w:rPr>
        <w:t>2.0</w:t>
      </w:r>
      <w:r>
        <w:rPr>
          <w:rFonts w:ascii="宋体" w:hAnsi="宋体" w:cs="宋体" w:eastAsia="宋体" w:hint="default"/>
          <w:spacing w:val="-43"/>
        </w:rPr>
        <w:t> </w:t>
      </w:r>
      <w:r>
        <w:rPr/>
        <w:t>版外还发布了</w:t>
      </w:r>
      <w:r>
        <w:rPr>
          <w:spacing w:val="-41"/>
        </w:rPr>
        <w:t> </w:t>
      </w:r>
      <w:r>
        <w:rPr>
          <w:rFonts w:ascii="宋体" w:hAnsi="宋体" w:cs="宋体" w:eastAsia="宋体" w:hint="default"/>
        </w:rPr>
        <w:t>U9V6.0</w:t>
      </w:r>
      <w:r>
        <w:rPr>
          <w:rFonts w:ascii="宋体" w:hAnsi="宋体" w:cs="宋体" w:eastAsia="宋体" w:hint="default"/>
          <w:spacing w:val="-40"/>
        </w:rPr>
        <w:t> </w:t>
      </w:r>
      <w:r>
        <w:rPr/>
        <w:t>版、</w:t>
      </w:r>
      <w:r>
        <w:rPr>
          <w:rFonts w:ascii="宋体" w:hAnsi="宋体" w:cs="宋体" w:eastAsia="宋体" w:hint="default"/>
        </w:rPr>
        <w:t>PLMV2017</w:t>
      </w:r>
      <w:r>
        <w:rPr>
          <w:rFonts w:ascii="宋体" w:hAnsi="宋体" w:cs="宋体" w:eastAsia="宋体" w:hint="default"/>
          <w:spacing w:val="-41"/>
        </w:rPr>
        <w:t> </w:t>
      </w:r>
      <w:r>
        <w:rPr>
          <w:spacing w:val="-3"/>
        </w:rPr>
        <w:t>版等</w:t>
      </w:r>
      <w:r>
        <w:rPr/>
      </w:r>
    </w:p>
    <w:p>
      <w:pPr>
        <w:pStyle w:val="BodyText"/>
        <w:spacing w:line="355" w:lineRule="auto" w:before="30"/>
        <w:ind w:left="558" w:right="102" w:hanging="420"/>
        <w:jc w:val="left"/>
      </w:pPr>
      <w:r>
        <w:rPr/>
        <w:t>软件产品，签约了如中国铝业等一大批大型集团客户，继续保持稳步增长的良好态势。</w:t>
      </w:r>
      <w:r>
        <w:rPr>
          <w:w w:val="100"/>
        </w:rPr>
        <w:t> </w:t>
      </w:r>
      <w:r>
        <w:rPr>
          <w:spacing w:val="-2"/>
        </w:rPr>
        <w:t>在城市交通、公用事业、地产行业，用友项目资产一体化的城市基础设施全生命周期运营管</w:t>
      </w:r>
    </w:p>
    <w:p>
      <w:pPr>
        <w:pStyle w:val="BodyText"/>
        <w:spacing w:line="360" w:lineRule="auto" w:before="32"/>
        <w:ind w:left="138" w:right="202"/>
        <w:jc w:val="left"/>
      </w:pPr>
      <w:r>
        <w:rPr/>
        <w:t>理解决方案持续加强；推出工程云</w:t>
      </w:r>
      <w:r>
        <w:rPr>
          <w:spacing w:val="6"/>
        </w:rPr>
        <w:t> </w:t>
      </w:r>
      <w:r>
        <w:rPr>
          <w:rFonts w:ascii="宋体" w:hAnsi="宋体" w:cs="宋体" w:eastAsia="宋体" w:hint="default"/>
        </w:rPr>
        <w:t>PM+</w:t>
      </w:r>
      <w:r>
        <w:rPr/>
        <w:t>产品，解决了城市运营行业工程项目上云最后一公里的问</w:t>
      </w:r>
      <w:r>
        <w:rPr>
          <w:w w:val="100"/>
        </w:rPr>
        <w:t> </w:t>
      </w:r>
      <w:r>
        <w:rPr/>
        <w:t>题，同时通过软件解决方案与云端服务的融合，更好地满足客户的需要。</w:t>
      </w:r>
    </w:p>
    <w:p>
      <w:pPr>
        <w:pStyle w:val="BodyText"/>
        <w:spacing w:line="355" w:lineRule="auto" w:before="28"/>
        <w:ind w:left="138" w:right="207" w:firstLine="419"/>
        <w:jc w:val="both"/>
      </w:pPr>
      <w:r>
        <w:rPr/>
        <w:t>在财税领域，发布了</w:t>
      </w:r>
      <w:r>
        <w:rPr>
          <w:spacing w:val="-50"/>
        </w:rPr>
        <w:t> </w:t>
      </w:r>
      <w:r>
        <w:rPr>
          <w:rFonts w:ascii="宋体" w:hAnsi="宋体" w:cs="宋体" w:eastAsia="宋体" w:hint="default"/>
        </w:rPr>
        <w:t>NC</w:t>
      </w:r>
      <w:r>
        <w:rPr>
          <w:rFonts w:ascii="宋体" w:hAnsi="宋体" w:cs="宋体" w:eastAsia="宋体" w:hint="default"/>
          <w:spacing w:val="-53"/>
        </w:rPr>
        <w:t> </w:t>
      </w:r>
      <w:r>
        <w:rPr/>
        <w:t>收入核算与报告产品、</w:t>
      </w:r>
      <w:r>
        <w:rPr>
          <w:rFonts w:ascii="宋体" w:hAnsi="宋体" w:cs="宋体" w:eastAsia="宋体" w:hint="default"/>
        </w:rPr>
        <w:t>NC</w:t>
      </w:r>
      <w:r>
        <w:rPr>
          <w:rFonts w:ascii="宋体" w:hAnsi="宋体" w:cs="宋体" w:eastAsia="宋体" w:hint="default"/>
          <w:spacing w:val="-50"/>
        </w:rPr>
        <w:t> </w:t>
      </w:r>
      <w:r>
        <w:rPr/>
        <w:t>电子商业汇票产品、</w:t>
      </w:r>
      <w:r>
        <w:rPr>
          <w:rFonts w:ascii="宋体" w:hAnsi="宋体" w:cs="宋体" w:eastAsia="宋体" w:hint="default"/>
        </w:rPr>
        <w:t>NC</w:t>
      </w:r>
      <w:r>
        <w:rPr>
          <w:rFonts w:ascii="宋体" w:hAnsi="宋体" w:cs="宋体" w:eastAsia="宋体" w:hint="default"/>
          <w:spacing w:val="-52"/>
        </w:rPr>
        <w:t> </w:t>
      </w:r>
      <w:r>
        <w:rPr/>
        <w:t>增值税管理平台增</w:t>
      </w:r>
      <w:r>
        <w:rPr>
          <w:w w:val="100"/>
        </w:rPr>
        <w:t> </w:t>
      </w:r>
      <w:r>
        <w:rPr>
          <w:spacing w:val="-4"/>
        </w:rPr>
        <w:t>强版；同时深化企业应用创新，为客户提供了</w:t>
      </w:r>
      <w:r>
        <w:rPr>
          <w:spacing w:val="-18"/>
        </w:rPr>
        <w:t> </w:t>
      </w:r>
      <w:r>
        <w:rPr>
          <w:rFonts w:ascii="宋体" w:hAnsi="宋体" w:cs="宋体" w:eastAsia="宋体" w:hint="default"/>
        </w:rPr>
        <w:t>NC</w:t>
      </w:r>
      <w:r>
        <w:rPr>
          <w:rFonts w:ascii="宋体" w:hAnsi="宋体" w:cs="宋体" w:eastAsia="宋体" w:hint="default"/>
          <w:spacing w:val="-18"/>
        </w:rPr>
        <w:t> </w:t>
      </w:r>
      <w:r>
        <w:rPr>
          <w:spacing w:val="-5"/>
        </w:rPr>
        <w:t>集团财务合并、财务自助分析、银行票据池、工</w:t>
      </w:r>
      <w:r>
        <w:rPr>
          <w:spacing w:val="-91"/>
        </w:rPr>
        <w:t> </w:t>
      </w:r>
      <w:r>
        <w:rPr>
          <w:spacing w:val="-91"/>
        </w:rPr>
      </w:r>
      <w:r>
        <w:rPr/>
        <w:t>序成本、电子会计档案接口等新功能和新模块。</w:t>
      </w:r>
    </w:p>
    <w:p>
      <w:pPr>
        <w:pStyle w:val="BodyText"/>
        <w:spacing w:line="357" w:lineRule="auto" w:before="32"/>
        <w:ind w:left="138" w:right="208" w:firstLine="419"/>
        <w:jc w:val="both"/>
      </w:pPr>
      <w:r>
        <w:rPr>
          <w:spacing w:val="-2"/>
        </w:rPr>
        <w:t>报告期内，面向大型企业的专业服务业务继续保持了高续约率和高增长态势；在千万级运维</w:t>
      </w:r>
      <w:r>
        <w:rPr>
          <w:w w:val="100"/>
        </w:rPr>
        <w:t> </w:t>
      </w:r>
      <w:r>
        <w:rPr>
          <w:spacing w:val="-1"/>
        </w:rPr>
        <w:t>服务大项目上取得重大突破，成功签约了碧桂园集团等年运维项目；同时，百万级运维服务大项</w:t>
      </w:r>
      <w:r>
        <w:rPr>
          <w:spacing w:val="-55"/>
        </w:rPr>
        <w:t> </w:t>
      </w:r>
      <w:r>
        <w:rPr>
          <w:spacing w:val="-55"/>
        </w:rPr>
      </w:r>
      <w:r>
        <w:rPr>
          <w:spacing w:val="-1"/>
        </w:rPr>
        <w:t>目已形成常态化趋势，相继签约海航集团、中国振华集团、首都机场集团、五粮液集团、万达集</w:t>
      </w:r>
      <w:r>
        <w:rPr>
          <w:spacing w:val="-55"/>
        </w:rPr>
        <w:t> </w:t>
      </w:r>
      <w:r>
        <w:rPr>
          <w:spacing w:val="-55"/>
        </w:rPr>
      </w:r>
      <w:r>
        <w:rPr/>
        <w:t>团等大型标杆企业。</w:t>
      </w:r>
    </w:p>
    <w:p>
      <w:pPr>
        <w:pStyle w:val="Heading3"/>
        <w:spacing w:line="240" w:lineRule="auto" w:before="30"/>
        <w:ind w:left="138" w:right="102"/>
        <w:jc w:val="left"/>
        <w:rPr>
          <w:b w:val="0"/>
          <w:bCs w:val="0"/>
        </w:rPr>
      </w:pPr>
      <w:r>
        <w:rPr/>
        <w:t>（</w:t>
      </w:r>
      <w:r>
        <w:rPr>
          <w:rFonts w:ascii="宋体" w:hAnsi="宋体" w:cs="宋体" w:eastAsia="宋体" w:hint="default"/>
        </w:rPr>
        <w:t>2</w:t>
      </w:r>
      <w:r>
        <w:rPr/>
        <w:t>）面向中型企业的软件产品与解决方案业务</w:t>
      </w:r>
      <w:r>
        <w:rPr>
          <w:b w:val="0"/>
          <w:bCs w:val="0"/>
        </w:rPr>
      </w:r>
    </w:p>
    <w:p>
      <w:pPr>
        <w:spacing w:after="0" w:line="240" w:lineRule="auto"/>
        <w:jc w:val="left"/>
        <w:sectPr>
          <w:pgSz w:w="11910" w:h="16840"/>
          <w:pgMar w:header="855" w:footer="1195" w:top="1320" w:bottom="1380" w:left="1660" w:right="1060"/>
        </w:sectPr>
      </w:pPr>
    </w:p>
    <w:p>
      <w:pPr>
        <w:spacing w:line="240" w:lineRule="auto" w:before="4"/>
        <w:rPr>
          <w:rFonts w:ascii="宋体" w:hAnsi="宋体" w:cs="宋体" w:eastAsia="宋体" w:hint="default"/>
          <w:b/>
          <w:bCs/>
          <w:sz w:val="9"/>
          <w:szCs w:val="9"/>
        </w:rPr>
      </w:pPr>
    </w:p>
    <w:p>
      <w:pPr>
        <w:pStyle w:val="BodyText"/>
        <w:spacing w:line="357" w:lineRule="auto" w:before="36"/>
        <w:ind w:left="138" w:right="147" w:firstLine="419"/>
        <w:jc w:val="both"/>
      </w:pPr>
      <w:r>
        <w:rPr>
          <w:spacing w:val="-5"/>
        </w:rPr>
        <w:t>报告期内，公司在 </w:t>
      </w:r>
      <w:r>
        <w:rPr>
          <w:rFonts w:ascii="宋体" w:hAnsi="宋体" w:cs="宋体" w:eastAsia="宋体" w:hint="default"/>
        </w:rPr>
        <w:t>U8+V13.0</w:t>
      </w:r>
      <w:r>
        <w:rPr>
          <w:rFonts w:ascii="宋体" w:hAnsi="宋体" w:cs="宋体" w:eastAsia="宋体" w:hint="default"/>
          <w:spacing w:val="-59"/>
        </w:rPr>
        <w:t> </w:t>
      </w:r>
      <w:r>
        <w:rPr>
          <w:spacing w:val="-4"/>
        </w:rPr>
        <w:t>的产品基础上继续优化与持续创新，在智能制造、新零售、社会</w:t>
      </w:r>
      <w:r>
        <w:rPr>
          <w:w w:val="100"/>
        </w:rPr>
        <w:t> </w:t>
      </w:r>
      <w:r>
        <w:rPr>
          <w:spacing w:val="8"/>
        </w:rPr>
        <w:t>化财务应用方面持续加快研发，为中型企业上云提供更好的产品与服务。报告期内，发布了</w:t>
      </w:r>
      <w:r>
        <w:rPr>
          <w:spacing w:val="-19"/>
        </w:rPr>
        <w:t> </w:t>
      </w:r>
      <w:r>
        <w:rPr>
          <w:spacing w:val="-19"/>
        </w:rPr>
      </w:r>
      <w:r>
        <w:rPr>
          <w:rFonts w:ascii="宋体" w:hAnsi="宋体" w:cs="宋体" w:eastAsia="宋体" w:hint="default"/>
        </w:rPr>
        <w:t>U8+V12.51</w:t>
      </w:r>
      <w:r>
        <w:rPr>
          <w:rFonts w:ascii="宋体" w:hAnsi="宋体" w:cs="宋体" w:eastAsia="宋体" w:hint="default"/>
          <w:spacing w:val="-47"/>
        </w:rPr>
        <w:t> </w:t>
      </w:r>
      <w:r>
        <w:rPr>
          <w:spacing w:val="-3"/>
        </w:rPr>
        <w:t>发票管理、</w:t>
      </w:r>
      <w:r>
        <w:rPr>
          <w:rFonts w:ascii="宋体" w:hAnsi="宋体" w:cs="宋体" w:eastAsia="宋体" w:hint="default"/>
          <w:spacing w:val="-3"/>
        </w:rPr>
        <w:t>U8+V12.5</w:t>
      </w:r>
      <w:r>
        <w:rPr>
          <w:rFonts w:ascii="宋体" w:hAnsi="宋体" w:cs="宋体" w:eastAsia="宋体" w:hint="default"/>
          <w:spacing w:val="-45"/>
        </w:rPr>
        <w:t> </w:t>
      </w:r>
      <w:r>
        <w:rPr>
          <w:rFonts w:ascii="宋体" w:hAnsi="宋体" w:cs="宋体" w:eastAsia="宋体" w:hint="default"/>
        </w:rPr>
        <w:t>OA</w:t>
      </w:r>
      <w:r>
        <w:rPr>
          <w:rFonts w:ascii="宋体" w:hAnsi="宋体" w:cs="宋体" w:eastAsia="宋体" w:hint="default"/>
          <w:spacing w:val="17"/>
        </w:rPr>
        <w:t> </w:t>
      </w:r>
      <w:r>
        <w:rPr>
          <w:spacing w:val="-3"/>
        </w:rPr>
        <w:t>办公集成产品、</w:t>
      </w:r>
      <w:r>
        <w:rPr>
          <w:rFonts w:ascii="宋体" w:hAnsi="宋体" w:cs="宋体" w:eastAsia="宋体" w:hint="default"/>
          <w:spacing w:val="-3"/>
        </w:rPr>
        <w:t>U8+</w:t>
      </w:r>
      <w:r>
        <w:rPr>
          <w:spacing w:val="-3"/>
        </w:rPr>
        <w:t>零售电票管理</w:t>
      </w:r>
      <w:r>
        <w:rPr>
          <w:spacing w:val="-47"/>
        </w:rPr>
        <w:t> </w:t>
      </w:r>
      <w:r>
        <w:rPr>
          <w:rFonts w:ascii="宋体" w:hAnsi="宋体" w:cs="宋体" w:eastAsia="宋体" w:hint="default"/>
          <w:spacing w:val="-3"/>
        </w:rPr>
        <w:t>V1.0</w:t>
      </w:r>
      <w:r>
        <w:rPr>
          <w:spacing w:val="-3"/>
        </w:rPr>
        <w:t>、</w:t>
      </w:r>
      <w:r>
        <w:rPr>
          <w:rFonts w:ascii="宋体" w:hAnsi="宋体" w:cs="宋体" w:eastAsia="宋体" w:hint="default"/>
          <w:spacing w:val="-3"/>
        </w:rPr>
        <w:t>U8+</w:t>
      </w:r>
      <w:r>
        <w:rPr>
          <w:spacing w:val="-3"/>
        </w:rPr>
        <w:t>易收款</w:t>
      </w:r>
      <w:r>
        <w:rPr>
          <w:spacing w:val="-45"/>
        </w:rPr>
        <w:t> </w:t>
      </w:r>
      <w:r>
        <w:rPr>
          <w:rFonts w:ascii="宋体" w:hAnsi="宋体" w:cs="宋体" w:eastAsia="宋体" w:hint="default"/>
          <w:spacing w:val="-4"/>
        </w:rPr>
        <w:t>V1.0</w:t>
      </w:r>
      <w:r>
        <w:rPr>
          <w:spacing w:val="-4"/>
        </w:rPr>
        <w:t>、</w:t>
      </w:r>
      <w:r>
        <w:rPr>
          <w:rFonts w:ascii="宋体" w:hAnsi="宋体" w:cs="宋体" w:eastAsia="宋体" w:hint="default"/>
          <w:spacing w:val="-4"/>
        </w:rPr>
        <w:t>U8+</w:t>
      </w:r>
      <w:r>
        <w:rPr>
          <w:rFonts w:ascii="宋体" w:hAnsi="宋体" w:cs="宋体" w:eastAsia="宋体" w:hint="default"/>
          <w:spacing w:val="-102"/>
        </w:rPr>
        <w:t> </w:t>
      </w:r>
      <w:r>
        <w:rPr>
          <w:rFonts w:ascii="宋体" w:hAnsi="宋体" w:cs="宋体" w:eastAsia="宋体" w:hint="default"/>
          <w:spacing w:val="-102"/>
        </w:rPr>
      </w:r>
      <w:r>
        <w:rPr/>
        <w:t>收入核算</w:t>
      </w:r>
      <w:r>
        <w:rPr>
          <w:spacing w:val="-52"/>
        </w:rPr>
        <w:t> </w:t>
      </w:r>
      <w:r>
        <w:rPr>
          <w:rFonts w:ascii="宋体" w:hAnsi="宋体" w:cs="宋体" w:eastAsia="宋体" w:hint="default"/>
        </w:rPr>
        <w:t>V1.0</w:t>
      </w:r>
      <w:r>
        <w:rPr>
          <w:rFonts w:ascii="宋体" w:hAnsi="宋体" w:cs="宋体" w:eastAsia="宋体" w:hint="default"/>
          <w:spacing w:val="-50"/>
        </w:rPr>
        <w:t> </w:t>
      </w:r>
      <w:r>
        <w:rPr/>
        <w:t>等产品。同时，</w:t>
      </w:r>
      <w:r>
        <w:rPr>
          <w:rFonts w:ascii="宋体" w:hAnsi="宋体" w:cs="宋体" w:eastAsia="宋体" w:hint="default"/>
        </w:rPr>
        <w:t>U8+</w:t>
      </w:r>
      <w:r>
        <w:rPr/>
        <w:t>完成了与友空间、友云采、友报账、大易招聘等云服务的对接</w:t>
      </w:r>
      <w:r>
        <w:rPr>
          <w:w w:val="100"/>
        </w:rPr>
        <w:t> </w:t>
      </w:r>
      <w:r>
        <w:rPr/>
        <w:t>和融合。</w:t>
      </w:r>
    </w:p>
    <w:p>
      <w:pPr>
        <w:spacing w:line="357" w:lineRule="auto" w:before="30"/>
        <w:ind w:left="558" w:right="143" w:hanging="42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）面向小型微型企业的软件包业务</w:t>
      </w:r>
      <w:r>
        <w:rPr>
          <w:rFonts w:ascii="宋体" w:hAnsi="宋体" w:cs="宋体" w:eastAsia="宋体" w:hint="default"/>
          <w:b/>
          <w:bCs/>
          <w:w w:val="100"/>
          <w:sz w:val="21"/>
          <w:szCs w:val="21"/>
        </w:rPr>
        <w:t> </w:t>
      </w:r>
      <w:r>
        <w:rPr>
          <w:rFonts w:ascii="宋体" w:hAnsi="宋体" w:cs="宋体" w:eastAsia="宋体" w:hint="default"/>
          <w:spacing w:val="-4"/>
          <w:sz w:val="21"/>
          <w:szCs w:val="21"/>
        </w:rPr>
        <w:t>报告期内，畅捷通公司聚焦小微企业财务与管理服务，优化了 </w:t>
      </w:r>
      <w:r>
        <w:rPr>
          <w:rFonts w:ascii="宋体" w:hAnsi="宋体" w:cs="宋体" w:eastAsia="宋体" w:hint="default"/>
          <w:sz w:val="21"/>
          <w:szCs w:val="21"/>
        </w:rPr>
        <w:t>T</w:t>
      </w:r>
      <w:r>
        <w:rPr>
          <w:rFonts w:ascii="宋体" w:hAnsi="宋体" w:cs="宋体" w:eastAsia="宋体" w:hint="default"/>
          <w:sz w:val="21"/>
          <w:szCs w:val="21"/>
        </w:rPr>
        <w:t>﹢</w:t>
      </w:r>
      <w:r>
        <w:rPr>
          <w:rFonts w:ascii="宋体" w:hAnsi="宋体" w:cs="宋体" w:eastAsia="宋体" w:hint="default"/>
          <w:sz w:val="21"/>
          <w:szCs w:val="21"/>
        </w:rPr>
        <w:t>V12.2</w:t>
      </w:r>
      <w:r>
        <w:rPr>
          <w:rFonts w:ascii="宋体" w:hAnsi="宋体" w:cs="宋体" w:eastAsia="宋体" w:hint="default"/>
          <w:spacing w:val="-48"/>
          <w:sz w:val="21"/>
          <w:szCs w:val="21"/>
        </w:rPr>
        <w:t> </w:t>
      </w:r>
      <w:r>
        <w:rPr>
          <w:rFonts w:ascii="宋体" w:hAnsi="宋体" w:cs="宋体" w:eastAsia="宋体" w:hint="default"/>
          <w:spacing w:val="-5"/>
          <w:sz w:val="21"/>
          <w:szCs w:val="21"/>
        </w:rPr>
        <w:t>的产品性能，并加快</w:t>
      </w:r>
    </w:p>
    <w:p>
      <w:pPr>
        <w:pStyle w:val="BodyText"/>
        <w:spacing w:line="357" w:lineRule="auto" w:before="30"/>
        <w:ind w:left="138" w:right="148"/>
        <w:jc w:val="both"/>
      </w:pPr>
      <w:r>
        <w:rPr/>
        <w:t>新版本</w:t>
      </w:r>
      <w:r>
        <w:rPr>
          <w:spacing w:val="-24"/>
        </w:rPr>
        <w:t> </w:t>
      </w:r>
      <w:r>
        <w:rPr>
          <w:rFonts w:ascii="宋体" w:hAnsi="宋体" w:cs="宋体" w:eastAsia="宋体" w:hint="default"/>
        </w:rPr>
        <w:t>T</w:t>
      </w:r>
      <w:r>
        <w:rPr/>
        <w:t>﹢</w:t>
      </w:r>
      <w:r>
        <w:rPr>
          <w:rFonts w:ascii="宋体" w:hAnsi="宋体" w:cs="宋体" w:eastAsia="宋体" w:hint="default"/>
        </w:rPr>
        <w:t>V12.3</w:t>
      </w:r>
      <w:r>
        <w:rPr>
          <w:rFonts w:ascii="宋体" w:hAnsi="宋体" w:cs="宋体" w:eastAsia="宋体" w:hint="default"/>
          <w:spacing w:val="-24"/>
        </w:rPr>
        <w:t> </w:t>
      </w:r>
      <w:r>
        <w:rPr>
          <w:spacing w:val="-5"/>
        </w:rPr>
        <w:t>产品开发和集成测试工作；整合了线上运营和线下渠道资源，进一步加快推进软</w:t>
      </w:r>
      <w:r>
        <w:rPr>
          <w:spacing w:val="-92"/>
        </w:rPr>
        <w:t> </w:t>
      </w:r>
      <w:r>
        <w:rPr>
          <w:spacing w:val="-92"/>
        </w:rPr>
      </w:r>
      <w:r>
        <w:rPr>
          <w:spacing w:val="-1"/>
        </w:rPr>
        <w:t>件业务与云服务业务的协同发展。通过优化业务组织，不断提升业务运营能力，加强渠道能力和</w:t>
      </w:r>
      <w:r>
        <w:rPr>
          <w:spacing w:val="-55"/>
        </w:rPr>
        <w:t> </w:t>
      </w:r>
      <w:r>
        <w:rPr>
          <w:spacing w:val="-55"/>
        </w:rPr>
      </w:r>
      <w:r>
        <w:rPr>
          <w:spacing w:val="-1"/>
        </w:rPr>
        <w:t>渠道体系建设，有效推进了小微企业财务及管理服务的市场营销和行业开拓，促进软件业务快速</w:t>
      </w:r>
      <w:r>
        <w:rPr>
          <w:spacing w:val="-55"/>
        </w:rPr>
        <w:t> </w:t>
      </w:r>
      <w:r>
        <w:rPr>
          <w:spacing w:val="-55"/>
        </w:rPr>
      </w:r>
      <w:r>
        <w:rPr/>
        <w:t>发展。</w:t>
      </w:r>
    </w:p>
    <w:p>
      <w:pPr>
        <w:pStyle w:val="BodyText"/>
        <w:spacing w:line="355" w:lineRule="auto" w:before="30"/>
        <w:ind w:left="138" w:right="148" w:firstLine="419"/>
        <w:jc w:val="both"/>
      </w:pPr>
      <w:r>
        <w:rPr>
          <w:spacing w:val="-2"/>
        </w:rPr>
        <w:t>报告期内，举办了近百场“人、财、货、客”领航市场交流会及小型打单会等营销活动，有</w:t>
      </w:r>
      <w:r>
        <w:rPr>
          <w:w w:val="100"/>
        </w:rPr>
        <w:t> </w:t>
      </w:r>
      <w:r>
        <w:rPr>
          <w:spacing w:val="-1"/>
        </w:rPr>
        <w:t>效拉动终端市场销售；通过伙伴销售人员的培训和认证活动，进一步提升渠道合作伙伴的能力，</w:t>
      </w:r>
      <w:r>
        <w:rPr>
          <w:spacing w:val="-55"/>
        </w:rPr>
        <w:t> </w:t>
      </w:r>
      <w:r>
        <w:rPr>
          <w:spacing w:val="-55"/>
        </w:rPr>
      </w:r>
      <w:r>
        <w:rPr/>
        <w:t>有效支撑终端客户市场的业务开拓。</w:t>
      </w:r>
    </w:p>
    <w:p>
      <w:pPr>
        <w:pStyle w:val="Heading3"/>
        <w:spacing w:line="357" w:lineRule="auto" w:before="32"/>
        <w:ind w:left="138" w:right="3966"/>
        <w:jc w:val="left"/>
        <w:rPr>
          <w:b w:val="0"/>
          <w:bCs w:val="0"/>
        </w:rPr>
      </w:pPr>
      <w:r>
        <w:rPr>
          <w:spacing w:val="-1"/>
        </w:rPr>
        <w:t>（</w:t>
      </w:r>
      <w:r>
        <w:rPr>
          <w:rFonts w:ascii="宋体" w:hAnsi="宋体" w:cs="宋体" w:eastAsia="宋体" w:hint="default"/>
          <w:spacing w:val="-1"/>
        </w:rPr>
        <w:t>4</w:t>
      </w:r>
      <w:r>
        <w:rPr>
          <w:spacing w:val="-1"/>
        </w:rPr>
        <w:t>）面向行业的解决方案与专业服务业务</w:t>
      </w:r>
      <w:r>
        <w:rPr>
          <w:spacing w:val="-88"/>
        </w:rPr>
        <w:t> </w:t>
      </w:r>
      <w:r>
        <w:rPr>
          <w:spacing w:val="-88"/>
        </w:rPr>
      </w:r>
      <w:r>
        <w:rPr>
          <w:rFonts w:ascii="宋体" w:hAnsi="宋体" w:cs="宋体" w:eastAsia="宋体" w:hint="default"/>
        </w:rPr>
        <w:t>1</w:t>
      </w:r>
      <w:r>
        <w:rPr/>
        <w:t>）政府行业</w:t>
      </w:r>
      <w:r>
        <w:rPr>
          <w:b w:val="0"/>
          <w:bCs w:val="0"/>
        </w:rPr>
      </w:r>
    </w:p>
    <w:p>
      <w:pPr>
        <w:pStyle w:val="BodyText"/>
        <w:spacing w:line="355" w:lineRule="auto" w:before="30"/>
        <w:ind w:left="138" w:right="147" w:firstLine="419"/>
        <w:jc w:val="both"/>
      </w:pPr>
      <w:r>
        <w:rPr>
          <w:spacing w:val="-3"/>
        </w:rPr>
        <w:t>报告期内，用友政务公司发布了财政一体化 </w:t>
      </w:r>
      <w:r>
        <w:rPr>
          <w:rFonts w:ascii="宋体" w:hAnsi="宋体" w:cs="宋体" w:eastAsia="宋体" w:hint="default"/>
          <w:spacing w:val="-3"/>
        </w:rPr>
        <w:t>V6.3</w:t>
      </w:r>
      <w:r>
        <w:rPr>
          <w:spacing w:val="-3"/>
        </w:rPr>
        <w:t>、财政社会保障资金信息管理系统</w:t>
      </w:r>
      <w:r>
        <w:rPr>
          <w:spacing w:val="-69"/>
        </w:rPr>
        <w:t> </w:t>
      </w:r>
      <w:r>
        <w:rPr>
          <w:rFonts w:ascii="宋体" w:hAnsi="宋体" w:cs="宋体" w:eastAsia="宋体" w:hint="default"/>
          <w:spacing w:val="-12"/>
        </w:rPr>
        <w:t>V1.0</w:t>
      </w:r>
      <w:r>
        <w:rPr>
          <w:spacing w:val="-12"/>
        </w:rPr>
        <w:t>、报</w:t>
      </w:r>
      <w:r>
        <w:rPr>
          <w:spacing w:val="-34"/>
          <w:w w:val="100"/>
        </w:rPr>
        <w:t> </w:t>
      </w:r>
      <w:r>
        <w:rPr/>
        <w:t>销产品</w:t>
      </w:r>
      <w:r>
        <w:rPr>
          <w:spacing w:val="-52"/>
        </w:rPr>
        <w:t> </w:t>
      </w:r>
      <w:r>
        <w:rPr>
          <w:rFonts w:ascii="宋体" w:hAnsi="宋体" w:cs="宋体" w:eastAsia="宋体" w:hint="default"/>
        </w:rPr>
        <w:t>V8.0</w:t>
      </w:r>
      <w:r>
        <w:rPr/>
        <w:t>、大数据管理平台</w:t>
      </w:r>
      <w:r>
        <w:rPr>
          <w:spacing w:val="-52"/>
        </w:rPr>
        <w:t> </w:t>
      </w:r>
      <w:r>
        <w:rPr>
          <w:rFonts w:ascii="宋体" w:hAnsi="宋体" w:cs="宋体" w:eastAsia="宋体" w:hint="default"/>
        </w:rPr>
        <w:t>V8.0</w:t>
      </w:r>
      <w:r>
        <w:rPr/>
        <w:t>、地方政府融资平台债务管理系统</w:t>
      </w:r>
      <w:r>
        <w:rPr>
          <w:spacing w:val="-52"/>
        </w:rPr>
        <w:t> </w:t>
      </w:r>
      <w:r>
        <w:rPr>
          <w:rFonts w:ascii="宋体" w:hAnsi="宋体" w:cs="宋体" w:eastAsia="宋体" w:hint="default"/>
        </w:rPr>
        <w:t>V8.0</w:t>
      </w:r>
      <w:r>
        <w:rPr/>
        <w:t>、财政数据分析</w:t>
      </w:r>
      <w:r>
        <w:rPr>
          <w:spacing w:val="-52"/>
        </w:rPr>
        <w:t> </w:t>
      </w:r>
      <w:r>
        <w:rPr>
          <w:rFonts w:ascii="宋体" w:hAnsi="宋体" w:cs="宋体" w:eastAsia="宋体" w:hint="default"/>
        </w:rPr>
        <w:t>V8.0</w:t>
      </w:r>
      <w:r>
        <w:rPr>
          <w:rFonts w:ascii="宋体" w:hAnsi="宋体" w:cs="宋体" w:eastAsia="宋体" w:hint="default"/>
          <w:w w:val="100"/>
        </w:rPr>
        <w:t> </w:t>
      </w:r>
      <w:r>
        <w:rPr/>
        <w:t>等产品；并积极推动了各级财政、行政及事业单位财务市场业务。</w:t>
      </w:r>
    </w:p>
    <w:p>
      <w:pPr>
        <w:pStyle w:val="Heading3"/>
        <w:spacing w:line="240" w:lineRule="auto" w:before="32"/>
        <w:ind w:left="138" w:right="0"/>
        <w:jc w:val="both"/>
        <w:rPr>
          <w:b w:val="0"/>
          <w:bCs w:val="0"/>
        </w:rPr>
      </w:pPr>
      <w:r>
        <w:rPr>
          <w:rFonts w:ascii="宋体" w:hAnsi="宋体" w:cs="宋体" w:eastAsia="宋体" w:hint="default"/>
        </w:rPr>
        <w:t>2</w:t>
      </w:r>
      <w:r>
        <w:rPr/>
        <w:t>）汽车行业</w:t>
      </w:r>
      <w:r>
        <w:rPr>
          <w:b w:val="0"/>
          <w:bCs w:val="0"/>
        </w:rPr>
      </w:r>
    </w:p>
    <w:p>
      <w:pPr>
        <w:pStyle w:val="BodyText"/>
        <w:spacing w:line="357" w:lineRule="auto" w:before="135"/>
        <w:ind w:left="138" w:right="148" w:firstLine="419"/>
        <w:jc w:val="both"/>
      </w:pPr>
      <w:r>
        <w:rPr>
          <w:spacing w:val="-2"/>
        </w:rPr>
        <w:t>报告期内，用友汽车公司业务稳定增长，坚持大客户经营管理模式与老客户运维模式，客户</w:t>
      </w:r>
      <w:r>
        <w:rPr>
          <w:w w:val="100"/>
        </w:rPr>
        <w:t> </w:t>
      </w:r>
      <w:r>
        <w:rPr/>
        <w:t>续签率达到</w:t>
      </w:r>
      <w:r>
        <w:rPr>
          <w:spacing w:val="6"/>
        </w:rPr>
        <w:t> </w:t>
      </w:r>
      <w:r>
        <w:rPr>
          <w:rFonts w:ascii="宋体" w:hAnsi="宋体" w:cs="宋体" w:eastAsia="宋体" w:hint="default"/>
        </w:rPr>
        <w:t>95%</w:t>
      </w:r>
      <w:r>
        <w:rPr/>
        <w:t>以上；积极开展汽车行业解决方案创新工作，继续加强对产品研发投入，发布了</w:t>
      </w:r>
      <w:r>
        <w:rPr>
          <w:w w:val="100"/>
        </w:rPr>
        <w:t> </w:t>
      </w:r>
      <w:r>
        <w:rPr/>
        <w:t>新一代</w:t>
      </w:r>
      <w:r>
        <w:rPr>
          <w:spacing w:val="-28"/>
        </w:rPr>
        <w:t> </w:t>
      </w:r>
      <w:r>
        <w:rPr>
          <w:rFonts w:ascii="宋体" w:hAnsi="宋体" w:cs="宋体" w:eastAsia="宋体" w:hint="default"/>
        </w:rPr>
        <w:t>DMS</w:t>
      </w:r>
      <w:r>
        <w:rPr>
          <w:rFonts w:ascii="宋体" w:hAnsi="宋体" w:cs="宋体" w:eastAsia="宋体" w:hint="default"/>
          <w:spacing w:val="-31"/>
        </w:rPr>
        <w:t> </w:t>
      </w:r>
      <w:r>
        <w:rPr>
          <w:spacing w:val="-7"/>
        </w:rPr>
        <w:t>产品；新客户数量及规模上再创新高，与林肯中国、宝马中国、捷豹路虎、玛莎拉蒂、</w:t>
      </w:r>
      <w:r>
        <w:rPr>
          <w:spacing w:val="-95"/>
        </w:rPr>
        <w:t> </w:t>
      </w:r>
      <w:r>
        <w:rPr>
          <w:spacing w:val="-95"/>
        </w:rPr>
      </w:r>
      <w:r>
        <w:rPr>
          <w:spacing w:val="-1"/>
        </w:rPr>
        <w:t>长城汽车、广汽新能源、蔚来汽车等整车厂以及陕西新丰泰集团、湖南顺意通集团、厦门宝马集</w:t>
      </w:r>
      <w:r>
        <w:rPr>
          <w:spacing w:val="-55"/>
        </w:rPr>
        <w:t> </w:t>
      </w:r>
      <w:r>
        <w:rPr>
          <w:spacing w:val="-55"/>
        </w:rPr>
      </w:r>
      <w:r>
        <w:rPr/>
        <w:t>团等多家经销商集团签约。</w:t>
      </w:r>
    </w:p>
    <w:p>
      <w:pPr>
        <w:pStyle w:val="Heading3"/>
        <w:spacing w:line="240" w:lineRule="auto" w:before="30"/>
        <w:ind w:left="138" w:right="0"/>
        <w:jc w:val="both"/>
        <w:rPr>
          <w:b w:val="0"/>
          <w:bCs w:val="0"/>
        </w:rPr>
      </w:pPr>
      <w:r>
        <w:rPr>
          <w:rFonts w:ascii="宋体" w:hAnsi="宋体" w:cs="宋体" w:eastAsia="宋体" w:hint="default"/>
        </w:rPr>
        <w:t>3</w:t>
      </w:r>
      <w:r>
        <w:rPr/>
        <w:t>）教育行业</w:t>
      </w:r>
      <w:r>
        <w:rPr>
          <w:b w:val="0"/>
          <w:bCs w:val="0"/>
        </w:rPr>
      </w:r>
    </w:p>
    <w:p>
      <w:pPr>
        <w:pStyle w:val="BodyText"/>
        <w:spacing w:line="357" w:lineRule="auto" w:before="133"/>
        <w:ind w:left="138" w:right="148" w:firstLine="419"/>
        <w:jc w:val="both"/>
      </w:pPr>
      <w:r>
        <w:rPr/>
        <w:t>报告期内，新道科技公司加大创新创业教育与商科实践教学业务投入，发版了新道</w:t>
      </w:r>
      <w:r>
        <w:rPr>
          <w:spacing w:val="-47"/>
        </w:rPr>
        <w:t> </w:t>
      </w:r>
      <w:r>
        <w:rPr>
          <w:rFonts w:ascii="宋体" w:hAnsi="宋体" w:cs="宋体" w:eastAsia="宋体" w:hint="default"/>
        </w:rPr>
        <w:t>ARE</w:t>
      </w:r>
      <w:r>
        <w:rPr>
          <w:rFonts w:ascii="宋体" w:hAnsi="宋体" w:cs="宋体" w:eastAsia="宋体" w:hint="default"/>
          <w:spacing w:val="-50"/>
        </w:rPr>
        <w:t> </w:t>
      </w:r>
      <w:r>
        <w:rPr>
          <w:spacing w:val="-3"/>
        </w:rPr>
        <w:t>虚拟</w:t>
      </w:r>
      <w:r>
        <w:rPr>
          <w:spacing w:val="-3"/>
          <w:w w:val="100"/>
        </w:rPr>
        <w:t> </w:t>
      </w:r>
      <w:r>
        <w:rPr/>
        <w:t>仿真教学平台</w:t>
      </w:r>
      <w:r>
        <w:rPr>
          <w:spacing w:val="-28"/>
        </w:rPr>
        <w:t> </w:t>
      </w:r>
      <w:r>
        <w:rPr>
          <w:rFonts w:ascii="宋体" w:hAnsi="宋体" w:cs="宋体" w:eastAsia="宋体" w:hint="default"/>
          <w:spacing w:val="-4"/>
        </w:rPr>
        <w:t>V1.1</w:t>
      </w:r>
      <w:r>
        <w:rPr>
          <w:spacing w:val="-4"/>
        </w:rPr>
        <w:t>、</w:t>
      </w:r>
      <w:r>
        <w:rPr>
          <w:rFonts w:ascii="宋体" w:hAnsi="宋体" w:cs="宋体" w:eastAsia="宋体" w:hint="default"/>
          <w:spacing w:val="-4"/>
        </w:rPr>
        <w:t>VBSE</w:t>
      </w:r>
      <w:r>
        <w:rPr>
          <w:rFonts w:ascii="宋体" w:hAnsi="宋体" w:cs="宋体" w:eastAsia="宋体" w:hint="default"/>
          <w:spacing w:val="-31"/>
        </w:rPr>
        <w:t> </w:t>
      </w:r>
      <w:r>
        <w:rPr>
          <w:spacing w:val="-4"/>
        </w:rPr>
        <w:t>财务微课互动教学服务等十余款产品；公司坚持“发展优质伙伴，提升</w:t>
      </w:r>
      <w:r>
        <w:rPr>
          <w:spacing w:val="-95"/>
        </w:rPr>
        <w:t> </w:t>
      </w:r>
      <w:r>
        <w:rPr>
          <w:spacing w:val="-95"/>
        </w:rPr>
      </w:r>
      <w:r>
        <w:rPr>
          <w:spacing w:val="-1"/>
        </w:rPr>
        <w:t>伙伴质量，加强伙伴员工培训投入，提升伙伴指名客户经营质量”的伙伴发展理念，全年累计发</w:t>
      </w:r>
      <w:r>
        <w:rPr>
          <w:spacing w:val="-55"/>
        </w:rPr>
        <w:t> </w:t>
      </w:r>
      <w:r>
        <w:rPr>
          <w:spacing w:val="-55"/>
        </w:rPr>
      </w:r>
      <w:r>
        <w:rPr/>
        <w:t>展伙伴</w:t>
      </w:r>
      <w:r>
        <w:rPr>
          <w:spacing w:val="-51"/>
        </w:rPr>
        <w:t> </w:t>
      </w:r>
      <w:r>
        <w:rPr>
          <w:rFonts w:ascii="宋体" w:hAnsi="宋体" w:cs="宋体" w:eastAsia="宋体" w:hint="default"/>
        </w:rPr>
        <w:t>107</w:t>
      </w:r>
      <w:r>
        <w:rPr>
          <w:rFonts w:ascii="宋体" w:hAnsi="宋体" w:cs="宋体" w:eastAsia="宋体" w:hint="default"/>
          <w:spacing w:val="-53"/>
        </w:rPr>
        <w:t> </w:t>
      </w:r>
      <w:r>
        <w:rPr/>
        <w:t>家。</w:t>
      </w:r>
    </w:p>
    <w:p>
      <w:pPr>
        <w:pStyle w:val="Heading3"/>
        <w:spacing w:line="240" w:lineRule="auto" w:before="30"/>
        <w:ind w:left="138" w:right="0"/>
        <w:jc w:val="both"/>
        <w:rPr>
          <w:b w:val="0"/>
          <w:bCs w:val="0"/>
        </w:rPr>
      </w:pPr>
      <w:r>
        <w:rPr>
          <w:rFonts w:ascii="宋体" w:hAnsi="宋体" w:cs="宋体" w:eastAsia="宋体" w:hint="default"/>
        </w:rPr>
        <w:t>4</w:t>
      </w:r>
      <w:r>
        <w:rPr/>
        <w:t>）金融行业</w:t>
      </w:r>
      <w:r>
        <w:rPr>
          <w:b w:val="0"/>
          <w:bCs w:val="0"/>
        </w:rPr>
      </w:r>
    </w:p>
    <w:p>
      <w:pPr>
        <w:pStyle w:val="BodyText"/>
        <w:spacing w:line="357" w:lineRule="auto" w:before="133"/>
        <w:ind w:left="138" w:right="148" w:firstLine="419"/>
        <w:jc w:val="both"/>
      </w:pPr>
      <w:r>
        <w:rPr>
          <w:spacing w:val="-1"/>
        </w:rPr>
        <w:t>报告期内，用友金融公司稳步推进各项工作，按照产品业务布局，</w:t>
      </w:r>
      <w:r>
        <w:rPr>
          <w:rFonts w:ascii="宋体" w:hAnsi="宋体" w:cs="宋体" w:eastAsia="宋体" w:hint="default"/>
          <w:spacing w:val="-1"/>
        </w:rPr>
        <w:t>V</w:t>
      </w:r>
      <w:r>
        <w:rPr>
          <w:spacing w:val="-1"/>
        </w:rPr>
        <w:t>（管理系列）、</w:t>
      </w:r>
      <w:r>
        <w:rPr>
          <w:rFonts w:ascii="宋体" w:hAnsi="宋体" w:cs="宋体" w:eastAsia="宋体" w:hint="default"/>
          <w:spacing w:val="-1"/>
        </w:rPr>
        <w:t>C</w:t>
      </w:r>
      <w:r>
        <w:rPr>
          <w:spacing w:val="-1"/>
        </w:rPr>
        <w:t>（业务</w:t>
      </w:r>
      <w:r>
        <w:rPr>
          <w:w w:val="100"/>
        </w:rPr>
        <w:t> </w:t>
      </w:r>
      <w:r>
        <w:rPr>
          <w:spacing w:val="-1"/>
        </w:rPr>
        <w:t>系列）、</w:t>
      </w:r>
      <w:r>
        <w:rPr>
          <w:rFonts w:ascii="宋体" w:hAnsi="宋体" w:cs="宋体" w:eastAsia="宋体" w:hint="default"/>
          <w:spacing w:val="-1"/>
        </w:rPr>
        <w:t>i</w:t>
      </w:r>
      <w:r>
        <w:rPr>
          <w:spacing w:val="-1"/>
        </w:rPr>
        <w:t>（云应用系列）、</w:t>
      </w:r>
      <w:r>
        <w:rPr>
          <w:rFonts w:ascii="宋体" w:hAnsi="宋体" w:cs="宋体" w:eastAsia="宋体" w:hint="default"/>
          <w:spacing w:val="-1"/>
        </w:rPr>
        <w:t>S</w:t>
      </w:r>
      <w:r>
        <w:rPr>
          <w:spacing w:val="-1"/>
        </w:rPr>
        <w:t>（服务系列）的四大系列产品及业务体系不断完善；营销及运营各</w:t>
      </w:r>
    </w:p>
    <w:p>
      <w:pPr>
        <w:spacing w:after="0" w:line="357" w:lineRule="auto"/>
        <w:jc w:val="both"/>
        <w:sectPr>
          <w:footerReference w:type="default" r:id="rId29"/>
          <w:pgSz w:w="11910" w:h="16840"/>
          <w:pgMar w:footer="1195" w:header="855" w:top="1320" w:bottom="1380" w:left="1660" w:right="1120"/>
        </w:sectPr>
      </w:pPr>
    </w:p>
    <w:p>
      <w:pPr>
        <w:spacing w:line="240" w:lineRule="auto" w:before="4"/>
        <w:rPr>
          <w:rFonts w:ascii="宋体" w:hAnsi="宋体" w:cs="宋体" w:eastAsia="宋体" w:hint="default"/>
          <w:sz w:val="9"/>
          <w:szCs w:val="9"/>
        </w:rPr>
      </w:pPr>
    </w:p>
    <w:p>
      <w:pPr>
        <w:pStyle w:val="BodyText"/>
        <w:spacing w:line="357" w:lineRule="auto" w:before="36"/>
        <w:ind w:left="138" w:right="0"/>
        <w:jc w:val="left"/>
      </w:pPr>
      <w:r>
        <w:rPr>
          <w:spacing w:val="-6"/>
        </w:rPr>
        <w:t>层面工作全面发力；签约国家开发银行、浦发银行、中国人保、新华人寿、华融信托、中信证券、</w:t>
      </w:r>
      <w:r>
        <w:rPr>
          <w:spacing w:val="-48"/>
        </w:rPr>
        <w:t> </w:t>
      </w:r>
      <w:r>
        <w:rPr>
          <w:spacing w:val="-48"/>
        </w:rPr>
      </w:r>
      <w:r>
        <w:rPr/>
        <w:t>海通证券等客户。</w:t>
      </w:r>
    </w:p>
    <w:p>
      <w:pPr>
        <w:pStyle w:val="Heading3"/>
        <w:spacing w:line="240" w:lineRule="auto" w:before="30"/>
        <w:ind w:left="138" w:right="0"/>
        <w:jc w:val="left"/>
        <w:rPr>
          <w:b w:val="0"/>
          <w:bCs w:val="0"/>
        </w:rPr>
      </w:pPr>
      <w:r>
        <w:rPr>
          <w:rFonts w:ascii="宋体" w:hAnsi="宋体" w:cs="宋体" w:eastAsia="宋体" w:hint="default"/>
        </w:rPr>
        <w:t>5</w:t>
      </w:r>
      <w:r>
        <w:rPr/>
        <w:t>）烟草行业</w:t>
      </w:r>
      <w:r>
        <w:rPr>
          <w:b w:val="0"/>
          <w:bCs w:val="0"/>
        </w:rPr>
      </w:r>
    </w:p>
    <w:p>
      <w:pPr>
        <w:pStyle w:val="BodyText"/>
        <w:spacing w:line="357" w:lineRule="auto" w:before="133"/>
        <w:ind w:left="138" w:right="147" w:firstLine="419"/>
        <w:jc w:val="both"/>
      </w:pPr>
      <w:r>
        <w:rPr/>
        <w:t>报告期内，用友烟草公司完成全国</w:t>
      </w:r>
      <w:r>
        <w:rPr>
          <w:spacing w:val="-50"/>
        </w:rPr>
        <w:t> </w:t>
      </w:r>
      <w:r>
        <w:rPr>
          <w:rFonts w:ascii="宋体" w:hAnsi="宋体" w:cs="宋体" w:eastAsia="宋体" w:hint="default"/>
        </w:rPr>
        <w:t>NC6.0</w:t>
      </w:r>
      <w:r>
        <w:rPr>
          <w:rFonts w:ascii="宋体" w:hAnsi="宋体" w:cs="宋体" w:eastAsia="宋体" w:hint="default"/>
          <w:spacing w:val="-50"/>
        </w:rPr>
        <w:t> </w:t>
      </w:r>
      <w:r>
        <w:rPr/>
        <w:t>行业统一财务管理信息系统安全升级、烟草移动门</w:t>
      </w:r>
      <w:r>
        <w:rPr>
          <w:w w:val="100"/>
        </w:rPr>
        <w:t> </w:t>
      </w:r>
      <w:r>
        <w:rPr>
          <w:spacing w:val="-1"/>
        </w:rPr>
        <w:t>户整体升级改版等；完成国家烟草总局行业核算升级项目省级单位验收工作、行业财务管控平台</w:t>
      </w:r>
      <w:r>
        <w:rPr>
          <w:spacing w:val="-55"/>
        </w:rPr>
        <w:t> </w:t>
      </w:r>
      <w:r>
        <w:rPr>
          <w:spacing w:val="-55"/>
        </w:rPr>
      </w:r>
      <w:r>
        <w:rPr>
          <w:spacing w:val="-6"/>
          <w:w w:val="100"/>
        </w:rPr>
        <w:t>项目验收准备工作；整体布局省级财务管控平台解决方案，落实烟草行业首家财务共享中心项目，</w:t>
      </w:r>
      <w:r>
        <w:rPr>
          <w:w w:val="100"/>
        </w:rPr>
        <w:t> </w:t>
      </w:r>
      <w:r>
        <w:rPr/>
        <w:t>推进行业由核算型财务向管理型财务转变。</w:t>
      </w:r>
    </w:p>
    <w:p>
      <w:pPr>
        <w:pStyle w:val="BodyText"/>
        <w:spacing w:line="357" w:lineRule="auto" w:before="30"/>
        <w:ind w:left="558" w:right="0" w:hanging="420"/>
        <w:jc w:val="left"/>
      </w:pPr>
      <w:r>
        <w:rPr>
          <w:rFonts w:ascii="宋体" w:hAnsi="宋体" w:cs="宋体" w:eastAsia="宋体" w:hint="default"/>
          <w:b/>
          <w:bCs/>
        </w:rPr>
        <w:t>6</w:t>
      </w:r>
      <w:r>
        <w:rPr>
          <w:rFonts w:ascii="宋体" w:hAnsi="宋体" w:cs="宋体" w:eastAsia="宋体" w:hint="default"/>
          <w:b/>
          <w:bCs/>
        </w:rPr>
        <w:t>）广电与电信行业</w:t>
      </w:r>
      <w:r>
        <w:rPr>
          <w:rFonts w:ascii="宋体" w:hAnsi="宋体" w:cs="宋体" w:eastAsia="宋体" w:hint="default"/>
          <w:b/>
          <w:bCs/>
          <w:w w:val="100"/>
        </w:rPr>
        <w:t> </w:t>
      </w:r>
      <w:r>
        <w:rPr>
          <w:spacing w:val="-2"/>
        </w:rPr>
        <w:t>报告期内，用友广信公司加快电信行业化产品开发，发布广信精准帮扶信息管理系统，深化</w:t>
      </w:r>
    </w:p>
    <w:p>
      <w:pPr>
        <w:pStyle w:val="BodyText"/>
        <w:spacing w:line="357" w:lineRule="auto" w:before="30"/>
        <w:ind w:left="138" w:right="148"/>
        <w:jc w:val="both"/>
      </w:pPr>
      <w:r>
        <w:rPr>
          <w:spacing w:val="-6"/>
        </w:rPr>
        <w:t>行业应用和轻量化应用，提升用户使用效率，提高运维服务价值；参与中国联通混合所有制改革，</w:t>
      </w:r>
      <w:r>
        <w:rPr>
          <w:spacing w:val="-54"/>
        </w:rPr>
        <w:t> </w:t>
      </w:r>
      <w:r>
        <w:rPr>
          <w:spacing w:val="-54"/>
        </w:rPr>
      </w:r>
      <w:r>
        <w:rPr>
          <w:spacing w:val="-1"/>
        </w:rPr>
        <w:t>参与联通内部新业务系统建设；积极推进广电总局下属全国机构的经营与服务；签约中国联通、</w:t>
      </w:r>
      <w:r>
        <w:rPr>
          <w:spacing w:val="-55"/>
        </w:rPr>
        <w:t> </w:t>
      </w:r>
      <w:r>
        <w:rPr>
          <w:spacing w:val="-55"/>
        </w:rPr>
      </w:r>
      <w:r>
        <w:rPr/>
        <w:t>中国移动宁夏公司、中央电视台、山东广电集团等客户。</w:t>
      </w:r>
    </w:p>
    <w:p>
      <w:pPr>
        <w:pStyle w:val="Heading3"/>
        <w:spacing w:line="240" w:lineRule="auto" w:before="30"/>
        <w:ind w:left="138" w:right="0"/>
        <w:jc w:val="left"/>
        <w:rPr>
          <w:b w:val="0"/>
          <w:bCs w:val="0"/>
        </w:rPr>
      </w:pPr>
      <w:r>
        <w:rPr>
          <w:rFonts w:ascii="宋体" w:hAnsi="宋体" w:cs="宋体" w:eastAsia="宋体" w:hint="default"/>
        </w:rPr>
        <w:t>7</w:t>
      </w:r>
      <w:r>
        <w:rPr/>
        <w:t>）能源行业</w:t>
      </w:r>
      <w:r>
        <w:rPr>
          <w:b w:val="0"/>
          <w:bCs w:val="0"/>
        </w:rPr>
      </w:r>
    </w:p>
    <w:p>
      <w:pPr>
        <w:pStyle w:val="BodyText"/>
        <w:spacing w:line="357" w:lineRule="auto" w:before="133"/>
        <w:ind w:left="138" w:right="149" w:firstLine="419"/>
        <w:jc w:val="both"/>
      </w:pPr>
      <w:r>
        <w:rPr/>
        <w:t>报告期内，用友能源公司完成了电力安全生产</w:t>
      </w:r>
      <w:r>
        <w:rPr>
          <w:spacing w:val="-48"/>
        </w:rPr>
        <w:t> </w:t>
      </w:r>
      <w:r>
        <w:rPr>
          <w:rFonts w:ascii="宋体" w:hAnsi="宋体" w:cs="宋体" w:eastAsia="宋体" w:hint="default"/>
        </w:rPr>
        <w:t>2.0</w:t>
      </w:r>
      <w:r>
        <w:rPr>
          <w:rFonts w:ascii="宋体" w:hAnsi="宋体" w:cs="宋体" w:eastAsia="宋体" w:hint="default"/>
          <w:spacing w:val="-51"/>
        </w:rPr>
        <w:t> </w:t>
      </w:r>
      <w:r>
        <w:rPr/>
        <w:t>版本系统重构、电力安全生产管理系统完</w:t>
      </w:r>
      <w:r>
        <w:rPr>
          <w:w w:val="100"/>
        </w:rPr>
        <w:t> </w:t>
      </w:r>
      <w:r>
        <w:rPr>
          <w:spacing w:val="-1"/>
        </w:rPr>
        <w:t>善，与国家电网、华能、国电、中核等能源行业龙头企业持续深入合作，在财务、人力资源、供</w:t>
      </w:r>
      <w:r>
        <w:rPr>
          <w:spacing w:val="-55"/>
        </w:rPr>
        <w:t> </w:t>
      </w:r>
      <w:r>
        <w:rPr>
          <w:spacing w:val="-55"/>
        </w:rPr>
      </w:r>
      <w:r>
        <w:rPr>
          <w:spacing w:val="-1"/>
        </w:rPr>
        <w:t>应链、生产管理、共享服务、工程项目管理、煤炭行业深化应用等领域取得较大进展；公司客户</w:t>
      </w:r>
      <w:r>
        <w:rPr>
          <w:spacing w:val="-55"/>
        </w:rPr>
        <w:t> </w:t>
      </w:r>
      <w:r>
        <w:rPr>
          <w:spacing w:val="-55"/>
        </w:rPr>
      </w:r>
      <w:r>
        <w:rPr>
          <w:spacing w:val="-1"/>
        </w:rPr>
        <w:t>服务体系持续完善，服务产品及方式向云模式发展，客户服务流程规范化，确保客户满意度，实</w:t>
      </w:r>
      <w:r>
        <w:rPr>
          <w:spacing w:val="-55"/>
        </w:rPr>
        <w:t> </w:t>
      </w:r>
      <w:r>
        <w:rPr>
          <w:spacing w:val="-55"/>
        </w:rPr>
      </w:r>
      <w:r>
        <w:rPr/>
        <w:t>现了客户服务续约率的大幅提升。</w:t>
      </w:r>
    </w:p>
    <w:p>
      <w:pPr>
        <w:pStyle w:val="Heading3"/>
        <w:spacing w:line="240" w:lineRule="auto" w:before="30"/>
        <w:ind w:left="138" w:right="0"/>
        <w:jc w:val="left"/>
        <w:rPr>
          <w:b w:val="0"/>
          <w:bCs w:val="0"/>
        </w:rPr>
      </w:pPr>
      <w:r>
        <w:rPr>
          <w:rFonts w:ascii="宋体" w:hAnsi="宋体" w:cs="宋体" w:eastAsia="宋体" w:hint="default"/>
        </w:rPr>
        <w:t>8</w:t>
      </w:r>
      <w:r>
        <w:rPr/>
        <w:t>）医疗行业</w:t>
      </w:r>
      <w:r>
        <w:rPr>
          <w:b w:val="0"/>
          <w:bCs w:val="0"/>
        </w:rPr>
      </w:r>
    </w:p>
    <w:p>
      <w:pPr>
        <w:pStyle w:val="BodyText"/>
        <w:spacing w:line="357" w:lineRule="auto" w:before="133"/>
        <w:ind w:left="138" w:right="147" w:firstLine="419"/>
        <w:jc w:val="both"/>
      </w:pPr>
      <w:r>
        <w:rPr>
          <w:spacing w:val="-7"/>
          <w:w w:val="100"/>
        </w:rPr>
        <w:t>报告期内，用友医疗公司业务稳定增长，公司与多家中央直属医院及大型医疗集团强强联合，</w:t>
      </w:r>
      <w:r>
        <w:rPr>
          <w:w w:val="100"/>
        </w:rPr>
        <w:t> </w:t>
      </w:r>
      <w:r>
        <w:rPr>
          <w:spacing w:val="-1"/>
        </w:rPr>
        <w:t>进一步巩固高端医疗市场领军地位；助力区域卫生经济监管，在多省市签约落地；</w:t>
      </w:r>
      <w:r>
        <w:rPr>
          <w:rFonts w:ascii="宋体" w:hAnsi="宋体" w:cs="宋体" w:eastAsia="宋体" w:hint="default"/>
          <w:spacing w:val="-1"/>
        </w:rPr>
        <w:t>H+</w:t>
      </w:r>
      <w:r>
        <w:rPr>
          <w:spacing w:val="-1"/>
        </w:rPr>
        <w:t>数字医疗解</w:t>
      </w:r>
      <w:r>
        <w:rPr>
          <w:spacing w:val="-55"/>
        </w:rPr>
        <w:t> </w:t>
      </w:r>
      <w:r>
        <w:rPr>
          <w:spacing w:val="-55"/>
        </w:rPr>
      </w:r>
      <w:r>
        <w:rPr>
          <w:spacing w:val="-1"/>
        </w:rPr>
        <w:t>决方案成熟稳定，多家医院上线验收，同时吸引一批新用户；智慧卫生产品达到领先水平，镇江</w:t>
      </w:r>
      <w:r>
        <w:rPr>
          <w:spacing w:val="-55"/>
        </w:rPr>
        <w:t> </w:t>
      </w:r>
      <w:r>
        <w:rPr>
          <w:spacing w:val="-55"/>
        </w:rPr>
      </w:r>
      <w:r>
        <w:rPr>
          <w:spacing w:val="-1"/>
        </w:rPr>
        <w:t>市全面健康信息化项目通过四级评审；积极推进上下游产业链间的合作，生态合作业务实现翻倍</w:t>
      </w:r>
      <w:r>
        <w:rPr>
          <w:spacing w:val="-55"/>
        </w:rPr>
        <w:t> </w:t>
      </w:r>
      <w:r>
        <w:rPr>
          <w:spacing w:val="-55"/>
        </w:rPr>
      </w:r>
      <w:r>
        <w:rPr/>
        <w:t>增长。</w:t>
      </w:r>
    </w:p>
    <w:p>
      <w:pPr>
        <w:pStyle w:val="Heading3"/>
        <w:spacing w:line="240" w:lineRule="auto" w:before="33"/>
        <w:ind w:left="138" w:right="0"/>
        <w:jc w:val="left"/>
        <w:rPr>
          <w:b w:val="0"/>
          <w:bCs w:val="0"/>
        </w:rPr>
      </w:pPr>
      <w:r>
        <w:rPr>
          <w:rFonts w:ascii="宋体" w:hAnsi="宋体" w:cs="宋体" w:eastAsia="宋体" w:hint="default"/>
        </w:rPr>
        <w:t>9</w:t>
      </w:r>
      <w:r>
        <w:rPr/>
        <w:t>）审计行业</w:t>
      </w:r>
      <w:r>
        <w:rPr>
          <w:b w:val="0"/>
          <w:bCs w:val="0"/>
        </w:rPr>
      </w:r>
    </w:p>
    <w:p>
      <w:pPr>
        <w:pStyle w:val="BodyText"/>
        <w:spacing w:line="355" w:lineRule="auto" w:before="133"/>
        <w:ind w:left="138" w:right="147" w:firstLine="419"/>
        <w:jc w:val="both"/>
      </w:pPr>
      <w:r>
        <w:rPr>
          <w:spacing w:val="-2"/>
        </w:rPr>
        <w:t>报告期内，用友审计公司持续深化行业经营、产品标准化策略，全力加大研发投入，提升客</w:t>
      </w:r>
      <w:r>
        <w:rPr>
          <w:w w:val="100"/>
        </w:rPr>
        <w:t> </w:t>
      </w:r>
      <w:r>
        <w:rPr>
          <w:spacing w:val="-1"/>
        </w:rPr>
        <w:t>户价值，实现可持续发展；优化了业务结构和业务模式，有效地控制了人员规模和成本费用，公</w:t>
      </w:r>
      <w:r>
        <w:rPr>
          <w:spacing w:val="-55"/>
        </w:rPr>
        <w:t> </w:t>
      </w:r>
      <w:r>
        <w:rPr>
          <w:spacing w:val="-55"/>
        </w:rPr>
      </w:r>
      <w:r>
        <w:rPr>
          <w:spacing w:val="-1"/>
        </w:rPr>
        <w:t>司经营效益取得了明显的提升；新增签约客户百余家，签约了五粮液集团、中国核工业集团、江</w:t>
      </w:r>
      <w:r>
        <w:rPr>
          <w:spacing w:val="-54"/>
        </w:rPr>
        <w:t> </w:t>
      </w:r>
      <w:r>
        <w:rPr>
          <w:spacing w:val="-54"/>
        </w:rPr>
      </w:r>
      <w:r>
        <w:rPr/>
        <w:t>西省地税局等标杆客户。</w:t>
      </w:r>
    </w:p>
    <w:p>
      <w:pPr>
        <w:spacing w:line="355" w:lineRule="auto" w:before="34"/>
        <w:ind w:left="558" w:right="0" w:hanging="42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、金融业务发展情况</w:t>
      </w:r>
      <w:r>
        <w:rPr>
          <w:rFonts w:ascii="宋体" w:hAnsi="宋体" w:cs="宋体" w:eastAsia="宋体" w:hint="default"/>
          <w:b/>
          <w:bCs/>
          <w:spacing w:val="-103"/>
          <w:sz w:val="21"/>
          <w:szCs w:val="21"/>
        </w:rPr>
        <w:t> </w:t>
      </w:r>
      <w:r>
        <w:rPr>
          <w:rFonts w:ascii="宋体" w:hAnsi="宋体" w:cs="宋体" w:eastAsia="宋体" w:hint="default"/>
          <w:spacing w:val="-2"/>
          <w:sz w:val="21"/>
          <w:szCs w:val="21"/>
        </w:rPr>
        <w:t>报告期内，公司继续走规模自营加广泛合作的发展模式，加强场景、深化融合、发展数据金</w:t>
      </w:r>
    </w:p>
    <w:p>
      <w:pPr>
        <w:pStyle w:val="BodyText"/>
        <w:spacing w:line="357" w:lineRule="auto" w:before="32"/>
        <w:ind w:left="138" w:right="0"/>
        <w:jc w:val="left"/>
      </w:pPr>
      <w:r>
        <w:rPr>
          <w:spacing w:val="-1"/>
        </w:rPr>
        <w:t>融服务，实现利润化增长。公司已经完成了银行、支付等金融业务布局，为企业金融一体化服务</w:t>
      </w:r>
      <w:r>
        <w:rPr>
          <w:spacing w:val="-55"/>
        </w:rPr>
        <w:t> </w:t>
      </w:r>
      <w:r>
        <w:rPr>
          <w:spacing w:val="-55"/>
        </w:rPr>
      </w:r>
      <w:r>
        <w:rPr>
          <w:spacing w:val="-1"/>
        </w:rPr>
        <w:t>奠定了基础，已经开展的业务加强了合规和风险管控。报告期内，畅捷支付实现金融业务成交金</w:t>
      </w:r>
    </w:p>
    <w:p>
      <w:pPr>
        <w:spacing w:after="0" w:line="357" w:lineRule="auto"/>
        <w:jc w:val="left"/>
        <w:sectPr>
          <w:footerReference w:type="default" r:id="rId30"/>
          <w:pgSz w:w="11910" w:h="16840"/>
          <w:pgMar w:footer="1195" w:header="855" w:top="1320" w:bottom="1380" w:left="1660" w:right="1120"/>
          <w:pgNumType w:start="31"/>
        </w:sectPr>
      </w:pPr>
    </w:p>
    <w:p>
      <w:pPr>
        <w:spacing w:line="240" w:lineRule="auto" w:before="4"/>
        <w:rPr>
          <w:rFonts w:ascii="宋体" w:hAnsi="宋体" w:cs="宋体" w:eastAsia="宋体" w:hint="default"/>
          <w:sz w:val="9"/>
          <w:szCs w:val="9"/>
        </w:rPr>
      </w:pPr>
    </w:p>
    <w:p>
      <w:pPr>
        <w:pStyle w:val="BodyText"/>
        <w:spacing w:line="357" w:lineRule="auto" w:before="36"/>
        <w:ind w:left="138" w:right="208"/>
        <w:jc w:val="both"/>
      </w:pPr>
      <w:r>
        <w:rPr/>
        <w:t>额</w:t>
      </w:r>
      <w:r>
        <w:rPr>
          <w:spacing w:val="-42"/>
        </w:rPr>
        <w:t> </w:t>
      </w:r>
      <w:r>
        <w:rPr>
          <w:rFonts w:ascii="宋体" w:hAnsi="宋体" w:cs="宋体" w:eastAsia="宋体" w:hint="default"/>
        </w:rPr>
        <w:t>2786</w:t>
      </w:r>
      <w:r>
        <w:rPr>
          <w:rFonts w:ascii="宋体" w:hAnsi="宋体" w:cs="宋体" w:eastAsia="宋体" w:hint="default"/>
          <w:spacing w:val="-42"/>
        </w:rPr>
        <w:t> </w:t>
      </w:r>
      <w:r>
        <w:rPr/>
        <w:t>亿元，同比增长</w:t>
      </w:r>
      <w:r>
        <w:rPr>
          <w:spacing w:val="-41"/>
        </w:rPr>
        <w:t> </w:t>
      </w:r>
      <w:r>
        <w:rPr>
          <w:rFonts w:ascii="宋体" w:hAnsi="宋体" w:cs="宋体" w:eastAsia="宋体" w:hint="default"/>
        </w:rPr>
        <w:t>166%</w:t>
      </w:r>
      <w:r>
        <w:rPr/>
        <w:t>；友金所业务持续稳定发展，平台累计撮合投资成交金额</w:t>
      </w:r>
      <w:r>
        <w:rPr>
          <w:spacing w:val="-42"/>
        </w:rPr>
        <w:t> </w:t>
      </w:r>
      <w:r>
        <w:rPr>
          <w:rFonts w:ascii="宋体" w:hAnsi="宋体" w:cs="宋体" w:eastAsia="宋体" w:hint="default"/>
        </w:rPr>
        <w:t>265</w:t>
      </w:r>
      <w:r>
        <w:rPr>
          <w:rFonts w:ascii="宋体" w:hAnsi="宋体" w:cs="宋体" w:eastAsia="宋体" w:hint="default"/>
          <w:spacing w:val="-44"/>
        </w:rPr>
        <w:t> </w:t>
      </w:r>
      <w:r>
        <w:rPr/>
        <w:t>亿元</w:t>
      </w:r>
      <w:r>
        <w:rPr>
          <w:w w:val="100"/>
        </w:rPr>
        <w:t> </w:t>
      </w:r>
      <w:r>
        <w:rPr/>
        <w:t>人民币，同比增长</w:t>
      </w:r>
      <w:r>
        <w:rPr>
          <w:spacing w:val="-54"/>
        </w:rPr>
        <w:t> </w:t>
      </w:r>
      <w:r>
        <w:rPr>
          <w:rFonts w:ascii="宋体" w:hAnsi="宋体" w:cs="宋体" w:eastAsia="宋体" w:hint="default"/>
        </w:rPr>
        <w:t>141%</w:t>
      </w:r>
      <w:r>
        <w:rPr/>
        <w:t>。</w:t>
      </w:r>
    </w:p>
    <w:p>
      <w:pPr>
        <w:pStyle w:val="Heading3"/>
        <w:spacing w:line="240" w:lineRule="auto" w:before="30"/>
        <w:ind w:left="138" w:right="102"/>
        <w:jc w:val="left"/>
        <w:rPr>
          <w:b w:val="0"/>
          <w:bCs w:val="0"/>
        </w:rPr>
      </w:pPr>
      <w:r>
        <w:rPr/>
        <w:t>（</w:t>
      </w:r>
      <w:r>
        <w:rPr>
          <w:rFonts w:ascii="宋体" w:hAnsi="宋体" w:cs="宋体" w:eastAsia="宋体" w:hint="default"/>
        </w:rPr>
        <w:t>1</w:t>
      </w:r>
      <w:r>
        <w:rPr/>
        <w:t>）支付业务</w:t>
      </w:r>
      <w:r>
        <w:rPr>
          <w:b w:val="0"/>
          <w:bCs w:val="0"/>
        </w:rPr>
      </w:r>
    </w:p>
    <w:p>
      <w:pPr>
        <w:pStyle w:val="BodyText"/>
        <w:spacing w:line="357" w:lineRule="auto" w:before="133"/>
        <w:ind w:left="138" w:right="208" w:firstLine="419"/>
        <w:jc w:val="both"/>
      </w:pPr>
      <w:r>
        <w:rPr>
          <w:spacing w:val="-2"/>
        </w:rPr>
        <w:t>报告期内，畅捷支付公司为客户提供一站式支付解决方案，满足客户多支付工具、多支付场</w:t>
      </w:r>
      <w:r>
        <w:rPr>
          <w:w w:val="100"/>
        </w:rPr>
        <w:t> </w:t>
      </w:r>
      <w:r>
        <w:rPr>
          <w:spacing w:val="-1"/>
        </w:rPr>
        <w:t>景、多渠道对账的需求，同时在零售、汽车、餐饮、互联网金融行业提供个性化的支付结算解决</w:t>
      </w:r>
      <w:r>
        <w:rPr>
          <w:spacing w:val="-55"/>
        </w:rPr>
        <w:t> </w:t>
      </w:r>
      <w:r>
        <w:rPr>
          <w:spacing w:val="-55"/>
        </w:rPr>
      </w:r>
      <w:r>
        <w:rPr>
          <w:spacing w:val="-1"/>
        </w:rPr>
        <w:t>方案；与工商银行签署战略合作协议，将在企业现金管理、支付结算等多方面展开深入合作。报</w:t>
      </w:r>
      <w:r>
        <w:rPr>
          <w:spacing w:val="-55"/>
        </w:rPr>
        <w:t> </w:t>
      </w:r>
      <w:r>
        <w:rPr>
          <w:spacing w:val="-55"/>
        </w:rPr>
      </w:r>
      <w:r>
        <w:rPr/>
        <w:t>告期内，实现金融业务成交金额</w:t>
      </w:r>
      <w:r>
        <w:rPr>
          <w:spacing w:val="-55"/>
        </w:rPr>
        <w:t> </w:t>
      </w:r>
      <w:r>
        <w:rPr>
          <w:rFonts w:ascii="宋体" w:hAnsi="宋体" w:cs="宋体" w:eastAsia="宋体" w:hint="default"/>
        </w:rPr>
        <w:t>2786</w:t>
      </w:r>
      <w:r>
        <w:rPr>
          <w:rFonts w:ascii="宋体" w:hAnsi="宋体" w:cs="宋体" w:eastAsia="宋体" w:hint="default"/>
          <w:spacing w:val="-55"/>
        </w:rPr>
        <w:t> </w:t>
      </w:r>
      <w:r>
        <w:rPr/>
        <w:t>亿元，同比增长</w:t>
      </w:r>
      <w:r>
        <w:rPr>
          <w:spacing w:val="-55"/>
        </w:rPr>
        <w:t> </w:t>
      </w:r>
      <w:r>
        <w:rPr>
          <w:rFonts w:ascii="宋体" w:hAnsi="宋体" w:cs="宋体" w:eastAsia="宋体" w:hint="default"/>
        </w:rPr>
        <w:t>166%</w:t>
      </w:r>
      <w:r>
        <w:rPr/>
        <w:t>，企业客户数比去年新增</w:t>
      </w:r>
      <w:r>
        <w:rPr>
          <w:spacing w:val="-55"/>
        </w:rPr>
        <w:t> </w:t>
      </w:r>
      <w:r>
        <w:rPr>
          <w:rFonts w:ascii="宋体" w:hAnsi="宋体" w:cs="宋体" w:eastAsia="宋体" w:hint="default"/>
        </w:rPr>
        <w:t>15</w:t>
      </w:r>
      <w:r>
        <w:rPr>
          <w:rFonts w:ascii="宋体" w:hAnsi="宋体" w:cs="宋体" w:eastAsia="宋体" w:hint="default"/>
          <w:spacing w:val="-57"/>
        </w:rPr>
        <w:t> </w:t>
      </w:r>
      <w:r>
        <w:rPr/>
        <w:t>万家。</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spacing w:line="5644" w:lineRule="exact"/>
        <w:ind w:left="557" w:right="0" w:firstLine="0"/>
        <w:rPr>
          <w:rFonts w:ascii="宋体" w:hAnsi="宋体" w:cs="宋体" w:eastAsia="宋体" w:hint="default"/>
          <w:sz w:val="20"/>
          <w:szCs w:val="20"/>
        </w:rPr>
      </w:pPr>
      <w:r>
        <w:rPr>
          <w:rFonts w:ascii="宋体" w:hAnsi="宋体" w:cs="宋体" w:eastAsia="宋体" w:hint="default"/>
          <w:position w:val="-112"/>
          <w:sz w:val="20"/>
          <w:szCs w:val="20"/>
        </w:rPr>
        <w:drawing>
          <wp:inline distT="0" distB="0" distL="0" distR="0">
            <wp:extent cx="5247307" cy="3584448"/>
            <wp:effectExtent l="0" t="0" r="0" b="0"/>
            <wp:docPr id="25" name="image14.jpeg" descr=""/>
            <wp:cNvGraphicFramePr>
              <a:graphicFrameLocks noChangeAspect="1"/>
            </wp:cNvGraphicFramePr>
            <a:graphic>
              <a:graphicData uri="http://schemas.openxmlformats.org/drawingml/2006/picture">
                <pic:pic>
                  <pic:nvPicPr>
                    <pic:cNvPr id="26" name="image14.jpeg"/>
                    <pic:cNvPicPr/>
                  </pic:nvPicPr>
                  <pic:blipFill>
                    <a:blip r:embed="rId31" cstate="print"/>
                    <a:stretch>
                      <a:fillRect/>
                    </a:stretch>
                  </pic:blipFill>
                  <pic:spPr>
                    <a:xfrm>
                      <a:off x="0" y="0"/>
                      <a:ext cx="5247307" cy="3584448"/>
                    </a:xfrm>
                    <a:prstGeom prst="rect">
                      <a:avLst/>
                    </a:prstGeom>
                  </pic:spPr>
                </pic:pic>
              </a:graphicData>
            </a:graphic>
          </wp:inline>
        </w:drawing>
      </w:r>
      <w:r>
        <w:rPr>
          <w:rFonts w:ascii="宋体" w:hAnsi="宋体" w:cs="宋体" w:eastAsia="宋体" w:hint="default"/>
          <w:position w:val="-112"/>
          <w:sz w:val="20"/>
          <w:szCs w:val="20"/>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9"/>
          <w:szCs w:val="19"/>
        </w:rPr>
      </w:pPr>
    </w:p>
    <w:p>
      <w:pPr>
        <w:spacing w:line="357" w:lineRule="auto" w:before="0"/>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）互联网投融资信息服务业务</w:t>
      </w:r>
      <w:r>
        <w:rPr>
          <w:rFonts w:ascii="宋体" w:hAnsi="宋体" w:cs="宋体" w:eastAsia="宋体" w:hint="default"/>
          <w:b/>
          <w:bCs/>
          <w:w w:val="100"/>
          <w:sz w:val="21"/>
          <w:szCs w:val="21"/>
        </w:rPr>
        <w:t> </w:t>
      </w:r>
      <w:r>
        <w:rPr>
          <w:rFonts w:ascii="宋体" w:hAnsi="宋体" w:cs="宋体" w:eastAsia="宋体" w:hint="default"/>
          <w:spacing w:val="-2"/>
          <w:sz w:val="21"/>
          <w:szCs w:val="21"/>
        </w:rPr>
        <w:t>报告期内，友金所提供专业的全流程投融资信息服务，打造安全、便捷、丰富的互联网投融</w:t>
      </w:r>
    </w:p>
    <w:p>
      <w:pPr>
        <w:pStyle w:val="BodyText"/>
        <w:spacing w:line="357" w:lineRule="auto" w:before="30"/>
        <w:ind w:left="138" w:right="208"/>
        <w:jc w:val="both"/>
      </w:pPr>
      <w:r>
        <w:rPr>
          <w:spacing w:val="-1"/>
        </w:rPr>
        <w:t>资信息服务平台；通过系统监测和人工排查相结合的方式优化风险监控手段，在事前预防、事中</w:t>
      </w:r>
      <w:r>
        <w:rPr>
          <w:spacing w:val="-55"/>
        </w:rPr>
        <w:t> </w:t>
      </w:r>
      <w:r>
        <w:rPr>
          <w:spacing w:val="-55"/>
        </w:rPr>
      </w:r>
      <w:r>
        <w:rPr>
          <w:spacing w:val="-1"/>
        </w:rPr>
        <w:t>监控、事后跟踪各个环节有效降低了风险；友金所业务持续稳定发展，平台累计撮合投资成交金</w:t>
      </w:r>
      <w:r>
        <w:rPr>
          <w:spacing w:val="-55"/>
        </w:rPr>
        <w:t> </w:t>
      </w:r>
      <w:r>
        <w:rPr>
          <w:spacing w:val="-55"/>
        </w:rPr>
      </w:r>
      <w:r>
        <w:rPr/>
        <w:t>额</w:t>
      </w:r>
      <w:r>
        <w:rPr>
          <w:spacing w:val="-44"/>
        </w:rPr>
        <w:t> </w:t>
      </w:r>
      <w:r>
        <w:rPr>
          <w:rFonts w:ascii="宋体" w:hAnsi="宋体" w:cs="宋体" w:eastAsia="宋体" w:hint="default"/>
        </w:rPr>
        <w:t>265</w:t>
      </w:r>
      <w:r>
        <w:rPr>
          <w:rFonts w:ascii="宋体" w:hAnsi="宋体" w:cs="宋体" w:eastAsia="宋体" w:hint="default"/>
          <w:spacing w:val="-46"/>
        </w:rPr>
        <w:t> </w:t>
      </w:r>
      <w:r>
        <w:rPr>
          <w:spacing w:val="-3"/>
        </w:rPr>
        <w:t>亿元人民币，比去年年末增加</w:t>
      </w:r>
      <w:r>
        <w:rPr>
          <w:spacing w:val="-44"/>
        </w:rPr>
        <w:t> </w:t>
      </w:r>
      <w:r>
        <w:rPr>
          <w:rFonts w:ascii="宋体" w:hAnsi="宋体" w:cs="宋体" w:eastAsia="宋体" w:hint="default"/>
        </w:rPr>
        <w:t>155</w:t>
      </w:r>
      <w:r>
        <w:rPr>
          <w:rFonts w:ascii="宋体" w:hAnsi="宋体" w:cs="宋体" w:eastAsia="宋体" w:hint="default"/>
          <w:spacing w:val="-46"/>
        </w:rPr>
        <w:t> </w:t>
      </w:r>
      <w:r>
        <w:rPr>
          <w:spacing w:val="-4"/>
        </w:rPr>
        <w:t>亿元，增长了</w:t>
      </w:r>
      <w:r>
        <w:rPr>
          <w:spacing w:val="-43"/>
        </w:rPr>
        <w:t> </w:t>
      </w:r>
      <w:r>
        <w:rPr>
          <w:rFonts w:ascii="宋体" w:hAnsi="宋体" w:cs="宋体" w:eastAsia="宋体" w:hint="default"/>
          <w:spacing w:val="-3"/>
        </w:rPr>
        <w:t>141%</w:t>
      </w:r>
      <w:r>
        <w:rPr>
          <w:spacing w:val="-3"/>
        </w:rPr>
        <w:t>，累计用户数</w:t>
      </w:r>
      <w:r>
        <w:rPr>
          <w:spacing w:val="-46"/>
        </w:rPr>
        <w:t> </w:t>
      </w:r>
      <w:r>
        <w:rPr>
          <w:rFonts w:ascii="宋体" w:hAnsi="宋体" w:cs="宋体" w:eastAsia="宋体" w:hint="default"/>
        </w:rPr>
        <w:t>128</w:t>
      </w:r>
      <w:r>
        <w:rPr>
          <w:rFonts w:ascii="宋体" w:hAnsi="宋体" w:cs="宋体" w:eastAsia="宋体" w:hint="default"/>
          <w:spacing w:val="-43"/>
        </w:rPr>
        <w:t> </w:t>
      </w:r>
      <w:r>
        <w:rPr>
          <w:spacing w:val="-3"/>
        </w:rPr>
        <w:t>万人，比去年年末</w:t>
      </w:r>
      <w:r>
        <w:rPr>
          <w:spacing w:val="-101"/>
        </w:rPr>
        <w:t> </w:t>
      </w:r>
      <w:r>
        <w:rPr>
          <w:spacing w:val="-101"/>
        </w:rPr>
      </w:r>
      <w:r>
        <w:rPr/>
        <w:t>增加</w:t>
      </w:r>
      <w:r>
        <w:rPr>
          <w:spacing w:val="-55"/>
        </w:rPr>
        <w:t> </w:t>
      </w:r>
      <w:r>
        <w:rPr>
          <w:rFonts w:ascii="宋体" w:hAnsi="宋体" w:cs="宋体" w:eastAsia="宋体" w:hint="default"/>
        </w:rPr>
        <w:t>47</w:t>
      </w:r>
      <w:r>
        <w:rPr>
          <w:rFonts w:ascii="宋体" w:hAnsi="宋体" w:cs="宋体" w:eastAsia="宋体" w:hint="default"/>
          <w:spacing w:val="-55"/>
        </w:rPr>
        <w:t> </w:t>
      </w:r>
      <w:r>
        <w:rPr/>
        <w:t>万人，增长了</w:t>
      </w:r>
      <w:r>
        <w:rPr>
          <w:spacing w:val="-54"/>
        </w:rPr>
        <w:t> </w:t>
      </w:r>
      <w:r>
        <w:rPr>
          <w:rFonts w:ascii="宋体" w:hAnsi="宋体" w:cs="宋体" w:eastAsia="宋体" w:hint="default"/>
        </w:rPr>
        <w:t>58%</w:t>
      </w:r>
      <w:r>
        <w:rPr/>
        <w:t>。</w:t>
      </w:r>
    </w:p>
    <w:p>
      <w:pPr>
        <w:spacing w:line="403" w:lineRule="auto" w:before="78"/>
        <w:ind w:left="558" w:right="102" w:hanging="42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）其他金融服务业务</w:t>
      </w:r>
      <w:r>
        <w:rPr>
          <w:rFonts w:ascii="宋体" w:hAnsi="宋体" w:cs="宋体" w:eastAsia="宋体" w:hint="default"/>
          <w:b/>
          <w:bCs/>
          <w:spacing w:val="-104"/>
          <w:sz w:val="21"/>
          <w:szCs w:val="21"/>
        </w:rPr>
        <w:t> </w:t>
      </w:r>
      <w:r>
        <w:rPr>
          <w:rFonts w:ascii="宋体" w:hAnsi="宋体" w:cs="宋体" w:eastAsia="宋体" w:hint="default"/>
          <w:spacing w:val="-4"/>
          <w:w w:val="100"/>
          <w:sz w:val="21"/>
          <w:szCs w:val="21"/>
        </w:rPr>
        <w:t>报告期内，由公司参与发起设立的北京中关村银行股份有限公司获得北京银监局的开业批复，</w:t>
      </w:r>
    </w:p>
    <w:p>
      <w:pPr>
        <w:pStyle w:val="BodyText"/>
        <w:spacing w:line="357" w:lineRule="auto"/>
        <w:ind w:left="558" w:right="102" w:hanging="420"/>
        <w:jc w:val="left"/>
      </w:pPr>
      <w:r>
        <w:rPr/>
        <w:t>领取了《金融许可证》、《营业执照》，并在</w:t>
      </w:r>
      <w:r>
        <w:rPr>
          <w:spacing w:val="-54"/>
        </w:rPr>
        <w:t> </w:t>
      </w:r>
      <w:r>
        <w:rPr>
          <w:rFonts w:ascii="宋体" w:hAnsi="宋体" w:cs="宋体" w:eastAsia="宋体" w:hint="default"/>
        </w:rPr>
        <w:t>7</w:t>
      </w:r>
      <w:r>
        <w:rPr>
          <w:rFonts w:ascii="宋体" w:hAnsi="宋体" w:cs="宋体" w:eastAsia="宋体" w:hint="default"/>
          <w:spacing w:val="-56"/>
        </w:rPr>
        <w:t> </w:t>
      </w:r>
      <w:r>
        <w:rPr/>
        <w:t>月</w:t>
      </w:r>
      <w:r>
        <w:rPr>
          <w:spacing w:val="-56"/>
        </w:rPr>
        <w:t> </w:t>
      </w:r>
      <w:r>
        <w:rPr>
          <w:rFonts w:ascii="宋体" w:hAnsi="宋体" w:cs="宋体" w:eastAsia="宋体" w:hint="default"/>
        </w:rPr>
        <w:t>16</w:t>
      </w:r>
      <w:r>
        <w:rPr>
          <w:rFonts w:ascii="宋体" w:hAnsi="宋体" w:cs="宋体" w:eastAsia="宋体" w:hint="default"/>
          <w:spacing w:val="-54"/>
        </w:rPr>
        <w:t> </w:t>
      </w:r>
      <w:r>
        <w:rPr/>
        <w:t>日开业。</w:t>
      </w:r>
      <w:r>
        <w:rPr>
          <w:w w:val="100"/>
        </w:rPr>
        <w:t> </w:t>
      </w:r>
      <w:r>
        <w:rPr>
          <w:spacing w:val="-2"/>
        </w:rPr>
        <w:t>报告期内，友泰财产保险股份有限公司的筹备工作在继续推进中。</w:t>
      </w:r>
    </w:p>
    <w:p>
      <w:pPr>
        <w:spacing w:after="0" w:line="357" w:lineRule="auto"/>
        <w:jc w:val="left"/>
        <w:sectPr>
          <w:pgSz w:w="11910" w:h="16840"/>
          <w:pgMar w:header="855" w:footer="1195" w:top="1320" w:bottom="1380" w:left="1660" w:right="1060"/>
        </w:sectPr>
      </w:pPr>
    </w:p>
    <w:p>
      <w:pPr>
        <w:spacing w:line="240" w:lineRule="auto" w:before="4"/>
        <w:rPr>
          <w:rFonts w:ascii="宋体" w:hAnsi="宋体" w:cs="宋体" w:eastAsia="宋体" w:hint="default"/>
          <w:sz w:val="9"/>
          <w:szCs w:val="9"/>
        </w:rPr>
      </w:pPr>
    </w:p>
    <w:p>
      <w:pPr>
        <w:pStyle w:val="BodyText"/>
        <w:spacing w:line="357" w:lineRule="auto" w:before="36"/>
        <w:ind w:left="138" w:right="148" w:firstLine="419"/>
        <w:jc w:val="both"/>
      </w:pPr>
      <w:r>
        <w:rPr/>
        <w:t>报告期内，公司以人民币</w:t>
      </w:r>
      <w:r>
        <w:rPr>
          <w:spacing w:val="-51"/>
        </w:rPr>
        <w:t> </w:t>
      </w:r>
      <w:r>
        <w:rPr>
          <w:rFonts w:ascii="宋体" w:hAnsi="宋体" w:cs="宋体" w:eastAsia="宋体" w:hint="default"/>
        </w:rPr>
        <w:t>5,976</w:t>
      </w:r>
      <w:r>
        <w:rPr>
          <w:rFonts w:ascii="宋体" w:hAnsi="宋体" w:cs="宋体" w:eastAsia="宋体" w:hint="default"/>
          <w:spacing w:val="-49"/>
        </w:rPr>
        <w:t> </w:t>
      </w:r>
      <w:r>
        <w:rPr/>
        <w:t>万元的价格受让民太安保险公估集团股份有限公司持有的前</w:t>
      </w:r>
      <w:r>
        <w:rPr>
          <w:w w:val="100"/>
        </w:rPr>
        <w:t> </w:t>
      </w:r>
      <w:r>
        <w:rPr/>
        <w:t>海民太安保险经纪有限公司</w:t>
      </w:r>
      <w:r>
        <w:rPr>
          <w:spacing w:val="-53"/>
        </w:rPr>
        <w:t> </w:t>
      </w:r>
      <w:r>
        <w:rPr>
          <w:rFonts w:ascii="宋体" w:hAnsi="宋体" w:cs="宋体" w:eastAsia="宋体" w:hint="default"/>
        </w:rPr>
        <w:t>60%</w:t>
      </w:r>
      <w:r>
        <w:rPr/>
        <w:t>的股权。</w:t>
      </w:r>
    </w:p>
    <w:p>
      <w:pPr>
        <w:pStyle w:val="Heading3"/>
        <w:spacing w:line="240" w:lineRule="auto" w:before="78"/>
        <w:ind w:left="138" w:right="0"/>
        <w:jc w:val="left"/>
        <w:rPr>
          <w:b w:val="0"/>
          <w:bCs w:val="0"/>
        </w:rPr>
      </w:pPr>
      <w:r>
        <w:rPr>
          <w:rFonts w:ascii="宋体" w:hAnsi="宋体" w:cs="宋体" w:eastAsia="宋体" w:hint="default"/>
        </w:rPr>
        <w:t>4</w:t>
      </w:r>
      <w:r>
        <w:rPr/>
        <w:t>、品牌</w:t>
      </w:r>
      <w:r>
        <w:rPr>
          <w:b w:val="0"/>
          <w:bCs w:val="0"/>
        </w:rPr>
      </w:r>
    </w:p>
    <w:p>
      <w:pPr>
        <w:spacing w:line="240" w:lineRule="auto" w:before="3"/>
        <w:rPr>
          <w:rFonts w:ascii="宋体" w:hAnsi="宋体" w:cs="宋体" w:eastAsia="宋体" w:hint="default"/>
          <w:b/>
          <w:bCs/>
          <w:sz w:val="14"/>
          <w:szCs w:val="14"/>
        </w:rPr>
      </w:pPr>
    </w:p>
    <w:p>
      <w:pPr>
        <w:pStyle w:val="BodyText"/>
        <w:spacing w:line="357" w:lineRule="auto"/>
        <w:ind w:left="138" w:right="147" w:firstLine="419"/>
        <w:jc w:val="both"/>
      </w:pPr>
      <w:r>
        <w:rPr>
          <w:spacing w:val="-2"/>
        </w:rPr>
        <w:t>报告期内，公司发布了多款云服务产品，举办了数场超过千人规模的生态与用户大会，参加</w:t>
      </w:r>
      <w:r>
        <w:rPr>
          <w:w w:val="100"/>
        </w:rPr>
        <w:t> </w:t>
      </w:r>
      <w:r>
        <w:rPr>
          <w:spacing w:val="-2"/>
        </w:rPr>
        <w:t>了多场业界活动；公司的管理软件业务继续处于市场领导地位；金融服务增长迅速，加强了金融</w:t>
      </w:r>
      <w:r>
        <w:rPr>
          <w:spacing w:val="-26"/>
        </w:rPr>
        <w:t> </w:t>
      </w:r>
      <w:r>
        <w:rPr>
          <w:spacing w:val="-26"/>
        </w:rPr>
      </w:r>
      <w:r>
        <w:rPr>
          <w:spacing w:val="-2"/>
        </w:rPr>
        <w:t>业务布局，公司云服务、软件和金融三大板块核心业务得到较充分的展示、宣传和推广，公司品</w:t>
      </w:r>
      <w:r>
        <w:rPr>
          <w:spacing w:val="-26"/>
        </w:rPr>
        <w:t> </w:t>
      </w:r>
      <w:r>
        <w:rPr>
          <w:spacing w:val="-26"/>
        </w:rPr>
      </w:r>
      <w:r>
        <w:rPr/>
        <w:t>牌影响力得到进一步增强。报告期内，公司参加了第</w:t>
      </w:r>
      <w:r>
        <w:rPr>
          <w:spacing w:val="-54"/>
        </w:rPr>
        <w:t> </w:t>
      </w:r>
      <w:r>
        <w:rPr>
          <w:rFonts w:ascii="宋体" w:hAnsi="宋体" w:cs="宋体" w:eastAsia="宋体" w:hint="default"/>
        </w:rPr>
        <w:t>21</w:t>
      </w:r>
      <w:r>
        <w:rPr>
          <w:rFonts w:ascii="宋体" w:hAnsi="宋体" w:cs="宋体" w:eastAsia="宋体" w:hint="default"/>
          <w:spacing w:val="-56"/>
        </w:rPr>
        <w:t> </w:t>
      </w:r>
      <w:r>
        <w:rPr/>
        <w:t>届中国国际软件博览会、</w:t>
      </w:r>
      <w:r>
        <w:rPr>
          <w:rFonts w:ascii="宋体" w:hAnsi="宋体" w:cs="宋体" w:eastAsia="宋体" w:hint="default"/>
        </w:rPr>
        <w:t>2017</w:t>
      </w:r>
      <w:r>
        <w:rPr>
          <w:rFonts w:ascii="宋体" w:hAnsi="宋体" w:cs="宋体" w:eastAsia="宋体" w:hint="default"/>
          <w:spacing w:val="-56"/>
        </w:rPr>
        <w:t> </w:t>
      </w:r>
      <w:r>
        <w:rPr/>
        <w:t>世界智能</w:t>
      </w:r>
      <w:r>
        <w:rPr>
          <w:w w:val="100"/>
        </w:rPr>
        <w:t> </w:t>
      </w:r>
      <w:r>
        <w:rPr/>
        <w:t>大会、第</w:t>
      </w:r>
      <w:r>
        <w:rPr>
          <w:spacing w:val="-56"/>
        </w:rPr>
        <w:t> </w:t>
      </w:r>
      <w:r>
        <w:rPr>
          <w:rFonts w:ascii="宋体" w:hAnsi="宋体" w:cs="宋体" w:eastAsia="宋体" w:hint="default"/>
        </w:rPr>
        <w:t>16</w:t>
      </w:r>
      <w:r>
        <w:rPr>
          <w:rFonts w:ascii="宋体" w:hAnsi="宋体" w:cs="宋体" w:eastAsia="宋体" w:hint="default"/>
          <w:spacing w:val="-56"/>
        </w:rPr>
        <w:t> </w:t>
      </w:r>
      <w:r>
        <w:rPr/>
        <w:t>届中国互联网大会、中国软件产业发展创新峰会、</w:t>
      </w:r>
      <w:r>
        <w:rPr>
          <w:rFonts w:ascii="宋体" w:hAnsi="宋体" w:cs="宋体" w:eastAsia="宋体" w:hint="default"/>
        </w:rPr>
        <w:t>2017</w:t>
      </w:r>
      <w:r>
        <w:rPr>
          <w:rFonts w:ascii="宋体" w:hAnsi="宋体" w:cs="宋体" w:eastAsia="宋体" w:hint="default"/>
          <w:spacing w:val="-56"/>
        </w:rPr>
        <w:t> </w:t>
      </w:r>
      <w:r>
        <w:rPr/>
        <w:t>中国两化融合大会、第四届</w:t>
      </w:r>
      <w:r>
        <w:rPr>
          <w:w w:val="100"/>
        </w:rPr>
        <w:t> </w:t>
      </w:r>
      <w:r>
        <w:rPr/>
        <w:t>世界互联网大会、</w:t>
      </w:r>
      <w:r>
        <w:rPr>
          <w:rFonts w:ascii="宋体" w:hAnsi="宋体" w:cs="宋体" w:eastAsia="宋体" w:hint="default"/>
        </w:rPr>
        <w:t>2017</w:t>
      </w:r>
      <w:r>
        <w:rPr>
          <w:rFonts w:ascii="宋体" w:hAnsi="宋体" w:cs="宋体" w:eastAsia="宋体" w:hint="default"/>
          <w:spacing w:val="-57"/>
        </w:rPr>
        <w:t> </w:t>
      </w:r>
      <w:r>
        <w:rPr/>
        <w:t>中国产业互联与数字经济大会等。报告期内，公司举办</w:t>
      </w:r>
      <w:r>
        <w:rPr>
          <w:spacing w:val="-55"/>
        </w:rPr>
        <w:t> </w:t>
      </w:r>
      <w:r>
        <w:rPr>
          <w:rFonts w:ascii="宋体" w:hAnsi="宋体" w:cs="宋体" w:eastAsia="宋体" w:hint="default"/>
        </w:rPr>
        <w:t>2017</w:t>
      </w:r>
      <w:r>
        <w:rPr>
          <w:rFonts w:ascii="宋体" w:hAnsi="宋体" w:cs="宋体" w:eastAsia="宋体" w:hint="default"/>
          <w:spacing w:val="-55"/>
        </w:rPr>
        <w:t> </w:t>
      </w:r>
      <w:r>
        <w:rPr/>
        <w:t>用友伙伴大</w:t>
      </w:r>
      <w:r>
        <w:rPr>
          <w:w w:val="100"/>
        </w:rPr>
        <w:t> </w:t>
      </w:r>
      <w:r>
        <w:rPr>
          <w:spacing w:val="-2"/>
        </w:rPr>
        <w:t>会，集中展出了公司以“云服务、软件、企业金融”为核心业务的完整企业服务产品：面向社会</w:t>
      </w:r>
      <w:r>
        <w:rPr>
          <w:spacing w:val="-25"/>
        </w:rPr>
        <w:t> </w:t>
      </w:r>
      <w:r>
        <w:rPr>
          <w:spacing w:val="-25"/>
        </w:rPr>
      </w:r>
      <w:r>
        <w:rPr>
          <w:spacing w:val="-3"/>
        </w:rPr>
        <w:t>化商业应用的用友云服务。发布了</w:t>
      </w:r>
      <w:r>
        <w:rPr>
          <w:spacing w:val="-40"/>
        </w:rPr>
        <w:t> </w:t>
      </w:r>
      <w:r>
        <w:rPr>
          <w:rFonts w:ascii="宋体" w:hAnsi="宋体" w:cs="宋体" w:eastAsia="宋体" w:hint="default"/>
          <w:spacing w:val="-4"/>
        </w:rPr>
        <w:t>2016</w:t>
      </w:r>
      <w:r>
        <w:rPr>
          <w:spacing w:val="-4"/>
        </w:rPr>
        <w:t>《中国企业互联网化指数》白皮书。</w:t>
      </w:r>
      <w:r>
        <w:rPr>
          <w:rFonts w:ascii="宋体" w:hAnsi="宋体" w:cs="宋体" w:eastAsia="宋体" w:hint="default"/>
          <w:spacing w:val="-4"/>
        </w:rPr>
        <w:t>4</w:t>
      </w:r>
      <w:r>
        <w:rPr>
          <w:rFonts w:ascii="宋体" w:hAnsi="宋体" w:cs="宋体" w:eastAsia="宋体" w:hint="default"/>
          <w:spacing w:val="-43"/>
        </w:rPr>
        <w:t> </w:t>
      </w:r>
      <w:r>
        <w:rPr/>
        <w:t>月</w:t>
      </w:r>
      <w:r>
        <w:rPr>
          <w:spacing w:val="-39"/>
        </w:rPr>
        <w:t> </w:t>
      </w:r>
      <w:r>
        <w:rPr>
          <w:rFonts w:ascii="宋体" w:hAnsi="宋体" w:cs="宋体" w:eastAsia="宋体" w:hint="default"/>
        </w:rPr>
        <w:t>19</w:t>
      </w:r>
      <w:r>
        <w:rPr>
          <w:rFonts w:ascii="宋体" w:hAnsi="宋体" w:cs="宋体" w:eastAsia="宋体" w:hint="default"/>
          <w:spacing w:val="-43"/>
        </w:rPr>
        <w:t> </w:t>
      </w:r>
      <w:r>
        <w:rPr>
          <w:spacing w:val="-5"/>
        </w:rPr>
        <w:t>日，公司正式</w:t>
      </w:r>
      <w:r>
        <w:rPr>
          <w:spacing w:val="-99"/>
        </w:rPr>
        <w:t> </w:t>
      </w:r>
      <w:r>
        <w:rPr>
          <w:spacing w:val="-99"/>
        </w:rPr>
      </w:r>
      <w:r>
        <w:rPr>
          <w:spacing w:val="-2"/>
        </w:rPr>
        <w:t>发布并全新上线用友云平台、应用与业务服务及包括生态伙伴产品在内的用友云市场，全面展示</w:t>
      </w:r>
      <w:r>
        <w:rPr>
          <w:spacing w:val="-25"/>
        </w:rPr>
        <w:t> </w:t>
      </w:r>
      <w:r>
        <w:rPr>
          <w:spacing w:val="-25"/>
        </w:rPr>
      </w:r>
      <w:r>
        <w:rPr>
          <w:spacing w:val="-2"/>
        </w:rPr>
        <w:t>用友云的产品与服务，包括软件与用友云融合创新的产品与服务。“企业上云暨用友云百城巡展</w:t>
      </w:r>
      <w:r>
        <w:rPr>
          <w:spacing w:val="-25"/>
        </w:rPr>
        <w:t> </w:t>
      </w:r>
      <w:r>
        <w:rPr>
          <w:spacing w:val="-25"/>
        </w:rPr>
      </w:r>
      <w:r>
        <w:rPr>
          <w:spacing w:val="-6"/>
        </w:rPr>
        <w:t>系列活动”全面启动，用友云结合各地产业特点、区域优势和企业痛点，从商业创新到技术推动、</w:t>
      </w:r>
      <w:r>
        <w:rPr>
          <w:spacing w:val="-54"/>
        </w:rPr>
        <w:t> </w:t>
      </w:r>
      <w:r>
        <w:rPr>
          <w:spacing w:val="-54"/>
        </w:rPr>
      </w:r>
      <w:r>
        <w:rPr>
          <w:spacing w:val="-2"/>
        </w:rPr>
        <w:t>从产业格局到痛点问题解决，针对性地给出解决方案，助力企业上云。以“迈向云端创变未来”</w:t>
      </w:r>
      <w:r>
        <w:rPr>
          <w:spacing w:val="-27"/>
        </w:rPr>
        <w:t> </w:t>
      </w:r>
      <w:r>
        <w:rPr>
          <w:spacing w:val="-27"/>
        </w:rPr>
      </w:r>
      <w:r>
        <w:rPr/>
        <w:t>为主题的</w:t>
      </w:r>
      <w:r>
        <w:rPr>
          <w:spacing w:val="-56"/>
        </w:rPr>
        <w:t> </w:t>
      </w:r>
      <w:r>
        <w:rPr>
          <w:rFonts w:ascii="宋体" w:hAnsi="宋体" w:cs="宋体" w:eastAsia="宋体" w:hint="default"/>
        </w:rPr>
        <w:t>2017</w:t>
      </w:r>
      <w:r>
        <w:rPr>
          <w:rFonts w:ascii="宋体" w:hAnsi="宋体" w:cs="宋体" w:eastAsia="宋体" w:hint="default"/>
          <w:spacing w:val="-58"/>
        </w:rPr>
        <w:t> </w:t>
      </w:r>
      <w:r>
        <w:rPr/>
        <w:t>中国企业互联网大会，邀请了超过</w:t>
      </w:r>
      <w:r>
        <w:rPr>
          <w:spacing w:val="-55"/>
        </w:rPr>
        <w:t> </w:t>
      </w:r>
      <w:r>
        <w:rPr>
          <w:rFonts w:ascii="宋体" w:hAnsi="宋体" w:cs="宋体" w:eastAsia="宋体" w:hint="default"/>
        </w:rPr>
        <w:t>5000</w:t>
      </w:r>
      <w:r>
        <w:rPr>
          <w:rFonts w:ascii="宋体" w:hAnsi="宋体" w:cs="宋体" w:eastAsia="宋体" w:hint="default"/>
          <w:spacing w:val="-56"/>
        </w:rPr>
        <w:t> </w:t>
      </w:r>
      <w:r>
        <w:rPr/>
        <w:t>位来自制造、建筑及房地产、消费品、交</w:t>
      </w:r>
      <w:r>
        <w:rPr>
          <w:w w:val="100"/>
        </w:rPr>
        <w:t> </w:t>
      </w:r>
      <w:r>
        <w:rPr>
          <w:spacing w:val="-2"/>
        </w:rPr>
        <w:t>通与公用事业、金融、能源、通信与广电、汽车、医疗、政府与事业单位、现代服务业、现代农</w:t>
      </w:r>
      <w:r>
        <w:rPr>
          <w:spacing w:val="-25"/>
        </w:rPr>
        <w:t> </w:t>
      </w:r>
      <w:r>
        <w:rPr>
          <w:spacing w:val="-25"/>
        </w:rPr>
      </w:r>
      <w:r>
        <w:rPr>
          <w:spacing w:val="-2"/>
        </w:rPr>
        <w:t>业、文化与传媒等行业企业家与高管、专家与学者以及媒体代表，共同探讨在数字营销与客服、</w:t>
      </w:r>
      <w:r>
        <w:rPr>
          <w:spacing w:val="-25"/>
        </w:rPr>
        <w:t> </w:t>
      </w:r>
      <w:r>
        <w:rPr>
          <w:spacing w:val="-25"/>
        </w:rPr>
      </w:r>
      <w:r>
        <w:rPr>
          <w:spacing w:val="-2"/>
        </w:rPr>
        <w:t>智能制造、财务、人力资源、社交与协同办公、企业金融等企业服务领域的云上腾飞之路。畅捷</w:t>
      </w:r>
      <w:r>
        <w:rPr>
          <w:spacing w:val="-25"/>
        </w:rPr>
        <w:t> </w:t>
      </w:r>
      <w:r>
        <w:rPr>
          <w:spacing w:val="-25"/>
        </w:rPr>
      </w:r>
      <w:r>
        <w:rPr>
          <w:spacing w:val="-4"/>
        </w:rPr>
        <w:t>通公司联合阿里云、用友云市场、</w:t>
      </w:r>
      <w:r>
        <w:rPr>
          <w:rFonts w:ascii="宋体" w:hAnsi="宋体" w:cs="宋体" w:eastAsia="宋体" w:hint="default"/>
          <w:spacing w:val="-4"/>
        </w:rPr>
        <w:t>UC</w:t>
      </w:r>
      <w:r>
        <w:rPr>
          <w:spacing w:val="-4"/>
        </w:rPr>
        <w:t>、洛可可联合发起的</w:t>
      </w:r>
      <w:r>
        <w:rPr>
          <w:spacing w:val="-24"/>
        </w:rPr>
        <w:t> </w:t>
      </w:r>
      <w:r>
        <w:rPr>
          <w:rFonts w:ascii="宋体" w:hAnsi="宋体" w:cs="宋体" w:eastAsia="宋体" w:hint="default"/>
        </w:rPr>
        <w:t>GICC</w:t>
      </w:r>
      <w:r>
        <w:rPr>
          <w:rFonts w:ascii="宋体" w:hAnsi="宋体" w:cs="宋体" w:eastAsia="宋体" w:hint="default"/>
          <w:spacing w:val="-24"/>
        </w:rPr>
        <w:t> </w:t>
      </w:r>
      <w:r>
        <w:rPr>
          <w:rFonts w:ascii="宋体" w:hAnsi="宋体" w:cs="宋体" w:eastAsia="宋体" w:hint="default"/>
          <w:spacing w:val="-4"/>
        </w:rPr>
        <w:t>2017</w:t>
      </w:r>
      <w:r>
        <w:rPr>
          <w:spacing w:val="-4"/>
        </w:rPr>
        <w:t>（全球小微企业创新大会），</w:t>
      </w:r>
      <w:r>
        <w:rPr>
          <w:spacing w:val="-93"/>
        </w:rPr>
        <w:t> </w:t>
      </w:r>
      <w:r>
        <w:rPr>
          <w:spacing w:val="-93"/>
        </w:rPr>
      </w:r>
      <w:r>
        <w:rPr>
          <w:spacing w:val="-2"/>
        </w:rPr>
        <w:t>汇集上百名国内一线的实战创业者、企业家、专家学者，深度聚焦管理、产品、营销、技术四个</w:t>
      </w:r>
      <w:r>
        <w:rPr>
          <w:spacing w:val="-25"/>
        </w:rPr>
        <w:t> </w:t>
      </w:r>
      <w:r>
        <w:rPr>
          <w:spacing w:val="-25"/>
        </w:rPr>
      </w:r>
      <w:r>
        <w:rPr/>
        <w:t>维度进行分享、碰撞，为小微企业发展提供了好的思路。</w:t>
      </w:r>
    </w:p>
    <w:p>
      <w:pPr>
        <w:spacing w:after="0" w:line="357" w:lineRule="auto"/>
        <w:jc w:val="both"/>
        <w:sectPr>
          <w:pgSz w:w="11910" w:h="16840"/>
          <w:pgMar w:header="855" w:footer="1195" w:top="1320" w:bottom="1380" w:left="1660" w:right="1120"/>
        </w:sectPr>
      </w:pPr>
    </w:p>
    <w:p>
      <w:pPr>
        <w:spacing w:line="240" w:lineRule="auto" w:before="10"/>
        <w:rPr>
          <w:rFonts w:ascii="宋体" w:hAnsi="宋体" w:cs="宋体" w:eastAsia="宋体" w:hint="default"/>
          <w:sz w:val="14"/>
          <w:szCs w:val="14"/>
        </w:rPr>
      </w:pPr>
    </w:p>
    <w:p>
      <w:pPr>
        <w:spacing w:line="5896" w:lineRule="exact"/>
        <w:ind w:left="421" w:right="0" w:firstLine="0"/>
        <w:rPr>
          <w:rFonts w:ascii="宋体" w:hAnsi="宋体" w:cs="宋体" w:eastAsia="宋体" w:hint="default"/>
          <w:sz w:val="20"/>
          <w:szCs w:val="20"/>
        </w:rPr>
      </w:pPr>
      <w:r>
        <w:rPr>
          <w:rFonts w:ascii="宋体" w:hAnsi="宋体" w:cs="宋体" w:eastAsia="宋体" w:hint="default"/>
          <w:position w:val="-117"/>
          <w:sz w:val="20"/>
          <w:szCs w:val="20"/>
        </w:rPr>
        <w:drawing>
          <wp:inline distT="0" distB="0" distL="0" distR="0">
            <wp:extent cx="5214941" cy="3744467"/>
            <wp:effectExtent l="0" t="0" r="0" b="0"/>
            <wp:docPr id="27" name="image15.jpeg" descr=""/>
            <wp:cNvGraphicFramePr>
              <a:graphicFrameLocks noChangeAspect="1"/>
            </wp:cNvGraphicFramePr>
            <a:graphic>
              <a:graphicData uri="http://schemas.openxmlformats.org/drawingml/2006/picture">
                <pic:pic>
                  <pic:nvPicPr>
                    <pic:cNvPr id="28" name="image15.jpeg"/>
                    <pic:cNvPicPr/>
                  </pic:nvPicPr>
                  <pic:blipFill>
                    <a:blip r:embed="rId32" cstate="print"/>
                    <a:stretch>
                      <a:fillRect/>
                    </a:stretch>
                  </pic:blipFill>
                  <pic:spPr>
                    <a:xfrm>
                      <a:off x="0" y="0"/>
                      <a:ext cx="5214941" cy="3744467"/>
                    </a:xfrm>
                    <a:prstGeom prst="rect">
                      <a:avLst/>
                    </a:prstGeom>
                  </pic:spPr>
                </pic:pic>
              </a:graphicData>
            </a:graphic>
          </wp:inline>
        </w:drawing>
      </w:r>
      <w:r>
        <w:rPr>
          <w:rFonts w:ascii="宋体" w:hAnsi="宋体" w:cs="宋体" w:eastAsia="宋体" w:hint="default"/>
          <w:position w:val="-117"/>
          <w:sz w:val="20"/>
          <w:szCs w:val="20"/>
        </w:rPr>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7"/>
          <w:szCs w:val="17"/>
        </w:rPr>
      </w:pPr>
    </w:p>
    <w:p>
      <w:pPr>
        <w:pStyle w:val="BodyText"/>
        <w:spacing w:line="357" w:lineRule="auto" w:before="36"/>
        <w:ind w:left="138" w:right="106" w:firstLine="419"/>
        <w:jc w:val="left"/>
      </w:pPr>
      <w:r>
        <w:rPr>
          <w:spacing w:val="-3"/>
        </w:rPr>
        <w:t>报告期内，公司董事长王文京先生获“</w:t>
      </w:r>
      <w:r>
        <w:rPr>
          <w:rFonts w:ascii="宋体" w:hAnsi="宋体" w:cs="宋体" w:eastAsia="宋体" w:hint="default"/>
          <w:spacing w:val="-3"/>
        </w:rPr>
        <w:t>2017</w:t>
      </w:r>
      <w:r>
        <w:rPr>
          <w:rFonts w:ascii="宋体" w:hAnsi="宋体" w:cs="宋体" w:eastAsia="宋体" w:hint="default"/>
          <w:spacing w:val="-36"/>
        </w:rPr>
        <w:t> </w:t>
      </w:r>
      <w:r>
        <w:rPr>
          <w:spacing w:val="-3"/>
        </w:rPr>
        <w:t>年两化融合突出贡献人物评选之领军人物”。公</w:t>
      </w:r>
      <w:r>
        <w:rPr>
          <w:spacing w:val="-15"/>
          <w:w w:val="100"/>
        </w:rPr>
        <w:t> </w:t>
      </w:r>
      <w:r>
        <w:rPr>
          <w:spacing w:val="-2"/>
          <w:w w:val="100"/>
        </w:rPr>
        <w:t>司被评为“2017</w:t>
      </w:r>
      <w:r>
        <w:rPr>
          <w:spacing w:val="-50"/>
          <w:w w:val="100"/>
        </w:rPr>
        <w:t> </w:t>
      </w:r>
      <w:r>
        <w:rPr>
          <w:spacing w:val="-6"/>
          <w:w w:val="100"/>
        </w:rPr>
        <w:t>年两化融合突出贡献评选之明星服务商”。公司入选</w:t>
      </w:r>
      <w:r>
        <w:rPr>
          <w:spacing w:val="-52"/>
          <w:w w:val="100"/>
        </w:rPr>
        <w:t> </w:t>
      </w:r>
      <w:r>
        <w:rPr>
          <w:rFonts w:ascii="宋体" w:hAnsi="宋体" w:cs="宋体" w:eastAsia="宋体" w:hint="default"/>
          <w:spacing w:val="-1"/>
          <w:w w:val="100"/>
        </w:rPr>
        <w:t>2017</w:t>
      </w:r>
      <w:r>
        <w:rPr>
          <w:rFonts w:ascii="宋体" w:hAnsi="宋体" w:cs="宋体" w:eastAsia="宋体" w:hint="default"/>
          <w:spacing w:val="-50"/>
          <w:w w:val="100"/>
        </w:rPr>
        <w:t> </w:t>
      </w:r>
      <w:r>
        <w:rPr>
          <w:spacing w:val="-2"/>
          <w:w w:val="100"/>
        </w:rPr>
        <w:t>年中国互联网企业</w:t>
      </w:r>
      <w:r>
        <w:rPr>
          <w:spacing w:val="-49"/>
          <w:w w:val="100"/>
        </w:rPr>
        <w:t> </w:t>
      </w:r>
      <w:r>
        <w:rPr>
          <w:rFonts w:ascii="宋体" w:hAnsi="宋体" w:cs="宋体" w:eastAsia="宋体" w:hint="default"/>
          <w:w w:val="100"/>
        </w:rPr>
        <w:t>100</w:t>
      </w:r>
      <w:r>
        <w:rPr>
          <w:rFonts w:ascii="宋体" w:hAnsi="宋体" w:cs="宋体" w:eastAsia="宋体" w:hint="default"/>
          <w:spacing w:val="-96"/>
          <w:w w:val="100"/>
        </w:rPr>
        <w:t> </w:t>
      </w:r>
      <w:r>
        <w:rPr/>
        <w:t>强，位居第</w:t>
      </w:r>
      <w:r>
        <w:rPr>
          <w:spacing w:val="-54"/>
        </w:rPr>
        <w:t> </w:t>
      </w:r>
      <w:r>
        <w:rPr>
          <w:rFonts w:ascii="宋体" w:hAnsi="宋体" w:cs="宋体" w:eastAsia="宋体" w:hint="default"/>
        </w:rPr>
        <w:t>15</w:t>
      </w:r>
      <w:r>
        <w:rPr>
          <w:rFonts w:ascii="宋体" w:hAnsi="宋体" w:cs="宋体" w:eastAsia="宋体" w:hint="default"/>
          <w:spacing w:val="-56"/>
        </w:rPr>
        <w:t> </w:t>
      </w:r>
      <w:r>
        <w:rPr/>
        <w:t>位。公司被中国两化融合服务联盟评为明星服务商。用友云获得“2017</w:t>
      </w:r>
      <w:r>
        <w:rPr>
          <w:spacing w:val="-56"/>
        </w:rPr>
        <w:t> </w:t>
      </w:r>
      <w:r>
        <w:rPr/>
        <w:t>可信云大</w:t>
      </w:r>
      <w:r>
        <w:rPr>
          <w:w w:val="100"/>
        </w:rPr>
        <w:t> </w:t>
      </w:r>
      <w:r>
        <w:rPr/>
        <w:t>会”2016—</w:t>
      </w:r>
      <w:r>
        <w:rPr>
          <w:rFonts w:ascii="宋体" w:hAnsi="宋体" w:cs="宋体" w:eastAsia="宋体" w:hint="default"/>
        </w:rPr>
        <w:t>2017</w:t>
      </w:r>
      <w:r>
        <w:rPr>
          <w:rFonts w:ascii="宋体" w:hAnsi="宋体" w:cs="宋体" w:eastAsia="宋体" w:hint="default"/>
          <w:spacing w:val="-50"/>
        </w:rPr>
        <w:t> </w:t>
      </w:r>
      <w:r>
        <w:rPr/>
        <w:t>年度企业级</w:t>
      </w:r>
      <w:r>
        <w:rPr>
          <w:spacing w:val="-49"/>
        </w:rPr>
        <w:t> </w:t>
      </w:r>
      <w:r>
        <w:rPr>
          <w:rFonts w:ascii="宋体" w:hAnsi="宋体" w:cs="宋体" w:eastAsia="宋体" w:hint="default"/>
        </w:rPr>
        <w:t>SaaS</w:t>
      </w:r>
      <w:r>
        <w:rPr>
          <w:rFonts w:ascii="宋体" w:hAnsi="宋体" w:cs="宋体" w:eastAsia="宋体" w:hint="default"/>
          <w:spacing w:val="-50"/>
        </w:rPr>
        <w:t> </w:t>
      </w:r>
      <w:r>
        <w:rPr>
          <w:spacing w:val="-4"/>
        </w:rPr>
        <w:t>服务奖。用友云通过</w:t>
      </w:r>
      <w:r>
        <w:rPr>
          <w:spacing w:val="-50"/>
        </w:rPr>
        <w:t> </w:t>
      </w:r>
      <w:r>
        <w:rPr>
          <w:rFonts w:ascii="宋体" w:hAnsi="宋体" w:cs="宋体" w:eastAsia="宋体" w:hint="default"/>
        </w:rPr>
        <w:t>ISO27001</w:t>
      </w:r>
      <w:r>
        <w:rPr>
          <w:rFonts w:ascii="宋体" w:hAnsi="宋体" w:cs="宋体" w:eastAsia="宋体" w:hint="default"/>
          <w:spacing w:val="-50"/>
        </w:rPr>
        <w:t> </w:t>
      </w:r>
      <w:r>
        <w:rPr>
          <w:spacing w:val="-3"/>
        </w:rPr>
        <w:t>信息安全管理体系认证。公司获</w:t>
      </w:r>
      <w:r>
        <w:rPr>
          <w:spacing w:val="-98"/>
        </w:rPr>
        <w:t> </w:t>
      </w:r>
      <w:r>
        <w:rPr>
          <w:spacing w:val="-98"/>
        </w:rPr>
      </w:r>
      <w:r>
        <w:rPr/>
        <w:t>得“2017</w:t>
      </w:r>
      <w:r>
        <w:rPr>
          <w:spacing w:val="-45"/>
        </w:rPr>
        <w:t> </w:t>
      </w:r>
      <w:r>
        <w:rPr/>
        <w:t>年中国</w:t>
      </w:r>
      <w:r>
        <w:rPr>
          <w:spacing w:val="-42"/>
        </w:rPr>
        <w:t> </w:t>
      </w:r>
      <w:r>
        <w:rPr>
          <w:rFonts w:ascii="宋体" w:hAnsi="宋体" w:cs="宋体" w:eastAsia="宋体" w:hint="default"/>
        </w:rPr>
        <w:t>IT</w:t>
      </w:r>
      <w:r>
        <w:rPr>
          <w:rFonts w:ascii="宋体" w:hAnsi="宋体" w:cs="宋体" w:eastAsia="宋体" w:hint="default"/>
          <w:spacing w:val="-45"/>
        </w:rPr>
        <w:t> </w:t>
      </w:r>
      <w:r>
        <w:rPr/>
        <w:t>用户满意度”调研</w:t>
      </w:r>
      <w:r>
        <w:rPr>
          <w:spacing w:val="-42"/>
        </w:rPr>
        <w:t> </w:t>
      </w:r>
      <w:r>
        <w:rPr>
          <w:rFonts w:ascii="宋体" w:hAnsi="宋体" w:cs="宋体" w:eastAsia="宋体" w:hint="default"/>
        </w:rPr>
        <w:t>18</w:t>
      </w:r>
      <w:r>
        <w:rPr>
          <w:rFonts w:ascii="宋体" w:hAnsi="宋体" w:cs="宋体" w:eastAsia="宋体" w:hint="default"/>
          <w:spacing w:val="-39"/>
        </w:rPr>
        <w:t> </w:t>
      </w:r>
      <w:r>
        <w:rPr/>
        <w:t>项大奖，其中企业云服务等获得用户满意度第一荣誉，</w:t>
      </w:r>
      <w:r>
        <w:rPr>
          <w:spacing w:val="-103"/>
        </w:rPr>
        <w:t> </w:t>
      </w:r>
      <w:r>
        <w:rPr>
          <w:spacing w:val="-103"/>
        </w:rPr>
      </w:r>
      <w:r>
        <w:rPr/>
        <w:t>企业</w:t>
      </w:r>
      <w:r>
        <w:rPr>
          <w:spacing w:val="-42"/>
        </w:rPr>
        <w:t> </w:t>
      </w:r>
      <w:r>
        <w:rPr>
          <w:rFonts w:ascii="宋体" w:hAnsi="宋体" w:cs="宋体" w:eastAsia="宋体" w:hint="default"/>
        </w:rPr>
        <w:t>PaaS</w:t>
      </w:r>
      <w:r>
        <w:rPr>
          <w:rFonts w:ascii="宋体" w:hAnsi="宋体" w:cs="宋体" w:eastAsia="宋体" w:hint="default"/>
          <w:spacing w:val="-44"/>
        </w:rPr>
        <w:t> </w:t>
      </w:r>
      <w:r>
        <w:rPr>
          <w:spacing w:val="-4"/>
        </w:rPr>
        <w:t>云平台获得“用户首选品牌”荣誉，工业互联网平台等获得“用户推荐品牌”荣誉。王</w:t>
      </w:r>
      <w:r>
        <w:rPr>
          <w:spacing w:val="-79"/>
        </w:rPr>
        <w:t> </w:t>
      </w:r>
      <w:r>
        <w:rPr>
          <w:spacing w:val="-79"/>
        </w:rPr>
      </w:r>
      <w:r>
        <w:rPr/>
        <w:t>文京先生荣获</w:t>
      </w:r>
      <w:r>
        <w:rPr>
          <w:spacing w:val="-54"/>
        </w:rPr>
        <w:t> </w:t>
      </w:r>
      <w:r>
        <w:rPr>
          <w:rFonts w:ascii="宋体" w:hAnsi="宋体" w:cs="宋体" w:eastAsia="宋体" w:hint="default"/>
        </w:rPr>
        <w:t>2017</w:t>
      </w:r>
      <w:r>
        <w:rPr>
          <w:rFonts w:ascii="宋体" w:hAnsi="宋体" w:cs="宋体" w:eastAsia="宋体" w:hint="default"/>
          <w:spacing w:val="-56"/>
        </w:rPr>
        <w:t> </w:t>
      </w:r>
      <w:r>
        <w:rPr/>
        <w:t>年度中国产业互联网风云人物奖，用友云荣获</w:t>
      </w:r>
      <w:r>
        <w:rPr>
          <w:spacing w:val="-53"/>
        </w:rPr>
        <w:t> </w:t>
      </w:r>
      <w:r>
        <w:rPr>
          <w:rFonts w:ascii="宋体" w:hAnsi="宋体" w:cs="宋体" w:eastAsia="宋体" w:hint="default"/>
        </w:rPr>
        <w:t>2017</w:t>
      </w:r>
      <w:r>
        <w:rPr>
          <w:rFonts w:ascii="宋体" w:hAnsi="宋体" w:cs="宋体" w:eastAsia="宋体" w:hint="default"/>
          <w:spacing w:val="-56"/>
        </w:rPr>
        <w:t> </w:t>
      </w:r>
      <w:r>
        <w:rPr/>
        <w:t>年度中国产业互联网服务</w:t>
      </w:r>
      <w:r>
        <w:rPr>
          <w:w w:val="100"/>
        </w:rPr>
        <w:t> </w:t>
      </w:r>
      <w:r>
        <w:rPr/>
        <w:t>平台奖。</w:t>
      </w:r>
    </w:p>
    <w:p>
      <w:pPr>
        <w:pStyle w:val="BodyText"/>
        <w:spacing w:line="357" w:lineRule="auto" w:before="33"/>
        <w:ind w:left="138" w:right="208" w:firstLine="419"/>
        <w:jc w:val="both"/>
      </w:pPr>
      <w:r>
        <w:rPr>
          <w:spacing w:val="-2"/>
        </w:rPr>
        <w:t>报告期内，公司与滴滴出行签署了战略合作协议并共同推出了针对企业公务出行的云服务解</w:t>
      </w:r>
      <w:r>
        <w:rPr>
          <w:w w:val="100"/>
        </w:rPr>
        <w:t> </w:t>
      </w:r>
      <w:r>
        <w:rPr>
          <w:spacing w:val="-1"/>
        </w:rPr>
        <w:t>决方案“易企行”，还与联想、英特尔联合发布了超融合分析解决方案。公司与中国联合网络通</w:t>
      </w:r>
      <w:r>
        <w:rPr>
          <w:spacing w:val="-55"/>
        </w:rPr>
        <w:t> </w:t>
      </w:r>
      <w:r>
        <w:rPr>
          <w:spacing w:val="-55"/>
        </w:rPr>
      </w:r>
      <w:r>
        <w:rPr>
          <w:spacing w:val="-1"/>
        </w:rPr>
        <w:t>信有限公司签署合作框架协议，将在产品、行业营销、云服务、基础通信服务、内部管理系统建</w:t>
      </w:r>
      <w:r>
        <w:rPr>
          <w:spacing w:val="-55"/>
        </w:rPr>
        <w:t> </w:t>
      </w:r>
      <w:r>
        <w:rPr>
          <w:spacing w:val="-55"/>
        </w:rPr>
      </w:r>
      <w:r>
        <w:rPr>
          <w:spacing w:val="-1"/>
        </w:rPr>
        <w:t>设等方面开展合作，并将利用各自的技术和经验优势，探索在大数据、物联网、人工智能等领域</w:t>
      </w:r>
      <w:r>
        <w:rPr>
          <w:spacing w:val="-55"/>
        </w:rPr>
        <w:t> </w:t>
      </w:r>
      <w:r>
        <w:rPr>
          <w:spacing w:val="-55"/>
        </w:rPr>
      </w:r>
      <w:r>
        <w:rPr>
          <w:spacing w:val="-1"/>
        </w:rPr>
        <w:t>的合作。与松下电器（中国）有限公司和北京联动天翼科技股份有限公司签署战略合作协议，签</w:t>
      </w:r>
      <w:r>
        <w:rPr>
          <w:spacing w:val="-55"/>
        </w:rPr>
        <w:t> </w:t>
      </w:r>
      <w:r>
        <w:rPr>
          <w:spacing w:val="-55"/>
        </w:rPr>
      </w:r>
      <w:r>
        <w:rPr/>
        <w:t>约各方将充分发挥各自优势共同为企业提供基于云的供应链管理和大数据服务。</w:t>
      </w:r>
    </w:p>
    <w:p>
      <w:pPr>
        <w:pStyle w:val="Heading3"/>
        <w:spacing w:line="240" w:lineRule="auto" w:before="78"/>
        <w:ind w:left="138" w:right="102"/>
        <w:jc w:val="left"/>
        <w:rPr>
          <w:b w:val="0"/>
          <w:bCs w:val="0"/>
        </w:rPr>
      </w:pPr>
      <w:r>
        <w:rPr>
          <w:rFonts w:ascii="宋体" w:hAnsi="宋体" w:cs="宋体" w:eastAsia="宋体" w:hint="default"/>
        </w:rPr>
        <w:t>5</w:t>
      </w:r>
      <w:r>
        <w:rPr/>
        <w:t>、员工发展</w:t>
      </w:r>
      <w:r>
        <w:rPr>
          <w:b w:val="0"/>
          <w:bCs w:val="0"/>
        </w:rPr>
      </w:r>
    </w:p>
    <w:p>
      <w:pPr>
        <w:spacing w:line="240" w:lineRule="auto" w:before="3"/>
        <w:rPr>
          <w:rFonts w:ascii="宋体" w:hAnsi="宋体" w:cs="宋体" w:eastAsia="宋体" w:hint="default"/>
          <w:b/>
          <w:bCs/>
          <w:sz w:val="14"/>
          <w:szCs w:val="14"/>
        </w:rPr>
      </w:pPr>
    </w:p>
    <w:p>
      <w:pPr>
        <w:pStyle w:val="BodyText"/>
        <w:spacing w:line="357" w:lineRule="auto"/>
        <w:ind w:left="138" w:right="208" w:firstLine="419"/>
        <w:jc w:val="both"/>
      </w:pPr>
      <w:r>
        <w:rPr>
          <w:spacing w:val="-3"/>
        </w:rPr>
        <w:t>截止报告期末，公司员工数量为</w:t>
      </w:r>
      <w:r>
        <w:rPr>
          <w:spacing w:val="-42"/>
        </w:rPr>
        <w:t> </w:t>
      </w:r>
      <w:r>
        <w:rPr>
          <w:rFonts w:ascii="宋体" w:hAnsi="宋体" w:cs="宋体" w:eastAsia="宋体" w:hint="default"/>
        </w:rPr>
        <w:t>15194</w:t>
      </w:r>
      <w:r>
        <w:rPr>
          <w:rFonts w:ascii="宋体" w:hAnsi="宋体" w:cs="宋体" w:eastAsia="宋体" w:hint="default"/>
          <w:spacing w:val="-42"/>
        </w:rPr>
        <w:t> </w:t>
      </w:r>
      <w:r>
        <w:rPr>
          <w:spacing w:val="-6"/>
        </w:rPr>
        <w:t>人，同比</w:t>
      </w:r>
      <w:r>
        <w:rPr>
          <w:spacing w:val="-41"/>
        </w:rPr>
        <w:t> </w:t>
      </w:r>
      <w:r>
        <w:rPr>
          <w:rFonts w:ascii="宋体" w:hAnsi="宋体" w:cs="宋体" w:eastAsia="宋体" w:hint="default"/>
        </w:rPr>
        <w:t>2016</w:t>
      </w:r>
      <w:r>
        <w:rPr>
          <w:rFonts w:ascii="宋体" w:hAnsi="宋体" w:cs="宋体" w:eastAsia="宋体" w:hint="default"/>
          <w:spacing w:val="-42"/>
        </w:rPr>
        <w:t> </w:t>
      </w:r>
      <w:r>
        <w:rPr/>
        <w:t>年末增长</w:t>
      </w:r>
      <w:r>
        <w:rPr>
          <w:spacing w:val="-44"/>
        </w:rPr>
        <w:t> </w:t>
      </w:r>
      <w:r>
        <w:rPr>
          <w:rFonts w:ascii="宋体" w:hAnsi="宋体" w:cs="宋体" w:eastAsia="宋体" w:hint="default"/>
          <w:spacing w:val="-3"/>
        </w:rPr>
        <w:t>6.24%</w:t>
      </w:r>
      <w:r>
        <w:rPr>
          <w:spacing w:val="-3"/>
        </w:rPr>
        <w:t>，其中专职从事云服务</w:t>
      </w:r>
      <w:r>
        <w:rPr>
          <w:w w:val="100"/>
        </w:rPr>
        <w:t> </w:t>
      </w:r>
      <w:r>
        <w:rPr/>
        <w:t>业务的人员</w:t>
      </w:r>
      <w:r>
        <w:rPr>
          <w:spacing w:val="-53"/>
        </w:rPr>
        <w:t> </w:t>
      </w:r>
      <w:r>
        <w:rPr>
          <w:rFonts w:ascii="宋体" w:hAnsi="宋体" w:cs="宋体" w:eastAsia="宋体" w:hint="default"/>
        </w:rPr>
        <w:t>1946</w:t>
      </w:r>
      <w:r>
        <w:rPr>
          <w:rFonts w:ascii="宋体" w:hAnsi="宋体" w:cs="宋体" w:eastAsia="宋体" w:hint="default"/>
          <w:spacing w:val="-53"/>
        </w:rPr>
        <w:t> </w:t>
      </w:r>
      <w:r>
        <w:rPr/>
        <w:t>人，占比比例为</w:t>
      </w:r>
      <w:r>
        <w:rPr>
          <w:spacing w:val="-53"/>
        </w:rPr>
        <w:t> </w:t>
      </w:r>
      <w:r>
        <w:rPr>
          <w:rFonts w:ascii="宋体" w:hAnsi="宋体" w:cs="宋体" w:eastAsia="宋体" w:hint="default"/>
        </w:rPr>
        <w:t>12.81%</w:t>
      </w:r>
      <w:r>
        <w:rPr/>
        <w:t>，同比</w:t>
      </w:r>
      <w:r>
        <w:rPr>
          <w:spacing w:val="-53"/>
        </w:rPr>
        <w:t> </w:t>
      </w:r>
      <w:r>
        <w:rPr>
          <w:rFonts w:ascii="宋体" w:hAnsi="宋体" w:cs="宋体" w:eastAsia="宋体" w:hint="default"/>
        </w:rPr>
        <w:t>2016</w:t>
      </w:r>
      <w:r>
        <w:rPr>
          <w:rFonts w:ascii="宋体" w:hAnsi="宋体" w:cs="宋体" w:eastAsia="宋体" w:hint="default"/>
          <w:spacing w:val="-53"/>
        </w:rPr>
        <w:t> </w:t>
      </w:r>
      <w:r>
        <w:rPr/>
        <w:t>年末比例相对增加</w:t>
      </w:r>
      <w:r>
        <w:rPr>
          <w:spacing w:val="-53"/>
        </w:rPr>
        <w:t> </w:t>
      </w:r>
      <w:r>
        <w:rPr>
          <w:rFonts w:ascii="宋体" w:hAnsi="宋体" w:cs="宋体" w:eastAsia="宋体" w:hint="default"/>
        </w:rPr>
        <w:t>10.2%</w:t>
      </w:r>
      <w:r>
        <w:rPr/>
        <w:t>；专职从事金融服</w:t>
      </w:r>
      <w:r>
        <w:rPr>
          <w:w w:val="100"/>
        </w:rPr>
        <w:t> </w:t>
      </w:r>
      <w:r>
        <w:rPr/>
        <w:t>务业务的人员</w:t>
      </w:r>
      <w:r>
        <w:rPr>
          <w:spacing w:val="-47"/>
        </w:rPr>
        <w:t> </w:t>
      </w:r>
      <w:r>
        <w:rPr>
          <w:rFonts w:ascii="宋体" w:hAnsi="宋体" w:cs="宋体" w:eastAsia="宋体" w:hint="default"/>
        </w:rPr>
        <w:t>1334</w:t>
      </w:r>
      <w:r>
        <w:rPr>
          <w:rFonts w:ascii="宋体" w:hAnsi="宋体" w:cs="宋体" w:eastAsia="宋体" w:hint="default"/>
          <w:spacing w:val="-49"/>
        </w:rPr>
        <w:t> </w:t>
      </w:r>
      <w:r>
        <w:rPr>
          <w:spacing w:val="-6"/>
        </w:rPr>
        <w:t>人，占比比例为</w:t>
      </w:r>
      <w:r>
        <w:rPr>
          <w:spacing w:val="-45"/>
        </w:rPr>
        <w:t> </w:t>
      </w:r>
      <w:r>
        <w:rPr>
          <w:rFonts w:ascii="宋体" w:hAnsi="宋体" w:cs="宋体" w:eastAsia="宋体" w:hint="default"/>
          <w:spacing w:val="-6"/>
        </w:rPr>
        <w:t>8.78%</w:t>
      </w:r>
      <w:r>
        <w:rPr>
          <w:spacing w:val="-6"/>
        </w:rPr>
        <w:t>，同比</w:t>
      </w:r>
      <w:r>
        <w:rPr>
          <w:spacing w:val="-47"/>
        </w:rPr>
        <w:t> </w:t>
      </w:r>
      <w:r>
        <w:rPr>
          <w:rFonts w:ascii="宋体" w:hAnsi="宋体" w:cs="宋体" w:eastAsia="宋体" w:hint="default"/>
        </w:rPr>
        <w:t>2016</w:t>
      </w:r>
      <w:r>
        <w:rPr>
          <w:rFonts w:ascii="宋体" w:hAnsi="宋体" w:cs="宋体" w:eastAsia="宋体" w:hint="default"/>
          <w:spacing w:val="-45"/>
        </w:rPr>
        <w:t> </w:t>
      </w:r>
      <w:r>
        <w:rPr/>
        <w:t>年末比例相对增加</w:t>
      </w:r>
      <w:r>
        <w:rPr>
          <w:spacing w:val="-49"/>
        </w:rPr>
        <w:t> </w:t>
      </w:r>
      <w:r>
        <w:rPr>
          <w:rFonts w:ascii="宋体" w:hAnsi="宋体" w:cs="宋体" w:eastAsia="宋体" w:hint="default"/>
          <w:spacing w:val="-4"/>
        </w:rPr>
        <w:t>53%</w:t>
      </w:r>
      <w:r>
        <w:rPr>
          <w:spacing w:val="-4"/>
        </w:rPr>
        <w:t>；从事软件业务及其</w:t>
      </w:r>
    </w:p>
    <w:p>
      <w:pPr>
        <w:spacing w:after="0" w:line="357" w:lineRule="auto"/>
        <w:jc w:val="both"/>
        <w:sectPr>
          <w:pgSz w:w="11910" w:h="16840"/>
          <w:pgMar w:header="855" w:footer="1195" w:top="1320" w:bottom="1380" w:left="1660" w:right="1060"/>
        </w:sectPr>
      </w:pPr>
    </w:p>
    <w:p>
      <w:pPr>
        <w:spacing w:line="240" w:lineRule="auto" w:before="4"/>
        <w:rPr>
          <w:rFonts w:ascii="宋体" w:hAnsi="宋体" w:cs="宋体" w:eastAsia="宋体" w:hint="default"/>
          <w:sz w:val="9"/>
          <w:szCs w:val="9"/>
        </w:rPr>
      </w:pPr>
    </w:p>
    <w:p>
      <w:pPr>
        <w:pStyle w:val="BodyText"/>
        <w:spacing w:line="357" w:lineRule="auto" w:before="36"/>
        <w:ind w:left="138" w:right="0"/>
        <w:jc w:val="left"/>
      </w:pPr>
      <w:r>
        <w:rPr/>
        <w:t>他业务人员</w:t>
      </w:r>
      <w:r>
        <w:rPr>
          <w:spacing w:val="-53"/>
        </w:rPr>
        <w:t> </w:t>
      </w:r>
      <w:r>
        <w:rPr>
          <w:rFonts w:ascii="宋体" w:hAnsi="宋体" w:cs="宋体" w:eastAsia="宋体" w:hint="default"/>
        </w:rPr>
        <w:t>11914</w:t>
      </w:r>
      <w:r>
        <w:rPr>
          <w:rFonts w:ascii="宋体" w:hAnsi="宋体" w:cs="宋体" w:eastAsia="宋体" w:hint="default"/>
          <w:spacing w:val="-55"/>
        </w:rPr>
        <w:t> </w:t>
      </w:r>
      <w:r>
        <w:rPr/>
        <w:t>人，占比比例为</w:t>
      </w:r>
      <w:r>
        <w:rPr>
          <w:spacing w:val="-52"/>
        </w:rPr>
        <w:t> </w:t>
      </w:r>
      <w:r>
        <w:rPr>
          <w:rFonts w:ascii="宋体" w:hAnsi="宋体" w:cs="宋体" w:eastAsia="宋体" w:hint="default"/>
        </w:rPr>
        <w:t>78.41%</w:t>
      </w:r>
      <w:r>
        <w:rPr/>
        <w:t>，同比</w:t>
      </w:r>
      <w:r>
        <w:rPr>
          <w:spacing w:val="-55"/>
        </w:rPr>
        <w:t> </w:t>
      </w:r>
      <w:r>
        <w:rPr>
          <w:rFonts w:ascii="宋体" w:hAnsi="宋体" w:cs="宋体" w:eastAsia="宋体" w:hint="default"/>
        </w:rPr>
        <w:t>2016</w:t>
      </w:r>
      <w:r>
        <w:rPr>
          <w:rFonts w:ascii="宋体" w:hAnsi="宋体" w:cs="宋体" w:eastAsia="宋体" w:hint="default"/>
          <w:spacing w:val="-52"/>
        </w:rPr>
        <w:t> </w:t>
      </w:r>
      <w:r>
        <w:rPr/>
        <w:t>年末比例相对减少</w:t>
      </w:r>
      <w:r>
        <w:rPr>
          <w:spacing w:val="-53"/>
        </w:rPr>
        <w:t> </w:t>
      </w:r>
      <w:r>
        <w:rPr>
          <w:rFonts w:ascii="宋体" w:hAnsi="宋体" w:cs="宋体" w:eastAsia="宋体" w:hint="default"/>
        </w:rPr>
        <w:t>5.1%</w:t>
      </w:r>
      <w:r>
        <w:rPr/>
        <w:t>。因此，人员增长</w:t>
      </w:r>
      <w:r>
        <w:rPr>
          <w:w w:val="100"/>
        </w:rPr>
        <w:t> </w:t>
      </w:r>
      <w:r>
        <w:rPr/>
        <w:t>主要由于云服务和金融服务类人员的增长。</w:t>
      </w:r>
    </w:p>
    <w:p>
      <w:pPr>
        <w:pStyle w:val="BodyText"/>
        <w:spacing w:line="355" w:lineRule="auto" w:before="30"/>
        <w:ind w:left="138" w:right="148" w:firstLine="419"/>
        <w:jc w:val="both"/>
      </w:pPr>
      <w:r>
        <w:rPr/>
        <w:t>为了提高全体员工向“用友</w:t>
      </w:r>
      <w:r>
        <w:rPr>
          <w:spacing w:val="4"/>
        </w:rPr>
        <w:t> </w:t>
      </w:r>
      <w:r>
        <w:rPr>
          <w:rFonts w:ascii="宋体" w:hAnsi="宋体" w:cs="宋体" w:eastAsia="宋体" w:hint="default"/>
        </w:rPr>
        <w:t>3.0</w:t>
      </w:r>
      <w:r>
        <w:rPr/>
        <w:t>”转型发展的信心和决心，公司组织了一系列重大活动。通</w:t>
      </w:r>
      <w:r>
        <w:rPr>
          <w:w w:val="100"/>
        </w:rPr>
        <w:t> </w:t>
      </w:r>
      <w:r>
        <w:rPr>
          <w:spacing w:val="-1"/>
        </w:rPr>
        <w:t>过组织以“学习两弹一星精神、引爆用友云发展”为主题的用友干部与专家夏令营，提高核心骨</w:t>
      </w:r>
      <w:r>
        <w:rPr>
          <w:spacing w:val="-55"/>
        </w:rPr>
        <w:t> </w:t>
      </w:r>
      <w:r>
        <w:rPr>
          <w:spacing w:val="-55"/>
        </w:rPr>
      </w:r>
      <w:r>
        <w:rPr>
          <w:spacing w:val="-1"/>
        </w:rPr>
        <w:t>干发展云业务的思想认识，树立攻坚克难精神，加快突破云业务发展；通过开展主题为“与云同</w:t>
      </w:r>
      <w:r>
        <w:rPr>
          <w:spacing w:val="-56"/>
        </w:rPr>
        <w:t> </w:t>
      </w:r>
      <w:r>
        <w:rPr>
          <w:spacing w:val="-56"/>
        </w:rPr>
      </w:r>
      <w:r>
        <w:rPr/>
        <w:t>行”的全体员工轮训，增强云业务转型发展的危机意识感，夯实推进云业务的群众基础。</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spacing w:line="2592" w:lineRule="exact"/>
        <w:ind w:left="557" w:right="0" w:firstLine="0"/>
        <w:rPr>
          <w:rFonts w:ascii="宋体" w:hAnsi="宋体" w:cs="宋体" w:eastAsia="宋体" w:hint="default"/>
          <w:sz w:val="20"/>
          <w:szCs w:val="20"/>
        </w:rPr>
      </w:pPr>
      <w:r>
        <w:rPr>
          <w:rFonts w:ascii="宋体" w:hAnsi="宋体" w:cs="宋体" w:eastAsia="宋体" w:hint="default"/>
          <w:position w:val="-51"/>
          <w:sz w:val="20"/>
          <w:szCs w:val="20"/>
        </w:rPr>
        <w:drawing>
          <wp:inline distT="0" distB="0" distL="0" distR="0">
            <wp:extent cx="5246876" cy="1645920"/>
            <wp:effectExtent l="0" t="0" r="0" b="0"/>
            <wp:docPr id="29" name="image16.jpeg" descr=""/>
            <wp:cNvGraphicFramePr>
              <a:graphicFrameLocks noChangeAspect="1"/>
            </wp:cNvGraphicFramePr>
            <a:graphic>
              <a:graphicData uri="http://schemas.openxmlformats.org/drawingml/2006/picture">
                <pic:pic>
                  <pic:nvPicPr>
                    <pic:cNvPr id="30" name="image16.jpeg"/>
                    <pic:cNvPicPr/>
                  </pic:nvPicPr>
                  <pic:blipFill>
                    <a:blip r:embed="rId34" cstate="print"/>
                    <a:stretch>
                      <a:fillRect/>
                    </a:stretch>
                  </pic:blipFill>
                  <pic:spPr>
                    <a:xfrm>
                      <a:off x="0" y="0"/>
                      <a:ext cx="5246876" cy="1645920"/>
                    </a:xfrm>
                    <a:prstGeom prst="rect">
                      <a:avLst/>
                    </a:prstGeom>
                  </pic:spPr>
                </pic:pic>
              </a:graphicData>
            </a:graphic>
          </wp:inline>
        </w:drawing>
      </w:r>
      <w:r>
        <w:rPr>
          <w:rFonts w:ascii="宋体" w:hAnsi="宋体" w:cs="宋体" w:eastAsia="宋体" w:hint="default"/>
          <w:position w:val="-51"/>
          <w:sz w:val="20"/>
          <w:szCs w:val="20"/>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8"/>
          <w:szCs w:val="18"/>
        </w:rPr>
      </w:pPr>
    </w:p>
    <w:p>
      <w:pPr>
        <w:pStyle w:val="BodyText"/>
        <w:spacing w:line="357" w:lineRule="auto"/>
        <w:ind w:left="138" w:right="148" w:firstLine="419"/>
        <w:jc w:val="both"/>
      </w:pPr>
      <w:r>
        <w:rPr/>
        <w:t>为了增强企业活力，发挥年轻人才在“用友</w:t>
      </w:r>
      <w:r>
        <w:rPr>
          <w:spacing w:val="4"/>
        </w:rPr>
        <w:t> </w:t>
      </w:r>
      <w:r>
        <w:rPr>
          <w:rFonts w:ascii="宋体" w:hAnsi="宋体" w:cs="宋体" w:eastAsia="宋体" w:hint="default"/>
        </w:rPr>
        <w:t>3.0</w:t>
      </w:r>
      <w:r>
        <w:rPr/>
        <w:t>”阶段的重要作用，公司继续推进干部年轻</w:t>
      </w:r>
      <w:r>
        <w:rPr>
          <w:w w:val="100"/>
        </w:rPr>
        <w:t> </w:t>
      </w:r>
      <w:r>
        <w:rPr>
          <w:spacing w:val="-5"/>
        </w:rPr>
        <w:t>化，强化核心干部的人才梯队建设；同时，公司加大了应届生招聘的力度，在</w:t>
      </w:r>
      <w:r>
        <w:rPr>
          <w:spacing w:val="-23"/>
        </w:rPr>
        <w:t> </w:t>
      </w:r>
      <w:r>
        <w:rPr>
          <w:rFonts w:ascii="宋体" w:hAnsi="宋体" w:cs="宋体" w:eastAsia="宋体" w:hint="default"/>
        </w:rPr>
        <w:t>50</w:t>
      </w:r>
      <w:r>
        <w:rPr>
          <w:rFonts w:ascii="宋体" w:hAnsi="宋体" w:cs="宋体" w:eastAsia="宋体" w:hint="default"/>
          <w:spacing w:val="-28"/>
        </w:rPr>
        <w:t> </w:t>
      </w:r>
      <w:r>
        <w:rPr/>
        <w:t>个以上的重点高</w:t>
      </w:r>
      <w:r>
        <w:rPr>
          <w:spacing w:val="-94"/>
        </w:rPr>
        <w:t> </w:t>
      </w:r>
      <w:r>
        <w:rPr>
          <w:spacing w:val="-94"/>
        </w:rPr>
      </w:r>
      <w:r>
        <w:rPr>
          <w:spacing w:val="-1"/>
        </w:rPr>
        <w:t>校进行雇主品牌宣传和校园共享招聘，应届生入职占比明显提高，对提高招聘质量、降低招聘成</w:t>
      </w:r>
      <w:r>
        <w:rPr>
          <w:spacing w:val="-55"/>
        </w:rPr>
        <w:t> </w:t>
      </w:r>
      <w:r>
        <w:rPr>
          <w:spacing w:val="-55"/>
        </w:rPr>
      </w:r>
      <w:r>
        <w:rPr/>
        <w:t>本起到了积极作用。</w:t>
      </w:r>
    </w:p>
    <w:p>
      <w:pPr>
        <w:pStyle w:val="BodyText"/>
        <w:spacing w:line="355" w:lineRule="auto" w:before="30"/>
        <w:ind w:left="138" w:right="148" w:firstLine="419"/>
        <w:jc w:val="both"/>
      </w:pPr>
      <w:r>
        <w:rPr>
          <w:spacing w:val="-7"/>
        </w:rPr>
        <w:t>报告期内，结合互联网业务运营特点，公司完成了弹性工时制的改革，不仅满足了业务需求，</w:t>
      </w:r>
      <w:r>
        <w:rPr>
          <w:w w:val="100"/>
        </w:rPr>
        <w:t> </w:t>
      </w:r>
      <w:r>
        <w:rPr/>
        <w:t>也为推进专业奋斗的核心价值观建立了制度基础。</w:t>
      </w:r>
    </w:p>
    <w:p>
      <w:pPr>
        <w:pStyle w:val="BodyText"/>
        <w:spacing w:line="240" w:lineRule="auto" w:before="34"/>
        <w:ind w:left="558" w:right="0"/>
        <w:jc w:val="left"/>
      </w:pPr>
      <w:r>
        <w:rPr/>
        <w:t>为适应新时期业务需要，公司优化升级了《用友员工商业行为守则》，并组织全员学习新版</w:t>
      </w:r>
    </w:p>
    <w:p>
      <w:pPr>
        <w:pStyle w:val="BodyText"/>
        <w:spacing w:line="355" w:lineRule="auto" w:before="133"/>
        <w:ind w:left="138" w:right="0"/>
        <w:jc w:val="left"/>
      </w:pPr>
      <w:r>
        <w:rPr>
          <w:spacing w:val="-4"/>
        </w:rPr>
        <w:t>《用友员工商业行为守则》（</w:t>
      </w:r>
      <w:r>
        <w:rPr>
          <w:rFonts w:ascii="宋体" w:hAnsi="宋体" w:cs="宋体" w:eastAsia="宋体" w:hint="default"/>
          <w:spacing w:val="-4"/>
        </w:rPr>
        <w:t>2.0</w:t>
      </w:r>
      <w:r>
        <w:rPr>
          <w:spacing w:val="-4"/>
        </w:rPr>
        <w:t>），签署“阳光经营承诺书”，为公司新时期健康发展加强了制</w:t>
      </w:r>
      <w:r>
        <w:rPr>
          <w:spacing w:val="-33"/>
        </w:rPr>
        <w:t> </w:t>
      </w:r>
      <w:r>
        <w:rPr>
          <w:spacing w:val="-33"/>
        </w:rPr>
      </w:r>
      <w:r>
        <w:rPr/>
        <w:t>度基础。</w:t>
      </w:r>
    </w:p>
    <w:p>
      <w:pPr>
        <w:pStyle w:val="Heading3"/>
        <w:spacing w:line="240" w:lineRule="auto" w:before="33"/>
        <w:ind w:left="138" w:right="0"/>
        <w:jc w:val="left"/>
        <w:rPr>
          <w:b w:val="0"/>
          <w:bCs w:val="0"/>
        </w:rPr>
      </w:pPr>
      <w:r>
        <w:rPr>
          <w:rFonts w:ascii="宋体" w:hAnsi="宋体" w:cs="宋体" w:eastAsia="宋体" w:hint="default"/>
        </w:rPr>
        <w:t>6</w:t>
      </w:r>
      <w:r>
        <w:rPr/>
        <w:t>、投资并购情况</w:t>
      </w:r>
      <w:r>
        <w:rPr>
          <w:b w:val="0"/>
          <w:bCs w:val="0"/>
        </w:rPr>
      </w:r>
    </w:p>
    <w:p>
      <w:pPr>
        <w:pStyle w:val="BodyText"/>
        <w:spacing w:line="357" w:lineRule="auto" w:before="133"/>
        <w:ind w:left="138" w:right="147" w:firstLine="419"/>
        <w:jc w:val="both"/>
      </w:pPr>
      <w:r>
        <w:rPr/>
        <w:t>报告期内，公司以</w:t>
      </w:r>
      <w:r>
        <w:rPr>
          <w:spacing w:val="-50"/>
        </w:rPr>
        <w:t> </w:t>
      </w:r>
      <w:r>
        <w:rPr>
          <w:rFonts w:ascii="宋体" w:hAnsi="宋体" w:cs="宋体" w:eastAsia="宋体" w:hint="default"/>
        </w:rPr>
        <w:t>67,108,612.50</w:t>
      </w:r>
      <w:r>
        <w:rPr>
          <w:rFonts w:ascii="宋体" w:hAnsi="宋体" w:cs="宋体" w:eastAsia="宋体" w:hint="default"/>
          <w:spacing w:val="-50"/>
        </w:rPr>
        <w:t> </w:t>
      </w:r>
      <w:r>
        <w:rPr/>
        <w:t>元的价格受让企业招聘云服务领先提供商上海大易云计算</w:t>
      </w:r>
      <w:r>
        <w:rPr>
          <w:w w:val="100"/>
        </w:rPr>
        <w:t> </w:t>
      </w:r>
      <w:r>
        <w:rPr>
          <w:spacing w:val="-3"/>
        </w:rPr>
        <w:t>股份有限公司（“大易”）合计</w:t>
      </w:r>
      <w:r>
        <w:rPr>
          <w:spacing w:val="-47"/>
        </w:rPr>
        <w:t> </w:t>
      </w:r>
      <w:r>
        <w:rPr>
          <w:rFonts w:ascii="宋体" w:hAnsi="宋体" w:cs="宋体" w:eastAsia="宋体" w:hint="default"/>
        </w:rPr>
        <w:t>5,368,689</w:t>
      </w:r>
      <w:r>
        <w:rPr>
          <w:rFonts w:ascii="宋体" w:hAnsi="宋体" w:cs="宋体" w:eastAsia="宋体" w:hint="default"/>
          <w:spacing w:val="-49"/>
        </w:rPr>
        <w:t> </w:t>
      </w:r>
      <w:r>
        <w:rPr>
          <w:spacing w:val="-3"/>
        </w:rPr>
        <w:t>股股份，占大易总股本的</w:t>
      </w:r>
      <w:r>
        <w:rPr>
          <w:spacing w:val="-47"/>
        </w:rPr>
        <w:t> </w:t>
      </w:r>
      <w:r>
        <w:rPr>
          <w:rFonts w:ascii="宋体" w:hAnsi="宋体" w:cs="宋体" w:eastAsia="宋体" w:hint="default"/>
        </w:rPr>
        <w:t>29.8261%</w:t>
      </w:r>
      <w:r>
        <w:rPr/>
        <w:t>。公司此次购买大</w:t>
      </w:r>
      <w:r>
        <w:rPr>
          <w:spacing w:val="-102"/>
        </w:rPr>
        <w:t> </w:t>
      </w:r>
      <w:r>
        <w:rPr>
          <w:spacing w:val="-102"/>
        </w:rPr>
      </w:r>
      <w:r>
        <w:rPr>
          <w:spacing w:val="-1"/>
        </w:rPr>
        <w:t>易股权，将夯实公司与大易的战略合作，完善用友云在人力云的业务布局和战略协同，增强用友</w:t>
      </w:r>
      <w:r>
        <w:rPr>
          <w:spacing w:val="-55"/>
        </w:rPr>
        <w:t> </w:t>
      </w:r>
      <w:r>
        <w:rPr>
          <w:spacing w:val="-55"/>
        </w:rPr>
      </w:r>
      <w:r>
        <w:rPr/>
        <w:t>人力云的竞争力。</w:t>
      </w:r>
    </w:p>
    <w:p>
      <w:pPr>
        <w:pStyle w:val="BodyText"/>
        <w:spacing w:line="355" w:lineRule="auto" w:before="30"/>
        <w:ind w:left="138" w:right="148" w:firstLine="419"/>
        <w:jc w:val="both"/>
      </w:pPr>
      <w:r>
        <w:rPr>
          <w:spacing w:val="-10"/>
          <w:w w:val="100"/>
        </w:rPr>
        <w:t>报告期内，公司以人民币</w:t>
      </w:r>
      <w:r>
        <w:rPr>
          <w:spacing w:val="-45"/>
          <w:w w:val="100"/>
        </w:rPr>
        <w:t> </w:t>
      </w:r>
      <w:r>
        <w:rPr>
          <w:rFonts w:ascii="宋体" w:hAnsi="宋体" w:cs="宋体" w:eastAsia="宋体" w:hint="default"/>
          <w:spacing w:val="-1"/>
          <w:w w:val="100"/>
        </w:rPr>
        <w:t>5,976.00</w:t>
      </w:r>
      <w:r>
        <w:rPr>
          <w:rFonts w:ascii="宋体" w:hAnsi="宋体" w:cs="宋体" w:eastAsia="宋体" w:hint="default"/>
          <w:spacing w:val="-46"/>
          <w:w w:val="100"/>
        </w:rPr>
        <w:t> </w:t>
      </w:r>
      <w:r>
        <w:rPr>
          <w:spacing w:val="-2"/>
          <w:w w:val="100"/>
        </w:rPr>
        <w:t>万元的价格受让民太安保险公估集团股份有限公司持有的</w:t>
      </w:r>
      <w:r>
        <w:rPr>
          <w:w w:val="100"/>
        </w:rPr>
        <w:t> </w:t>
      </w:r>
      <w:r>
        <w:rPr/>
        <w:t>前海民太安保险经纪有限公司</w:t>
      </w:r>
      <w:r>
        <w:rPr>
          <w:spacing w:val="-56"/>
        </w:rPr>
        <w:t> </w:t>
      </w:r>
      <w:r>
        <w:rPr>
          <w:rFonts w:ascii="宋体" w:hAnsi="宋体" w:cs="宋体" w:eastAsia="宋体" w:hint="default"/>
        </w:rPr>
        <w:t>60%</w:t>
      </w:r>
      <w:r>
        <w:rPr/>
        <w:t>的股权。</w:t>
      </w:r>
    </w:p>
    <w:p>
      <w:pPr>
        <w:pStyle w:val="BodyText"/>
        <w:spacing w:line="240" w:lineRule="auto" w:before="34"/>
        <w:ind w:left="558" w:right="0"/>
        <w:jc w:val="left"/>
      </w:pPr>
      <w:r>
        <w:rPr>
          <w:spacing w:val="-4"/>
        </w:rPr>
        <w:t>报告期内，公司通过与前海方舟资产管理有限公司等 </w:t>
      </w:r>
      <w:r>
        <w:rPr>
          <w:rFonts w:ascii="宋体" w:hAnsi="宋体" w:cs="宋体" w:eastAsia="宋体" w:hint="default"/>
        </w:rPr>
        <w:t>6</w:t>
      </w:r>
      <w:r>
        <w:rPr>
          <w:rFonts w:ascii="宋体" w:hAnsi="宋体" w:cs="宋体" w:eastAsia="宋体" w:hint="default"/>
          <w:spacing w:val="-4"/>
        </w:rPr>
        <w:t> </w:t>
      </w:r>
      <w:r>
        <w:rPr/>
        <w:t>家合伙人共同参与投资深圳淮海方舟</w:t>
      </w:r>
    </w:p>
    <w:p>
      <w:pPr>
        <w:pStyle w:val="BodyText"/>
        <w:spacing w:line="355" w:lineRule="auto" w:before="133"/>
        <w:ind w:left="138" w:right="143"/>
        <w:jc w:val="left"/>
      </w:pPr>
      <w:r>
        <w:rPr/>
        <w:t>信息产业股权投资基金（有限合伙），参与投资联通混改项目。公司出资</w:t>
      </w:r>
      <w:r>
        <w:rPr>
          <w:spacing w:val="-51"/>
        </w:rPr>
        <w:t> </w:t>
      </w:r>
      <w:r>
        <w:rPr>
          <w:rFonts w:ascii="宋体" w:hAnsi="宋体" w:cs="宋体" w:eastAsia="宋体" w:hint="default"/>
        </w:rPr>
        <w:t>1.7</w:t>
      </w:r>
      <w:r>
        <w:rPr>
          <w:rFonts w:ascii="宋体" w:hAnsi="宋体" w:cs="宋体" w:eastAsia="宋体" w:hint="default"/>
          <w:spacing w:val="-49"/>
        </w:rPr>
        <w:t> </w:t>
      </w:r>
      <w:r>
        <w:rPr/>
        <w:t>亿元人民币，占比</w:t>
      </w:r>
      <w:r>
        <w:rPr>
          <w:w w:val="100"/>
        </w:rPr>
        <w:t> </w:t>
      </w:r>
      <w:r>
        <w:rPr>
          <w:rFonts w:ascii="宋体" w:hAnsi="宋体" w:cs="宋体" w:eastAsia="宋体" w:hint="default"/>
        </w:rPr>
        <w:t>4.25%</w:t>
      </w:r>
      <w:r>
        <w:rPr/>
        <w:t>。</w:t>
      </w:r>
    </w:p>
    <w:p>
      <w:pPr>
        <w:spacing w:after="0" w:line="355" w:lineRule="auto"/>
        <w:jc w:val="left"/>
        <w:sectPr>
          <w:footerReference w:type="default" r:id="rId33"/>
          <w:pgSz w:w="11910" w:h="16840"/>
          <w:pgMar w:footer="1195" w:header="855" w:top="1320" w:bottom="1380" w:left="1660" w:right="1120"/>
          <w:pgNumType w:start="35"/>
        </w:sectPr>
      </w:pPr>
    </w:p>
    <w:p>
      <w:pPr>
        <w:spacing w:line="240" w:lineRule="auto" w:before="4"/>
        <w:rPr>
          <w:rFonts w:ascii="宋体" w:hAnsi="宋体" w:cs="宋体" w:eastAsia="宋体" w:hint="default"/>
          <w:sz w:val="9"/>
          <w:szCs w:val="9"/>
        </w:rPr>
      </w:pPr>
    </w:p>
    <w:p>
      <w:pPr>
        <w:pStyle w:val="BodyText"/>
        <w:spacing w:line="240" w:lineRule="auto" w:before="36"/>
        <w:ind w:left="638" w:right="0"/>
        <w:jc w:val="left"/>
      </w:pPr>
      <w:r>
        <w:rPr/>
        <w:t>报告期内，公司以人民币</w:t>
      </w:r>
      <w:r>
        <w:rPr>
          <w:spacing w:val="-52"/>
        </w:rPr>
        <w:t> </w:t>
      </w:r>
      <w:r>
        <w:rPr>
          <w:rFonts w:ascii="宋体" w:hAnsi="宋体" w:cs="宋体" w:eastAsia="宋体" w:hint="default"/>
        </w:rPr>
        <w:t>24,999,996.00</w:t>
      </w:r>
      <w:r>
        <w:rPr>
          <w:rFonts w:ascii="宋体" w:hAnsi="宋体" w:cs="宋体" w:eastAsia="宋体" w:hint="default"/>
          <w:spacing w:val="-50"/>
        </w:rPr>
        <w:t> </w:t>
      </w:r>
      <w:r>
        <w:rPr/>
        <w:t>元的价格向在商事服务等领域具有行业领先优势的</w:t>
      </w:r>
    </w:p>
    <w:p>
      <w:pPr>
        <w:pStyle w:val="BodyText"/>
        <w:spacing w:line="240" w:lineRule="auto" w:before="135"/>
        <w:ind w:right="0"/>
        <w:jc w:val="both"/>
        <w:rPr>
          <w:rFonts w:ascii="宋体" w:hAnsi="宋体" w:cs="宋体" w:eastAsia="宋体" w:hint="default"/>
        </w:rPr>
      </w:pPr>
      <w:r>
        <w:rPr>
          <w:spacing w:val="-14"/>
        </w:rPr>
        <w:t>企业服务提供商汉唐信通（北京）咨询股份有限公司（“汉唐咨询”）增资，并以人民币</w:t>
      </w:r>
      <w:r>
        <w:rPr>
          <w:spacing w:val="24"/>
        </w:rPr>
        <w:t> </w:t>
      </w:r>
      <w:r>
        <w:rPr>
          <w:rFonts w:ascii="宋体" w:hAnsi="宋体" w:cs="宋体" w:eastAsia="宋体" w:hint="default"/>
        </w:rPr>
        <w:t>964,320.00</w:t>
      </w:r>
    </w:p>
    <w:p>
      <w:pPr>
        <w:pStyle w:val="BodyText"/>
        <w:spacing w:line="355" w:lineRule="auto" w:before="133"/>
        <w:ind w:right="147"/>
        <w:jc w:val="both"/>
      </w:pPr>
      <w:r>
        <w:rPr/>
        <w:t>元的价格受让于湖持有的汉唐咨询股权，以人民币</w:t>
      </w:r>
      <w:r>
        <w:rPr>
          <w:spacing w:val="-51"/>
        </w:rPr>
        <w:t> </w:t>
      </w:r>
      <w:r>
        <w:rPr>
          <w:rFonts w:ascii="宋体" w:hAnsi="宋体" w:cs="宋体" w:eastAsia="宋体" w:hint="default"/>
        </w:rPr>
        <w:t>52,437,814.98</w:t>
      </w:r>
      <w:r>
        <w:rPr>
          <w:rFonts w:ascii="宋体" w:hAnsi="宋体" w:cs="宋体" w:eastAsia="宋体" w:hint="default"/>
          <w:spacing w:val="-49"/>
        </w:rPr>
        <w:t> </w:t>
      </w:r>
      <w:r>
        <w:rPr/>
        <w:t>元的价格受让李琴、王静波、</w:t>
      </w:r>
      <w:r>
        <w:rPr>
          <w:w w:val="100"/>
        </w:rPr>
        <w:t> </w:t>
      </w:r>
      <w:r>
        <w:rPr>
          <w:spacing w:val="-3"/>
        </w:rPr>
        <w:t>张春和张燕持有的汉唐咨询股权，截止报告期末，公司共持有汉唐咨询</w:t>
      </w:r>
      <w:r>
        <w:rPr>
          <w:spacing w:val="-22"/>
        </w:rPr>
        <w:t> </w:t>
      </w:r>
      <w:r>
        <w:rPr>
          <w:rFonts w:ascii="宋体" w:hAnsi="宋体" w:cs="宋体" w:eastAsia="宋体" w:hint="default"/>
        </w:rPr>
        <w:t>22.2374%</w:t>
      </w:r>
      <w:r>
        <w:rPr/>
        <w:t>的股权。公司与</w:t>
      </w:r>
      <w:r>
        <w:rPr>
          <w:spacing w:val="-92"/>
        </w:rPr>
        <w:t> </w:t>
      </w:r>
      <w:r>
        <w:rPr>
          <w:spacing w:val="-92"/>
        </w:rPr>
      </w:r>
      <w:r>
        <w:rPr>
          <w:spacing w:val="-1"/>
        </w:rPr>
        <w:t>汉唐咨询均致力于为企业客户提供全面、优质的服务，在客户资源、产品服务等层面存在互补共</w:t>
      </w:r>
      <w:r>
        <w:rPr>
          <w:spacing w:val="-55"/>
        </w:rPr>
        <w:t> </w:t>
      </w:r>
      <w:r>
        <w:rPr>
          <w:spacing w:val="-55"/>
        </w:rPr>
      </w:r>
      <w:r>
        <w:rPr/>
        <w:t>享的关系，二者的合作将会更好地服务于企业客户。</w:t>
      </w:r>
    </w:p>
    <w:p>
      <w:pPr>
        <w:pStyle w:val="BodyText"/>
        <w:spacing w:line="357" w:lineRule="auto" w:before="34"/>
        <w:ind w:right="148" w:firstLine="419"/>
        <w:jc w:val="both"/>
      </w:pPr>
      <w:r>
        <w:rPr>
          <w:spacing w:val="-10"/>
          <w:w w:val="100"/>
        </w:rPr>
        <w:t>报告期内，公司以人民币</w:t>
      </w:r>
      <w:r>
        <w:rPr>
          <w:spacing w:val="-45"/>
          <w:w w:val="100"/>
        </w:rPr>
        <w:t> </w:t>
      </w:r>
      <w:r>
        <w:rPr>
          <w:rFonts w:ascii="宋体" w:hAnsi="宋体" w:cs="宋体" w:eastAsia="宋体" w:hint="default"/>
          <w:spacing w:val="-1"/>
          <w:w w:val="100"/>
        </w:rPr>
        <w:t>6500</w:t>
      </w:r>
      <w:r>
        <w:rPr>
          <w:rFonts w:ascii="宋体" w:hAnsi="宋体" w:cs="宋体" w:eastAsia="宋体" w:hint="default"/>
          <w:spacing w:val="-46"/>
          <w:w w:val="100"/>
        </w:rPr>
        <w:t> </w:t>
      </w:r>
      <w:r>
        <w:rPr>
          <w:spacing w:val="-2"/>
          <w:w w:val="100"/>
        </w:rPr>
        <w:t>万元向领先的农业行业互联网服务提供商北京农信互联科技有</w:t>
      </w:r>
      <w:r>
        <w:rPr>
          <w:w w:val="100"/>
        </w:rPr>
        <w:t> </w:t>
      </w:r>
      <w:r>
        <w:rPr/>
        <w:t>限公司（“农信互联”）增资，增资后，公司持有其</w:t>
      </w:r>
      <w:r>
        <w:rPr>
          <w:spacing w:val="6"/>
        </w:rPr>
        <w:t> </w:t>
      </w:r>
      <w:r>
        <w:rPr>
          <w:rFonts w:ascii="宋体" w:hAnsi="宋体" w:cs="宋体" w:eastAsia="宋体" w:hint="default"/>
        </w:rPr>
        <w:t>2.0313%</w:t>
      </w:r>
      <w:r>
        <w:rPr/>
        <w:t>的股权。农信互联在业务上与用友</w:t>
      </w:r>
      <w:r>
        <w:rPr>
          <w:w w:val="100"/>
        </w:rPr>
        <w:t> </w:t>
      </w:r>
      <w:r>
        <w:rPr/>
        <w:t>的云业务、支付和金融等形成战略协同，建立用友云与产业互联网合作标杆。</w:t>
      </w:r>
    </w:p>
    <w:p>
      <w:pPr>
        <w:pStyle w:val="BodyText"/>
        <w:spacing w:line="357" w:lineRule="auto" w:before="30"/>
        <w:ind w:right="148" w:firstLine="419"/>
        <w:jc w:val="both"/>
      </w:pPr>
      <w:r>
        <w:rPr/>
        <w:t>报告期内，公司以人民币</w:t>
      </w:r>
      <w:r>
        <w:rPr>
          <w:spacing w:val="-57"/>
        </w:rPr>
        <w:t> </w:t>
      </w:r>
      <w:r>
        <w:rPr>
          <w:rFonts w:ascii="宋体" w:hAnsi="宋体" w:cs="宋体" w:eastAsia="宋体" w:hint="default"/>
        </w:rPr>
        <w:t>168</w:t>
      </w:r>
      <w:r>
        <w:rPr>
          <w:rFonts w:ascii="宋体" w:hAnsi="宋体" w:cs="宋体" w:eastAsia="宋体" w:hint="default"/>
          <w:spacing w:val="-55"/>
        </w:rPr>
        <w:t> </w:t>
      </w:r>
      <w:r>
        <w:rPr/>
        <w:t>万元的价格受让区块链技术公司北京博晨技术有限公司（“博</w:t>
      </w:r>
      <w:r>
        <w:rPr>
          <w:w w:val="100"/>
        </w:rPr>
        <w:t> </w:t>
      </w:r>
      <w:r>
        <w:rPr>
          <w:spacing w:val="-4"/>
        </w:rPr>
        <w:t>晨技术”）的</w:t>
      </w:r>
      <w:r>
        <w:rPr>
          <w:spacing w:val="-39"/>
        </w:rPr>
        <w:t> </w:t>
      </w:r>
      <w:r>
        <w:rPr>
          <w:rFonts w:ascii="宋体" w:hAnsi="宋体" w:cs="宋体" w:eastAsia="宋体" w:hint="default"/>
        </w:rPr>
        <w:t>5.2366%</w:t>
      </w:r>
      <w:r>
        <w:rPr/>
        <w:t>股权，后向其增资</w:t>
      </w:r>
      <w:r>
        <w:rPr>
          <w:spacing w:val="-42"/>
        </w:rPr>
        <w:t> </w:t>
      </w:r>
      <w:r>
        <w:rPr>
          <w:rFonts w:ascii="宋体" w:hAnsi="宋体" w:cs="宋体" w:eastAsia="宋体" w:hint="default"/>
        </w:rPr>
        <w:t>1000</w:t>
      </w:r>
      <w:r>
        <w:rPr>
          <w:rFonts w:ascii="宋体" w:hAnsi="宋体" w:cs="宋体" w:eastAsia="宋体" w:hint="default"/>
          <w:spacing w:val="-42"/>
        </w:rPr>
        <w:t> </w:t>
      </w:r>
      <w:r>
        <w:rPr>
          <w:spacing w:val="-3"/>
        </w:rPr>
        <w:t>万元人民币，增资完成后，公司累计共取得博晨技</w:t>
      </w:r>
      <w:r>
        <w:rPr>
          <w:spacing w:val="-100"/>
        </w:rPr>
        <w:t> </w:t>
      </w:r>
      <w:r>
        <w:rPr>
          <w:spacing w:val="-100"/>
        </w:rPr>
      </w:r>
      <w:r>
        <w:rPr/>
        <w:t>术</w:t>
      </w:r>
      <w:r>
        <w:rPr>
          <w:spacing w:val="-40"/>
        </w:rPr>
        <w:t> </w:t>
      </w:r>
      <w:r>
        <w:rPr>
          <w:rFonts w:ascii="宋体" w:hAnsi="宋体" w:cs="宋体" w:eastAsia="宋体" w:hint="default"/>
          <w:spacing w:val="-3"/>
        </w:rPr>
        <w:t>21.0305%</w:t>
      </w:r>
      <w:r>
        <w:rPr>
          <w:spacing w:val="-3"/>
        </w:rPr>
        <w:t>的股权。本次投资符合公司战略发展要求，是公司用友</w:t>
      </w:r>
      <w:r>
        <w:rPr>
          <w:spacing w:val="-40"/>
        </w:rPr>
        <w:t> </w:t>
      </w:r>
      <w:r>
        <w:rPr>
          <w:rFonts w:ascii="宋体" w:hAnsi="宋体" w:cs="宋体" w:eastAsia="宋体" w:hint="default"/>
        </w:rPr>
        <w:t>3.0</w:t>
      </w:r>
      <w:r>
        <w:rPr>
          <w:rFonts w:ascii="宋体" w:hAnsi="宋体" w:cs="宋体" w:eastAsia="宋体" w:hint="default"/>
          <w:spacing w:val="-40"/>
        </w:rPr>
        <w:t> </w:t>
      </w:r>
      <w:r>
        <w:rPr/>
        <w:t>战略下的创新技术储备方</w:t>
      </w:r>
      <w:r>
        <w:rPr>
          <w:spacing w:val="-100"/>
        </w:rPr>
        <w:t> </w:t>
      </w:r>
      <w:r>
        <w:rPr>
          <w:spacing w:val="-100"/>
        </w:rPr>
      </w:r>
      <w:r>
        <w:rPr/>
        <w:t>面的重要布局。</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spacing w:line="4822" w:lineRule="exact"/>
        <w:ind w:left="637" w:right="0" w:firstLine="0"/>
        <w:rPr>
          <w:rFonts w:ascii="宋体" w:hAnsi="宋体" w:cs="宋体" w:eastAsia="宋体" w:hint="default"/>
          <w:sz w:val="20"/>
          <w:szCs w:val="20"/>
        </w:rPr>
      </w:pPr>
      <w:r>
        <w:rPr>
          <w:rFonts w:ascii="宋体" w:hAnsi="宋体" w:cs="宋体" w:eastAsia="宋体" w:hint="default"/>
          <w:position w:val="-95"/>
          <w:sz w:val="20"/>
          <w:szCs w:val="20"/>
        </w:rPr>
        <w:drawing>
          <wp:inline distT="0" distB="0" distL="0" distR="0">
            <wp:extent cx="4861461" cy="3062097"/>
            <wp:effectExtent l="0" t="0" r="0" b="0"/>
            <wp:docPr id="31" name="image17.jpeg" descr=""/>
            <wp:cNvGraphicFramePr>
              <a:graphicFrameLocks noChangeAspect="1"/>
            </wp:cNvGraphicFramePr>
            <a:graphic>
              <a:graphicData uri="http://schemas.openxmlformats.org/drawingml/2006/picture">
                <pic:pic>
                  <pic:nvPicPr>
                    <pic:cNvPr id="32" name="image17.jpeg"/>
                    <pic:cNvPicPr/>
                  </pic:nvPicPr>
                  <pic:blipFill>
                    <a:blip r:embed="rId35" cstate="print"/>
                    <a:stretch>
                      <a:fillRect/>
                    </a:stretch>
                  </pic:blipFill>
                  <pic:spPr>
                    <a:xfrm>
                      <a:off x="0" y="0"/>
                      <a:ext cx="4861461" cy="3062097"/>
                    </a:xfrm>
                    <a:prstGeom prst="rect">
                      <a:avLst/>
                    </a:prstGeom>
                  </pic:spPr>
                </pic:pic>
              </a:graphicData>
            </a:graphic>
          </wp:inline>
        </w:drawing>
      </w:r>
      <w:r>
        <w:rPr>
          <w:rFonts w:ascii="宋体" w:hAnsi="宋体" w:cs="宋体" w:eastAsia="宋体" w:hint="default"/>
          <w:position w:val="-95"/>
          <w:sz w:val="20"/>
          <w:szCs w:val="20"/>
        </w:rPr>
      </w:r>
    </w:p>
    <w:p>
      <w:pPr>
        <w:spacing w:line="240" w:lineRule="auto" w:before="0"/>
        <w:rPr>
          <w:rFonts w:ascii="宋体" w:hAnsi="宋体" w:cs="宋体" w:eastAsia="宋体" w:hint="default"/>
          <w:sz w:val="20"/>
          <w:szCs w:val="20"/>
        </w:rPr>
      </w:pPr>
    </w:p>
    <w:p>
      <w:pPr>
        <w:spacing w:line="290" w:lineRule="auto" w:before="132"/>
        <w:ind w:left="218" w:right="147" w:firstLine="0"/>
        <w:jc w:val="left"/>
        <w:rPr>
          <w:rFonts w:ascii="宋体" w:hAnsi="宋体" w:cs="宋体" w:eastAsia="宋体" w:hint="default"/>
          <w:sz w:val="21"/>
          <w:szCs w:val="21"/>
        </w:rPr>
      </w:pPr>
      <w:r>
        <w:rPr>
          <w:rFonts w:ascii="宋体" w:hAnsi="宋体" w:cs="宋体" w:eastAsia="宋体" w:hint="default"/>
          <w:b/>
          <w:bCs/>
          <w:sz w:val="21"/>
          <w:szCs w:val="21"/>
        </w:rPr>
        <w:t>二、报告期内主要经营情况</w:t>
      </w:r>
      <w:r>
        <w:rPr>
          <w:rFonts w:ascii="宋体" w:hAnsi="宋体" w:cs="宋体" w:eastAsia="宋体" w:hint="default"/>
          <w:b/>
          <w:bCs/>
          <w:w w:val="100"/>
          <w:sz w:val="21"/>
          <w:szCs w:val="21"/>
        </w:rPr>
        <w:t> </w:t>
      </w:r>
      <w:r>
        <w:rPr>
          <w:rFonts w:ascii="宋体" w:hAnsi="宋体" w:cs="宋体" w:eastAsia="宋体" w:hint="default"/>
          <w:spacing w:val="-2"/>
          <w:sz w:val="21"/>
          <w:szCs w:val="21"/>
        </w:rPr>
        <w:t>参见“一、经营情况讨论与分析”中“（二）公司各项业务发展情况”。</w:t>
      </w:r>
    </w:p>
    <w:p>
      <w:pPr>
        <w:spacing w:line="240" w:lineRule="auto" w:before="1"/>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pgSz w:w="11910" w:h="16840"/>
          <w:pgMar w:header="855" w:footer="1195" w:top="1320" w:bottom="1380" w:left="1580" w:right="1120"/>
        </w:sectPr>
      </w:pPr>
    </w:p>
    <w:p>
      <w:pPr>
        <w:pStyle w:val="Heading3"/>
        <w:tabs>
          <w:tab w:pos="1057" w:val="left" w:leader="none"/>
        </w:tabs>
        <w:spacing w:line="240" w:lineRule="auto" w:before="36"/>
        <w:ind w:right="-17"/>
        <w:jc w:val="left"/>
        <w:rPr>
          <w:b w:val="0"/>
          <w:bCs w:val="0"/>
        </w:rPr>
      </w:pPr>
      <w:r>
        <w:rPr>
          <w:rFonts w:ascii="宋体" w:hAnsi="宋体" w:cs="宋体" w:eastAsia="宋体" w:hint="default"/>
          <w:spacing w:val="-1"/>
        </w:rPr>
        <w:t>(</w:t>
      </w:r>
      <w:r>
        <w:rPr>
          <w:spacing w:val="-1"/>
        </w:rPr>
        <w:t>一</w:t>
      </w:r>
      <w:r>
        <w:rPr>
          <w:rFonts w:ascii="宋体" w:hAnsi="宋体" w:cs="宋体" w:eastAsia="宋体" w:hint="default"/>
          <w:spacing w:val="-1"/>
        </w:rPr>
        <w:t>)</w:t>
        <w:tab/>
      </w:r>
      <w:r>
        <w:rPr/>
        <w:t>主营业务分析</w:t>
      </w:r>
      <w:r>
        <w:rPr>
          <w:b w:val="0"/>
          <w:bCs w:val="0"/>
        </w:rPr>
      </w:r>
    </w:p>
    <w:p>
      <w:pPr>
        <w:spacing w:line="240" w:lineRule="auto" w:before="1"/>
        <w:rPr>
          <w:rFonts w:ascii="宋体" w:hAnsi="宋体" w:cs="宋体" w:eastAsia="宋体" w:hint="default"/>
          <w:b/>
          <w:bCs/>
          <w:sz w:val="28"/>
          <w:szCs w:val="28"/>
        </w:rPr>
      </w:pPr>
      <w:r>
        <w:rPr/>
        <w:br w:type="column"/>
      </w:r>
      <w:r>
        <w:rPr>
          <w:rFonts w:ascii="宋体"/>
          <w:b/>
          <w:sz w:val="28"/>
        </w:rPr>
      </w:r>
    </w:p>
    <w:p>
      <w:pPr>
        <w:pStyle w:val="Heading3"/>
        <w:spacing w:line="240" w:lineRule="auto"/>
        <w:ind w:right="0"/>
        <w:jc w:val="left"/>
        <w:rPr>
          <w:b w:val="0"/>
          <w:bCs w:val="0"/>
        </w:rPr>
      </w:pPr>
      <w:r>
        <w:rPr>
          <w:spacing w:val="-1"/>
        </w:rPr>
        <w:t>利润表及现金流量表相关科目变动分析表</w:t>
      </w:r>
      <w:r>
        <w:rPr>
          <w:b w:val="0"/>
          <w:bCs w:val="0"/>
          <w:spacing w:val="-1"/>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pStyle w:val="BodyText"/>
        <w:tabs>
          <w:tab w:pos="1139" w:val="left" w:leader="none"/>
        </w:tabs>
        <w:spacing w:line="240" w:lineRule="auto" w:before="177"/>
        <w:ind w:left="193" w:right="0"/>
        <w:jc w:val="left"/>
      </w:pPr>
      <w:r>
        <w:rPr>
          <w:spacing w:val="-1"/>
        </w:rPr>
        <w:t>单位</w:t>
      </w:r>
      <w:r>
        <w:rPr>
          <w:rFonts w:ascii="宋体" w:hAnsi="宋体" w:cs="宋体" w:eastAsia="宋体" w:hint="default"/>
          <w:spacing w:val="-1"/>
        </w:rPr>
        <w:t>:</w:t>
      </w:r>
      <w:r>
        <w:rPr>
          <w:spacing w:val="-1"/>
        </w:rPr>
        <w:t>元</w:t>
        <w:tab/>
        <w:t>币种</w:t>
      </w:r>
      <w:r>
        <w:rPr>
          <w:rFonts w:ascii="宋体" w:hAnsi="宋体" w:cs="宋体" w:eastAsia="宋体" w:hint="default"/>
          <w:spacing w:val="-1"/>
        </w:rPr>
        <w:t>:</w:t>
      </w:r>
      <w:r>
        <w:rPr>
          <w:spacing w:val="-1"/>
        </w:rPr>
        <w:t>人民币</w:t>
      </w:r>
    </w:p>
    <w:p>
      <w:pPr>
        <w:spacing w:after="0" w:line="240" w:lineRule="auto"/>
        <w:jc w:val="left"/>
        <w:sectPr>
          <w:type w:val="continuous"/>
          <w:pgSz w:w="11910" w:h="16840"/>
          <w:pgMar w:top="1320" w:bottom="1380" w:left="1580" w:right="1120"/>
          <w:cols w:num="3" w:equalWidth="0">
            <w:col w:w="2326" w:space="377"/>
            <w:col w:w="4016" w:space="40"/>
            <w:col w:w="2451"/>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387"/>
        <w:gridCol w:w="1738"/>
        <w:gridCol w:w="1735"/>
        <w:gridCol w:w="1964"/>
      </w:tblGrid>
      <w:tr>
        <w:trPr>
          <w:trHeight w:val="283" w:hRule="exact"/>
        </w:trPr>
        <w:tc>
          <w:tcPr>
            <w:tcW w:w="33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科目</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47" w:right="0"/>
              <w:jc w:val="left"/>
              <w:rPr>
                <w:rFonts w:ascii="宋体" w:hAnsi="宋体" w:cs="宋体" w:eastAsia="宋体" w:hint="default"/>
                <w:sz w:val="21"/>
                <w:szCs w:val="21"/>
              </w:rPr>
            </w:pPr>
            <w:r>
              <w:rPr>
                <w:rFonts w:ascii="宋体" w:hAnsi="宋体" w:cs="宋体" w:eastAsia="宋体" w:hint="default"/>
                <w:sz w:val="21"/>
                <w:szCs w:val="21"/>
              </w:rPr>
              <w:t>本期数</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sz w:val="21"/>
                <w:szCs w:val="21"/>
              </w:rPr>
              <w:t>上年同期数</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92" w:right="0"/>
              <w:jc w:val="left"/>
              <w:rPr>
                <w:rFonts w:ascii="宋体" w:hAnsi="宋体" w:cs="宋体" w:eastAsia="宋体" w:hint="default"/>
                <w:sz w:val="21"/>
                <w:szCs w:val="21"/>
              </w:rPr>
            </w:pPr>
            <w:r>
              <w:rPr>
                <w:rFonts w:ascii="宋体" w:hAnsi="宋体" w:cs="宋体" w:eastAsia="宋体" w:hint="default"/>
                <w:sz w:val="21"/>
                <w:szCs w:val="21"/>
              </w:rPr>
              <w:t>变动比例（</w:t>
            </w:r>
            <w:r>
              <w:rPr>
                <w:rFonts w:ascii="宋体" w:hAnsi="宋体" w:cs="宋体" w:eastAsia="宋体" w:hint="default"/>
                <w:sz w:val="21"/>
                <w:szCs w:val="21"/>
              </w:rPr>
              <w:t>%</w:t>
            </w:r>
            <w:r>
              <w:rPr>
                <w:rFonts w:ascii="宋体" w:hAnsi="宋体" w:cs="宋体" w:eastAsia="宋体" w:hint="default"/>
                <w:sz w:val="21"/>
                <w:szCs w:val="21"/>
              </w:rPr>
              <w:t>）</w:t>
            </w:r>
          </w:p>
        </w:tc>
      </w:tr>
      <w:tr>
        <w:trPr>
          <w:trHeight w:val="281" w:hRule="exact"/>
        </w:trPr>
        <w:tc>
          <w:tcPr>
            <w:tcW w:w="33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6,343,658,549</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51" w:right="0"/>
              <w:jc w:val="center"/>
              <w:rPr>
                <w:rFonts w:ascii="宋体" w:hAnsi="宋体" w:cs="宋体" w:eastAsia="宋体" w:hint="default"/>
                <w:sz w:val="21"/>
                <w:szCs w:val="21"/>
              </w:rPr>
            </w:pPr>
            <w:r>
              <w:rPr>
                <w:rFonts w:ascii="宋体"/>
                <w:sz w:val="21"/>
              </w:rPr>
              <w:t>5,113,348,861</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24.1</w:t>
            </w:r>
          </w:p>
        </w:tc>
      </w:tr>
      <w:tr>
        <w:trPr>
          <w:trHeight w:val="283" w:hRule="exact"/>
        </w:trPr>
        <w:tc>
          <w:tcPr>
            <w:tcW w:w="338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1,812,454,538</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51" w:right="0"/>
              <w:jc w:val="center"/>
              <w:rPr>
                <w:rFonts w:ascii="宋体" w:hAnsi="宋体" w:cs="宋体" w:eastAsia="宋体" w:hint="default"/>
                <w:sz w:val="21"/>
                <w:szCs w:val="21"/>
              </w:rPr>
            </w:pPr>
            <w:r>
              <w:rPr>
                <w:rFonts w:ascii="宋体"/>
                <w:sz w:val="21"/>
              </w:rPr>
              <w:t>1,603,567,007</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13.0</w:t>
            </w:r>
          </w:p>
        </w:tc>
      </w:tr>
    </w:tbl>
    <w:p>
      <w:pPr>
        <w:spacing w:after="0" w:line="243" w:lineRule="exact"/>
        <w:jc w:val="right"/>
        <w:rPr>
          <w:rFonts w:ascii="宋体" w:hAnsi="宋体" w:cs="宋体" w:eastAsia="宋体" w:hint="default"/>
          <w:sz w:val="21"/>
          <w:szCs w:val="21"/>
        </w:rPr>
        <w:sectPr>
          <w:type w:val="continuous"/>
          <w:pgSz w:w="11910" w:h="16840"/>
          <w:pgMar w:top="1320" w:bottom="1380" w:left="1580" w:right="1120"/>
        </w:sectPr>
      </w:pPr>
    </w:p>
    <w:p>
      <w:pPr>
        <w:spacing w:line="240" w:lineRule="auto" w:before="9"/>
        <w:rPr>
          <w:rFonts w:ascii="宋体" w:hAnsi="宋体" w:cs="宋体" w:eastAsia="宋体" w:hint="default"/>
          <w:sz w:val="14"/>
          <w:szCs w:val="14"/>
        </w:rPr>
      </w:pPr>
    </w:p>
    <w:tbl>
      <w:tblPr>
        <w:tblW w:w="0" w:type="auto"/>
        <w:jc w:val="left"/>
        <w:tblInd w:w="205" w:type="dxa"/>
        <w:tblLayout w:type="fixed"/>
        <w:tblCellMar>
          <w:top w:w="0" w:type="dxa"/>
          <w:left w:w="0" w:type="dxa"/>
          <w:bottom w:w="0" w:type="dxa"/>
          <w:right w:w="0" w:type="dxa"/>
        </w:tblCellMar>
        <w:tblLook w:val="01E0"/>
      </w:tblPr>
      <w:tblGrid>
        <w:gridCol w:w="3387"/>
        <w:gridCol w:w="1738"/>
        <w:gridCol w:w="1735"/>
        <w:gridCol w:w="1964"/>
      </w:tblGrid>
      <w:tr>
        <w:trPr>
          <w:trHeight w:val="284" w:hRule="exact"/>
        </w:trPr>
        <w:tc>
          <w:tcPr>
            <w:tcW w:w="3387"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01"/>
              <w:jc w:val="right"/>
              <w:rPr>
                <w:rFonts w:ascii="宋体" w:hAnsi="宋体" w:cs="宋体" w:eastAsia="宋体" w:hint="default"/>
                <w:sz w:val="21"/>
                <w:szCs w:val="21"/>
              </w:rPr>
            </w:pPr>
            <w:r>
              <w:rPr>
                <w:rFonts w:ascii="宋体"/>
                <w:spacing w:val="-1"/>
                <w:sz w:val="21"/>
              </w:rPr>
              <w:t>1,417,298,968</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01"/>
              <w:jc w:val="right"/>
              <w:rPr>
                <w:rFonts w:ascii="宋体" w:hAnsi="宋体" w:cs="宋体" w:eastAsia="宋体" w:hint="default"/>
                <w:sz w:val="21"/>
                <w:szCs w:val="21"/>
              </w:rPr>
            </w:pPr>
            <w:r>
              <w:rPr>
                <w:rFonts w:ascii="宋体"/>
                <w:spacing w:val="-1"/>
                <w:sz w:val="21"/>
              </w:rPr>
              <w:t>1,313,070,973</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8"/>
              <w:jc w:val="right"/>
              <w:rPr>
                <w:rFonts w:ascii="宋体" w:hAnsi="宋体" w:cs="宋体" w:eastAsia="宋体" w:hint="default"/>
                <w:sz w:val="21"/>
                <w:szCs w:val="21"/>
              </w:rPr>
            </w:pPr>
            <w:r>
              <w:rPr>
                <w:rFonts w:ascii="宋体"/>
                <w:sz w:val="21"/>
              </w:rPr>
              <w:t>7.9</w:t>
            </w:r>
          </w:p>
        </w:tc>
      </w:tr>
      <w:tr>
        <w:trPr>
          <w:trHeight w:val="283" w:hRule="exact"/>
        </w:trPr>
        <w:tc>
          <w:tcPr>
            <w:tcW w:w="33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2,334,184,078</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2,030,924,271</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14.9</w:t>
            </w:r>
          </w:p>
        </w:tc>
      </w:tr>
      <w:tr>
        <w:trPr>
          <w:trHeight w:val="281" w:hRule="exact"/>
        </w:trPr>
        <w:tc>
          <w:tcPr>
            <w:tcW w:w="33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168,925,671</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76,147,791</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121.8</w:t>
            </w:r>
          </w:p>
        </w:tc>
      </w:tr>
      <w:tr>
        <w:trPr>
          <w:trHeight w:val="283" w:hRule="exact"/>
        </w:trPr>
        <w:tc>
          <w:tcPr>
            <w:tcW w:w="338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1,430,325,852</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887,081,189</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61.2</w:t>
            </w:r>
          </w:p>
        </w:tc>
      </w:tr>
      <w:tr>
        <w:trPr>
          <w:trHeight w:val="283" w:hRule="exact"/>
        </w:trPr>
        <w:tc>
          <w:tcPr>
            <w:tcW w:w="33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投资活动产生的现金流量净额</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-2,740,368,151</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-531,009,094</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不适用</w:t>
            </w:r>
          </w:p>
        </w:tc>
      </w:tr>
      <w:tr>
        <w:trPr>
          <w:trHeight w:val="281" w:hRule="exact"/>
        </w:trPr>
        <w:tc>
          <w:tcPr>
            <w:tcW w:w="33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筹资活动产生的现金流量净额</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569,348,811</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-22,021,738</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不适用</w:t>
            </w:r>
          </w:p>
        </w:tc>
      </w:tr>
      <w:tr>
        <w:trPr>
          <w:trHeight w:val="283" w:hRule="exact"/>
        </w:trPr>
        <w:tc>
          <w:tcPr>
            <w:tcW w:w="33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研发支出</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1,297,322,163</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1,072,223,348</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21.0</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9"/>
          <w:szCs w:val="19"/>
        </w:rPr>
      </w:pPr>
    </w:p>
    <w:p>
      <w:pPr>
        <w:pStyle w:val="Heading3"/>
        <w:tabs>
          <w:tab w:pos="737" w:val="left" w:leader="none"/>
        </w:tabs>
        <w:spacing w:line="240" w:lineRule="auto" w:before="36"/>
        <w:ind w:left="318" w:right="0"/>
        <w:jc w:val="left"/>
        <w:rPr>
          <w:b w:val="0"/>
          <w:bCs w:val="0"/>
        </w:rPr>
      </w:pPr>
      <w:r>
        <w:rPr>
          <w:rFonts w:ascii="宋体" w:hAnsi="宋体" w:cs="宋体" w:eastAsia="宋体" w:hint="default"/>
          <w:w w:val="95"/>
        </w:rPr>
        <w:t>1.</w:t>
        <w:tab/>
      </w:r>
      <w:r>
        <w:rPr/>
        <w:t>收入和成本分析</w:t>
      </w:r>
      <w:r>
        <w:rPr>
          <w:b w:val="0"/>
          <w:bCs w:val="0"/>
        </w:rPr>
      </w:r>
    </w:p>
    <w:p>
      <w:pPr>
        <w:pStyle w:val="BodyText"/>
        <w:spacing w:line="240" w:lineRule="auto" w:before="58"/>
        <w:ind w:left="318" w:right="0"/>
        <w:jc w:val="left"/>
      </w:pPr>
      <w:r>
        <w:rPr/>
        <w:t>□适用</w:t>
      </w:r>
      <w:r>
        <w:rPr>
          <w:spacing w:val="-1"/>
        </w:rPr>
        <w:t> </w:t>
      </w:r>
      <w:r>
        <w:rPr/>
        <w:t>√不适用</w:t>
      </w:r>
    </w:p>
    <w:p>
      <w:pPr>
        <w:spacing w:line="240" w:lineRule="auto" w:before="6"/>
        <w:rPr>
          <w:rFonts w:ascii="宋体" w:hAnsi="宋体" w:cs="宋体" w:eastAsia="宋体" w:hint="default"/>
          <w:sz w:val="22"/>
          <w:szCs w:val="22"/>
        </w:rPr>
      </w:pPr>
    </w:p>
    <w:p>
      <w:pPr>
        <w:pStyle w:val="Heading3"/>
        <w:spacing w:line="240" w:lineRule="auto" w:before="36"/>
        <w:ind w:left="318" w:right="0"/>
        <w:jc w:val="left"/>
        <w:rPr>
          <w:b w:val="0"/>
          <w:bCs w:val="0"/>
        </w:rPr>
      </w:pPr>
      <w:r>
        <w:rPr>
          <w:rFonts w:ascii="宋体" w:hAnsi="宋体" w:cs="宋体" w:eastAsia="宋体" w:hint="default"/>
        </w:rPr>
        <w:t>(1).</w:t>
      </w:r>
      <w:r>
        <w:rPr>
          <w:rFonts w:ascii="宋体" w:hAnsi="宋体" w:cs="宋体" w:eastAsia="宋体" w:hint="default"/>
          <w:spacing w:val="37"/>
        </w:rPr>
        <w:t> </w:t>
      </w:r>
      <w:r>
        <w:rPr/>
        <w:t>主营业务分行业、分产品、分地区情况</w:t>
      </w:r>
      <w:r>
        <w:rPr>
          <w:b w:val="0"/>
          <w:bCs w:val="0"/>
        </w:rPr>
      </w:r>
    </w:p>
    <w:p>
      <w:pPr>
        <w:pStyle w:val="BodyText"/>
        <w:tabs>
          <w:tab w:pos="946" w:val="left" w:leader="none"/>
        </w:tabs>
        <w:spacing w:line="240" w:lineRule="auto" w:before="56"/>
        <w:ind w:left="0" w:right="790"/>
        <w:jc w:val="right"/>
      </w:pPr>
      <w:r>
        <w:rPr>
          <w:spacing w:val="-1"/>
        </w:rPr>
        <w:t>单位</w:t>
      </w:r>
      <w:r>
        <w:rPr>
          <w:rFonts w:ascii="宋体" w:hAnsi="宋体" w:cs="宋体" w:eastAsia="宋体" w:hint="default"/>
          <w:spacing w:val="-1"/>
        </w:rPr>
        <w:t>:</w:t>
      </w:r>
      <w:r>
        <w:rPr>
          <w:spacing w:val="-1"/>
        </w:rPr>
        <w:t>元</w:t>
        <w:tab/>
        <w:t>币种</w:t>
      </w:r>
      <w:r>
        <w:rPr>
          <w:rFonts w:ascii="宋体" w:hAnsi="宋体" w:cs="宋体" w:eastAsia="宋体" w:hint="default"/>
          <w:spacing w:val="-1"/>
        </w:rPr>
        <w:t>:</w:t>
      </w:r>
      <w:r>
        <w:rPr>
          <w:spacing w:val="-1"/>
        </w:rPr>
        <w:t>人民币</w:t>
      </w:r>
    </w:p>
    <w:p>
      <w:pPr>
        <w:spacing w:line="240" w:lineRule="auto" w:before="7"/>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1210"/>
        <w:gridCol w:w="1623"/>
        <w:gridCol w:w="1560"/>
        <w:gridCol w:w="1205"/>
        <w:gridCol w:w="1205"/>
        <w:gridCol w:w="1205"/>
        <w:gridCol w:w="1200"/>
      </w:tblGrid>
      <w:tr>
        <w:trPr>
          <w:trHeight w:val="269" w:hRule="exact"/>
        </w:trPr>
        <w:tc>
          <w:tcPr>
            <w:tcW w:w="9208" w:type="dxa"/>
            <w:gridSpan w:val="7"/>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5" w:right="0"/>
              <w:jc w:val="center"/>
              <w:rPr>
                <w:rFonts w:ascii="宋体" w:hAnsi="宋体" w:cs="宋体" w:eastAsia="宋体" w:hint="default"/>
                <w:sz w:val="20"/>
                <w:szCs w:val="20"/>
              </w:rPr>
            </w:pPr>
            <w:r>
              <w:rPr>
                <w:rFonts w:ascii="宋体" w:hAnsi="宋体" w:cs="宋体" w:eastAsia="宋体" w:hint="default"/>
                <w:sz w:val="20"/>
                <w:szCs w:val="20"/>
              </w:rPr>
              <w:t>主营业务分行业情况</w:t>
            </w:r>
          </w:p>
        </w:tc>
      </w:tr>
      <w:tr>
        <w:trPr>
          <w:trHeight w:val="787"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302"/>
              <w:jc w:val="right"/>
              <w:rPr>
                <w:rFonts w:ascii="宋体" w:hAnsi="宋体" w:cs="宋体" w:eastAsia="宋体" w:hint="default"/>
                <w:sz w:val="20"/>
                <w:szCs w:val="20"/>
              </w:rPr>
            </w:pPr>
            <w:r>
              <w:rPr>
                <w:rFonts w:ascii="宋体" w:hAnsi="宋体" w:cs="宋体" w:eastAsia="宋体" w:hint="default"/>
                <w:w w:val="95"/>
                <w:sz w:val="20"/>
                <w:szCs w:val="20"/>
              </w:rPr>
              <w:t>分行业</w:t>
            </w:r>
            <w:r>
              <w:rPr>
                <w:rFonts w:ascii="宋体" w:hAnsi="宋体" w:cs="宋体" w:eastAsia="宋体" w:hint="default"/>
                <w:sz w:val="20"/>
                <w:szCs w:val="20"/>
              </w:rPr>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405" w:right="0"/>
              <w:jc w:val="left"/>
              <w:rPr>
                <w:rFonts w:ascii="宋体" w:hAnsi="宋体" w:cs="宋体" w:eastAsia="宋体" w:hint="default"/>
                <w:sz w:val="20"/>
                <w:szCs w:val="20"/>
              </w:rPr>
            </w:pPr>
            <w:r>
              <w:rPr>
                <w:rFonts w:ascii="宋体" w:hAnsi="宋体" w:cs="宋体" w:eastAsia="宋体" w:hint="default"/>
                <w:sz w:val="20"/>
                <w:szCs w:val="20"/>
              </w:rPr>
              <w:t>营业收入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71" w:right="0"/>
              <w:jc w:val="left"/>
              <w:rPr>
                <w:rFonts w:ascii="宋体" w:hAnsi="宋体" w:cs="宋体" w:eastAsia="宋体" w:hint="default"/>
                <w:sz w:val="20"/>
                <w:szCs w:val="20"/>
              </w:rPr>
            </w:pPr>
            <w:r>
              <w:rPr>
                <w:rFonts w:ascii="宋体" w:hAnsi="宋体" w:cs="宋体" w:eastAsia="宋体" w:hint="default"/>
                <w:sz w:val="20"/>
                <w:szCs w:val="20"/>
              </w:rPr>
              <w:t>营业成本</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5"/>
              <w:jc w:val="right"/>
              <w:rPr>
                <w:rFonts w:ascii="宋体" w:hAnsi="宋体" w:cs="宋体" w:eastAsia="宋体" w:hint="default"/>
                <w:sz w:val="20"/>
                <w:szCs w:val="20"/>
              </w:rPr>
            </w:pPr>
            <w:r>
              <w:rPr>
                <w:rFonts w:ascii="宋体" w:hAnsi="宋体" w:cs="宋体" w:eastAsia="宋体" w:hint="default"/>
                <w:spacing w:val="-2"/>
                <w:w w:val="95"/>
                <w:sz w:val="20"/>
                <w:szCs w:val="20"/>
              </w:rPr>
              <w:t>毛利率（</w:t>
            </w:r>
            <w:r>
              <w:rPr>
                <w:rFonts w:ascii="宋体" w:hAnsi="宋体" w:cs="宋体" w:eastAsia="宋体" w:hint="default"/>
                <w:spacing w:val="-2"/>
                <w:w w:val="95"/>
                <w:sz w:val="20"/>
                <w:szCs w:val="20"/>
              </w:rPr>
              <w:t>%</w:t>
            </w:r>
            <w:r>
              <w:rPr>
                <w:rFonts w:ascii="宋体" w:hAnsi="宋体" w:cs="宋体" w:eastAsia="宋体" w:hint="default"/>
                <w:spacing w:val="-2"/>
                <w:w w:val="95"/>
                <w:sz w:val="20"/>
                <w:szCs w:val="20"/>
              </w:rPr>
              <w:t>）</w:t>
            </w:r>
            <w:r>
              <w:rPr>
                <w:rFonts w:ascii="宋体" w:hAnsi="宋体" w:cs="宋体" w:eastAsia="宋体" w:hint="default"/>
                <w:spacing w:val="-2"/>
                <w:sz w:val="20"/>
                <w:szCs w:val="20"/>
              </w:rPr>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96" w:right="0"/>
              <w:jc w:val="left"/>
              <w:rPr>
                <w:rFonts w:ascii="宋体" w:hAnsi="宋体" w:cs="宋体" w:eastAsia="宋体" w:hint="default"/>
                <w:sz w:val="20"/>
                <w:szCs w:val="20"/>
              </w:rPr>
            </w:pPr>
            <w:r>
              <w:rPr>
                <w:rFonts w:ascii="宋体" w:hAnsi="宋体" w:cs="宋体" w:eastAsia="宋体" w:hint="default"/>
                <w:sz w:val="20"/>
                <w:szCs w:val="20"/>
              </w:rPr>
              <w:t>营业收入</w:t>
            </w:r>
          </w:p>
          <w:p>
            <w:pPr>
              <w:pStyle w:val="TableParagraph"/>
              <w:spacing w:line="260" w:lineRule="exact" w:before="24"/>
              <w:ind w:left="247" w:right="199" w:hanging="51"/>
              <w:jc w:val="left"/>
              <w:rPr>
                <w:rFonts w:ascii="宋体" w:hAnsi="宋体" w:cs="宋体" w:eastAsia="宋体" w:hint="default"/>
                <w:sz w:val="20"/>
                <w:szCs w:val="20"/>
              </w:rPr>
            </w:pPr>
            <w:r>
              <w:rPr>
                <w:rFonts w:ascii="宋体" w:hAnsi="宋体" w:cs="宋体" w:eastAsia="宋体" w:hint="default"/>
                <w:sz w:val="20"/>
                <w:szCs w:val="20"/>
              </w:rPr>
              <w:t>比上年增</w:t>
            </w:r>
            <w:r>
              <w:rPr>
                <w:rFonts w:ascii="宋体" w:hAnsi="宋体" w:cs="宋体" w:eastAsia="宋体" w:hint="default"/>
                <w:w w:val="99"/>
                <w:sz w:val="20"/>
                <w:szCs w:val="20"/>
              </w:rPr>
              <w:t> </w:t>
            </w:r>
            <w:r>
              <w:rPr>
                <w:rFonts w:ascii="宋体" w:hAnsi="宋体" w:cs="宋体" w:eastAsia="宋体" w:hint="default"/>
                <w:sz w:val="20"/>
                <w:szCs w:val="20"/>
              </w:rPr>
              <w:t>减（</w:t>
            </w:r>
            <w:r>
              <w:rPr>
                <w:rFonts w:ascii="宋体" w:hAnsi="宋体" w:cs="宋体" w:eastAsia="宋体" w:hint="default"/>
                <w:sz w:val="20"/>
                <w:szCs w:val="20"/>
              </w:rPr>
              <w:t>%</w:t>
            </w:r>
            <w:r>
              <w:rPr>
                <w:rFonts w:ascii="宋体" w:hAnsi="宋体" w:cs="宋体" w:eastAsia="宋体" w:hint="default"/>
                <w:sz w:val="20"/>
                <w:szCs w:val="20"/>
              </w:rPr>
              <w:t>）</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96" w:right="0"/>
              <w:jc w:val="left"/>
              <w:rPr>
                <w:rFonts w:ascii="宋体" w:hAnsi="宋体" w:cs="宋体" w:eastAsia="宋体" w:hint="default"/>
                <w:sz w:val="20"/>
                <w:szCs w:val="20"/>
              </w:rPr>
            </w:pPr>
            <w:r>
              <w:rPr>
                <w:rFonts w:ascii="宋体" w:hAnsi="宋体" w:cs="宋体" w:eastAsia="宋体" w:hint="default"/>
                <w:sz w:val="20"/>
                <w:szCs w:val="20"/>
              </w:rPr>
              <w:t>营业成本</w:t>
            </w:r>
          </w:p>
          <w:p>
            <w:pPr>
              <w:pStyle w:val="TableParagraph"/>
              <w:spacing w:line="260" w:lineRule="exact" w:before="24"/>
              <w:ind w:left="247" w:right="200" w:hanging="51"/>
              <w:jc w:val="left"/>
              <w:rPr>
                <w:rFonts w:ascii="宋体" w:hAnsi="宋体" w:cs="宋体" w:eastAsia="宋体" w:hint="default"/>
                <w:sz w:val="20"/>
                <w:szCs w:val="20"/>
              </w:rPr>
            </w:pPr>
            <w:r>
              <w:rPr>
                <w:rFonts w:ascii="宋体" w:hAnsi="宋体" w:cs="宋体" w:eastAsia="宋体" w:hint="default"/>
                <w:sz w:val="20"/>
                <w:szCs w:val="20"/>
              </w:rPr>
              <w:t>比上年增</w:t>
            </w:r>
            <w:r>
              <w:rPr>
                <w:rFonts w:ascii="宋体" w:hAnsi="宋体" w:cs="宋体" w:eastAsia="宋体" w:hint="default"/>
                <w:w w:val="99"/>
                <w:sz w:val="20"/>
                <w:szCs w:val="20"/>
              </w:rPr>
              <w:t> </w:t>
            </w:r>
            <w:r>
              <w:rPr>
                <w:rFonts w:ascii="宋体" w:hAnsi="宋体" w:cs="宋体" w:eastAsia="宋体" w:hint="default"/>
                <w:sz w:val="20"/>
                <w:szCs w:val="20"/>
              </w:rPr>
              <w:t>减（</w:t>
            </w:r>
            <w:r>
              <w:rPr>
                <w:rFonts w:ascii="宋体" w:hAnsi="宋体" w:cs="宋体" w:eastAsia="宋体" w:hint="default"/>
                <w:sz w:val="20"/>
                <w:szCs w:val="20"/>
              </w:rPr>
              <w:t>%</w:t>
            </w:r>
            <w:r>
              <w:rPr>
                <w:rFonts w:ascii="宋体" w:hAnsi="宋体" w:cs="宋体" w:eastAsia="宋体" w:hint="default"/>
                <w:sz w:val="20"/>
                <w:szCs w:val="20"/>
              </w:rPr>
              <w:t>）</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right="2"/>
              <w:jc w:val="center"/>
              <w:rPr>
                <w:rFonts w:ascii="宋体" w:hAnsi="宋体" w:cs="宋体" w:eastAsia="宋体" w:hint="default"/>
                <w:sz w:val="20"/>
                <w:szCs w:val="20"/>
              </w:rPr>
            </w:pPr>
            <w:r>
              <w:rPr>
                <w:rFonts w:ascii="宋体" w:hAnsi="宋体" w:cs="宋体" w:eastAsia="宋体" w:hint="default"/>
                <w:sz w:val="20"/>
                <w:szCs w:val="20"/>
              </w:rPr>
              <w:t>毛利率比</w:t>
            </w:r>
          </w:p>
          <w:p>
            <w:pPr>
              <w:pStyle w:val="TableParagraph"/>
              <w:spacing w:line="259" w:lineRule="exact"/>
              <w:ind w:right="2"/>
              <w:jc w:val="center"/>
              <w:rPr>
                <w:rFonts w:ascii="宋体" w:hAnsi="宋体" w:cs="宋体" w:eastAsia="宋体" w:hint="default"/>
                <w:sz w:val="20"/>
                <w:szCs w:val="20"/>
              </w:rPr>
            </w:pPr>
            <w:r>
              <w:rPr>
                <w:rFonts w:ascii="宋体" w:hAnsi="宋体" w:cs="宋体" w:eastAsia="宋体" w:hint="default"/>
                <w:sz w:val="20"/>
                <w:szCs w:val="20"/>
              </w:rPr>
              <w:t>上年增减</w:t>
            </w:r>
          </w:p>
          <w:p>
            <w:pPr>
              <w:pStyle w:val="TableParagraph"/>
              <w:spacing w:line="260" w:lineRule="exact"/>
              <w:ind w:right="0"/>
              <w:jc w:val="center"/>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0"/>
                <w:szCs w:val="20"/>
              </w:rPr>
              <w:t>%</w:t>
            </w:r>
            <w:r>
              <w:rPr>
                <w:rFonts w:ascii="宋体" w:hAnsi="宋体" w:cs="宋体" w:eastAsia="宋体" w:hint="default"/>
                <w:sz w:val="20"/>
                <w:szCs w:val="20"/>
              </w:rPr>
              <w:t>）</w:t>
            </w:r>
          </w:p>
        </w:tc>
      </w:tr>
      <w:tr>
        <w:trPr>
          <w:trHeight w:val="530"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20"/>
                <w:szCs w:val="20"/>
              </w:rPr>
            </w:pPr>
            <w:r>
              <w:rPr>
                <w:rFonts w:ascii="宋体" w:hAnsi="宋体" w:cs="宋体" w:eastAsia="宋体" w:hint="default"/>
                <w:sz w:val="20"/>
                <w:szCs w:val="20"/>
              </w:rPr>
              <w:t>软件行业</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2"/>
              <w:jc w:val="right"/>
              <w:rPr>
                <w:rFonts w:ascii="宋体" w:hAnsi="宋体" w:cs="宋体" w:eastAsia="宋体" w:hint="default"/>
                <w:sz w:val="20"/>
                <w:szCs w:val="20"/>
              </w:rPr>
            </w:pPr>
            <w:r>
              <w:rPr>
                <w:rFonts w:ascii="宋体"/>
                <w:w w:val="95"/>
                <w:sz w:val="20"/>
              </w:rPr>
              <w:t>6,150,802,600</w:t>
            </w:r>
            <w:r>
              <w:rPr>
                <w:rFonts w:ascii="宋体"/>
                <w:sz w:val="20"/>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4"/>
              <w:jc w:val="right"/>
              <w:rPr>
                <w:rFonts w:ascii="宋体" w:hAnsi="宋体" w:cs="宋体" w:eastAsia="宋体" w:hint="default"/>
                <w:sz w:val="20"/>
                <w:szCs w:val="20"/>
              </w:rPr>
            </w:pPr>
            <w:r>
              <w:rPr>
                <w:rFonts w:ascii="宋体"/>
                <w:w w:val="95"/>
                <w:sz w:val="20"/>
              </w:rPr>
              <w:t>1,792,613,288</w:t>
            </w:r>
            <w:r>
              <w:rPr>
                <w:rFonts w:ascii="宋体"/>
                <w:sz w:val="20"/>
              </w:rPr>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1"/>
              <w:jc w:val="right"/>
              <w:rPr>
                <w:rFonts w:ascii="宋体" w:hAnsi="宋体" w:cs="宋体" w:eastAsia="宋体" w:hint="default"/>
                <w:sz w:val="20"/>
                <w:szCs w:val="20"/>
              </w:rPr>
            </w:pPr>
            <w:r>
              <w:rPr>
                <w:rFonts w:ascii="宋体"/>
                <w:sz w:val="20"/>
              </w:rPr>
              <w:t>70.9</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98"/>
              <w:jc w:val="right"/>
              <w:rPr>
                <w:rFonts w:ascii="宋体" w:hAnsi="宋体" w:cs="宋体" w:eastAsia="宋体" w:hint="default"/>
                <w:sz w:val="20"/>
                <w:szCs w:val="20"/>
              </w:rPr>
            </w:pPr>
            <w:r>
              <w:rPr>
                <w:rFonts w:ascii="宋体"/>
                <w:sz w:val="20"/>
              </w:rPr>
              <w:t>23.4</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98"/>
              <w:jc w:val="right"/>
              <w:rPr>
                <w:rFonts w:ascii="宋体" w:hAnsi="宋体" w:cs="宋体" w:eastAsia="宋体" w:hint="default"/>
                <w:sz w:val="20"/>
                <w:szCs w:val="20"/>
              </w:rPr>
            </w:pPr>
            <w:r>
              <w:rPr>
                <w:rFonts w:ascii="宋体"/>
                <w:sz w:val="20"/>
              </w:rPr>
              <w:t>13.4</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03" w:right="0"/>
              <w:jc w:val="left"/>
              <w:rPr>
                <w:rFonts w:ascii="宋体" w:hAnsi="宋体" w:cs="宋体" w:eastAsia="宋体" w:hint="default"/>
                <w:sz w:val="20"/>
                <w:szCs w:val="20"/>
              </w:rPr>
            </w:pPr>
            <w:r>
              <w:rPr>
                <w:rFonts w:ascii="宋体" w:hAnsi="宋体" w:cs="宋体" w:eastAsia="宋体" w:hint="default"/>
                <w:sz w:val="20"/>
                <w:szCs w:val="20"/>
              </w:rPr>
              <w:t>增加</w:t>
            </w:r>
            <w:r>
              <w:rPr>
                <w:rFonts w:ascii="宋体" w:hAnsi="宋体" w:cs="宋体" w:eastAsia="宋体" w:hint="default"/>
                <w:spacing w:val="-58"/>
                <w:sz w:val="20"/>
                <w:szCs w:val="20"/>
              </w:rPr>
              <w:t> </w:t>
            </w:r>
            <w:r>
              <w:rPr>
                <w:rFonts w:ascii="宋体" w:hAnsi="宋体" w:cs="宋体" w:eastAsia="宋体" w:hint="default"/>
                <w:sz w:val="20"/>
                <w:szCs w:val="20"/>
              </w:rPr>
              <w:t>2.6</w:t>
            </w:r>
            <w:r>
              <w:rPr>
                <w:rFonts w:ascii="宋体" w:hAnsi="宋体" w:cs="宋体" w:eastAsia="宋体" w:hint="default"/>
                <w:spacing w:val="-57"/>
                <w:sz w:val="20"/>
                <w:szCs w:val="20"/>
              </w:rPr>
              <w:t> </w:t>
            </w:r>
            <w:r>
              <w:rPr>
                <w:rFonts w:ascii="宋体" w:hAnsi="宋体" w:cs="宋体" w:eastAsia="宋体" w:hint="default"/>
                <w:sz w:val="20"/>
                <w:szCs w:val="20"/>
              </w:rPr>
              <w:t>个</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百分点</w:t>
            </w:r>
          </w:p>
        </w:tc>
      </w:tr>
      <w:tr>
        <w:trPr>
          <w:trHeight w:val="269" w:hRule="exact"/>
        </w:trPr>
        <w:tc>
          <w:tcPr>
            <w:tcW w:w="1210" w:type="dxa"/>
            <w:tcBorders>
              <w:top w:val="single" w:sz="4" w:space="0" w:color="000000"/>
              <w:left w:val="single" w:sz="4" w:space="0" w:color="000000"/>
              <w:bottom w:val="single" w:sz="4" w:space="0" w:color="000000"/>
              <w:right w:val="single" w:sz="4" w:space="0" w:color="000000"/>
            </w:tcBorders>
          </w:tcPr>
          <w:p>
            <w:pPr/>
          </w:p>
        </w:tc>
        <w:tc>
          <w:tcPr>
            <w:tcW w:w="162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
        </w:tc>
      </w:tr>
      <w:tr>
        <w:trPr>
          <w:trHeight w:val="269" w:hRule="exact"/>
        </w:trPr>
        <w:tc>
          <w:tcPr>
            <w:tcW w:w="9208" w:type="dxa"/>
            <w:gridSpan w:val="7"/>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5" w:right="0"/>
              <w:jc w:val="center"/>
              <w:rPr>
                <w:rFonts w:ascii="宋体" w:hAnsi="宋体" w:cs="宋体" w:eastAsia="宋体" w:hint="default"/>
                <w:sz w:val="20"/>
                <w:szCs w:val="20"/>
              </w:rPr>
            </w:pPr>
            <w:r>
              <w:rPr>
                <w:rFonts w:ascii="宋体" w:hAnsi="宋体" w:cs="宋体" w:eastAsia="宋体" w:hint="default"/>
                <w:sz w:val="20"/>
                <w:szCs w:val="20"/>
              </w:rPr>
              <w:t>主营业务分产品情况</w:t>
            </w:r>
          </w:p>
        </w:tc>
      </w:tr>
      <w:tr>
        <w:trPr>
          <w:trHeight w:val="790"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302"/>
              <w:jc w:val="right"/>
              <w:rPr>
                <w:rFonts w:ascii="宋体" w:hAnsi="宋体" w:cs="宋体" w:eastAsia="宋体" w:hint="default"/>
                <w:sz w:val="20"/>
                <w:szCs w:val="20"/>
              </w:rPr>
            </w:pPr>
            <w:r>
              <w:rPr>
                <w:rFonts w:ascii="宋体" w:hAnsi="宋体" w:cs="宋体" w:eastAsia="宋体" w:hint="default"/>
                <w:w w:val="95"/>
                <w:sz w:val="20"/>
                <w:szCs w:val="20"/>
              </w:rPr>
              <w:t>分产品</w:t>
            </w:r>
            <w:r>
              <w:rPr>
                <w:rFonts w:ascii="宋体" w:hAnsi="宋体" w:cs="宋体" w:eastAsia="宋体" w:hint="default"/>
                <w:sz w:val="20"/>
                <w:szCs w:val="20"/>
              </w:rPr>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405" w:right="0"/>
              <w:jc w:val="left"/>
              <w:rPr>
                <w:rFonts w:ascii="宋体" w:hAnsi="宋体" w:cs="宋体" w:eastAsia="宋体" w:hint="default"/>
                <w:sz w:val="20"/>
                <w:szCs w:val="20"/>
              </w:rPr>
            </w:pPr>
            <w:r>
              <w:rPr>
                <w:rFonts w:ascii="宋体" w:hAnsi="宋体" w:cs="宋体" w:eastAsia="宋体" w:hint="default"/>
                <w:sz w:val="20"/>
                <w:szCs w:val="20"/>
              </w:rPr>
              <w:t>营业收入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71" w:right="0"/>
              <w:jc w:val="left"/>
              <w:rPr>
                <w:rFonts w:ascii="宋体" w:hAnsi="宋体" w:cs="宋体" w:eastAsia="宋体" w:hint="default"/>
                <w:sz w:val="20"/>
                <w:szCs w:val="20"/>
              </w:rPr>
            </w:pPr>
            <w:r>
              <w:rPr>
                <w:rFonts w:ascii="宋体" w:hAnsi="宋体" w:cs="宋体" w:eastAsia="宋体" w:hint="default"/>
                <w:sz w:val="20"/>
                <w:szCs w:val="20"/>
              </w:rPr>
              <w:t>营业成本</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5"/>
              <w:jc w:val="right"/>
              <w:rPr>
                <w:rFonts w:ascii="宋体" w:hAnsi="宋体" w:cs="宋体" w:eastAsia="宋体" w:hint="default"/>
                <w:sz w:val="20"/>
                <w:szCs w:val="20"/>
              </w:rPr>
            </w:pPr>
            <w:r>
              <w:rPr>
                <w:rFonts w:ascii="宋体" w:hAnsi="宋体" w:cs="宋体" w:eastAsia="宋体" w:hint="default"/>
                <w:spacing w:val="-2"/>
                <w:w w:val="95"/>
                <w:sz w:val="20"/>
                <w:szCs w:val="20"/>
              </w:rPr>
              <w:t>毛利率（</w:t>
            </w:r>
            <w:r>
              <w:rPr>
                <w:rFonts w:ascii="宋体" w:hAnsi="宋体" w:cs="宋体" w:eastAsia="宋体" w:hint="default"/>
                <w:spacing w:val="-2"/>
                <w:w w:val="95"/>
                <w:sz w:val="20"/>
                <w:szCs w:val="20"/>
              </w:rPr>
              <w:t>%</w:t>
            </w:r>
            <w:r>
              <w:rPr>
                <w:rFonts w:ascii="宋体" w:hAnsi="宋体" w:cs="宋体" w:eastAsia="宋体" w:hint="default"/>
                <w:spacing w:val="-2"/>
                <w:w w:val="95"/>
                <w:sz w:val="20"/>
                <w:szCs w:val="20"/>
              </w:rPr>
              <w:t>）</w:t>
            </w:r>
            <w:r>
              <w:rPr>
                <w:rFonts w:ascii="宋体" w:hAnsi="宋体" w:cs="宋体" w:eastAsia="宋体" w:hint="default"/>
                <w:spacing w:val="-2"/>
                <w:sz w:val="20"/>
                <w:szCs w:val="20"/>
              </w:rPr>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96" w:right="0"/>
              <w:jc w:val="left"/>
              <w:rPr>
                <w:rFonts w:ascii="宋体" w:hAnsi="宋体" w:cs="宋体" w:eastAsia="宋体" w:hint="default"/>
                <w:sz w:val="20"/>
                <w:szCs w:val="20"/>
              </w:rPr>
            </w:pPr>
            <w:r>
              <w:rPr>
                <w:rFonts w:ascii="宋体" w:hAnsi="宋体" w:cs="宋体" w:eastAsia="宋体" w:hint="default"/>
                <w:sz w:val="20"/>
                <w:szCs w:val="20"/>
              </w:rPr>
              <w:t>营业收入</w:t>
            </w:r>
          </w:p>
          <w:p>
            <w:pPr>
              <w:pStyle w:val="TableParagraph"/>
              <w:spacing w:line="260" w:lineRule="exact" w:before="24"/>
              <w:ind w:left="247" w:right="199" w:hanging="51"/>
              <w:jc w:val="left"/>
              <w:rPr>
                <w:rFonts w:ascii="宋体" w:hAnsi="宋体" w:cs="宋体" w:eastAsia="宋体" w:hint="default"/>
                <w:sz w:val="20"/>
                <w:szCs w:val="20"/>
              </w:rPr>
            </w:pPr>
            <w:r>
              <w:rPr>
                <w:rFonts w:ascii="宋体" w:hAnsi="宋体" w:cs="宋体" w:eastAsia="宋体" w:hint="default"/>
                <w:sz w:val="20"/>
                <w:szCs w:val="20"/>
              </w:rPr>
              <w:t>比上年增</w:t>
            </w:r>
            <w:r>
              <w:rPr>
                <w:rFonts w:ascii="宋体" w:hAnsi="宋体" w:cs="宋体" w:eastAsia="宋体" w:hint="default"/>
                <w:w w:val="99"/>
                <w:sz w:val="20"/>
                <w:szCs w:val="20"/>
              </w:rPr>
              <w:t> </w:t>
            </w:r>
            <w:r>
              <w:rPr>
                <w:rFonts w:ascii="宋体" w:hAnsi="宋体" w:cs="宋体" w:eastAsia="宋体" w:hint="default"/>
                <w:sz w:val="20"/>
                <w:szCs w:val="20"/>
              </w:rPr>
              <w:t>减（</w:t>
            </w:r>
            <w:r>
              <w:rPr>
                <w:rFonts w:ascii="宋体" w:hAnsi="宋体" w:cs="宋体" w:eastAsia="宋体" w:hint="default"/>
                <w:sz w:val="20"/>
                <w:szCs w:val="20"/>
              </w:rPr>
              <w:t>%</w:t>
            </w:r>
            <w:r>
              <w:rPr>
                <w:rFonts w:ascii="宋体" w:hAnsi="宋体" w:cs="宋体" w:eastAsia="宋体" w:hint="default"/>
                <w:sz w:val="20"/>
                <w:szCs w:val="20"/>
              </w:rPr>
              <w:t>）</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96" w:right="0"/>
              <w:jc w:val="left"/>
              <w:rPr>
                <w:rFonts w:ascii="宋体" w:hAnsi="宋体" w:cs="宋体" w:eastAsia="宋体" w:hint="default"/>
                <w:sz w:val="20"/>
                <w:szCs w:val="20"/>
              </w:rPr>
            </w:pPr>
            <w:r>
              <w:rPr>
                <w:rFonts w:ascii="宋体" w:hAnsi="宋体" w:cs="宋体" w:eastAsia="宋体" w:hint="default"/>
                <w:sz w:val="20"/>
                <w:szCs w:val="20"/>
              </w:rPr>
              <w:t>营业成本</w:t>
            </w:r>
          </w:p>
          <w:p>
            <w:pPr>
              <w:pStyle w:val="TableParagraph"/>
              <w:spacing w:line="260" w:lineRule="exact" w:before="24"/>
              <w:ind w:left="247" w:right="200" w:hanging="51"/>
              <w:jc w:val="left"/>
              <w:rPr>
                <w:rFonts w:ascii="宋体" w:hAnsi="宋体" w:cs="宋体" w:eastAsia="宋体" w:hint="default"/>
                <w:sz w:val="20"/>
                <w:szCs w:val="20"/>
              </w:rPr>
            </w:pPr>
            <w:r>
              <w:rPr>
                <w:rFonts w:ascii="宋体" w:hAnsi="宋体" w:cs="宋体" w:eastAsia="宋体" w:hint="default"/>
                <w:sz w:val="20"/>
                <w:szCs w:val="20"/>
              </w:rPr>
              <w:t>比上年增</w:t>
            </w:r>
            <w:r>
              <w:rPr>
                <w:rFonts w:ascii="宋体" w:hAnsi="宋体" w:cs="宋体" w:eastAsia="宋体" w:hint="default"/>
                <w:w w:val="99"/>
                <w:sz w:val="20"/>
                <w:szCs w:val="20"/>
              </w:rPr>
              <w:t> </w:t>
            </w:r>
            <w:r>
              <w:rPr>
                <w:rFonts w:ascii="宋体" w:hAnsi="宋体" w:cs="宋体" w:eastAsia="宋体" w:hint="default"/>
                <w:sz w:val="20"/>
                <w:szCs w:val="20"/>
              </w:rPr>
              <w:t>减（</w:t>
            </w:r>
            <w:r>
              <w:rPr>
                <w:rFonts w:ascii="宋体" w:hAnsi="宋体" w:cs="宋体" w:eastAsia="宋体" w:hint="default"/>
                <w:sz w:val="20"/>
                <w:szCs w:val="20"/>
              </w:rPr>
              <w:t>%</w:t>
            </w:r>
            <w:r>
              <w:rPr>
                <w:rFonts w:ascii="宋体" w:hAnsi="宋体" w:cs="宋体" w:eastAsia="宋体" w:hint="default"/>
                <w:sz w:val="20"/>
                <w:szCs w:val="20"/>
              </w:rPr>
              <w:t>）</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2"/>
              <w:jc w:val="center"/>
              <w:rPr>
                <w:rFonts w:ascii="宋体" w:hAnsi="宋体" w:cs="宋体" w:eastAsia="宋体" w:hint="default"/>
                <w:sz w:val="20"/>
                <w:szCs w:val="20"/>
              </w:rPr>
            </w:pPr>
            <w:r>
              <w:rPr>
                <w:rFonts w:ascii="宋体" w:hAnsi="宋体" w:cs="宋体" w:eastAsia="宋体" w:hint="default"/>
                <w:sz w:val="20"/>
                <w:szCs w:val="20"/>
              </w:rPr>
              <w:t>毛利率比</w:t>
            </w:r>
          </w:p>
          <w:p>
            <w:pPr>
              <w:pStyle w:val="TableParagraph"/>
              <w:spacing w:line="259" w:lineRule="exact"/>
              <w:ind w:right="2"/>
              <w:jc w:val="center"/>
              <w:rPr>
                <w:rFonts w:ascii="宋体" w:hAnsi="宋体" w:cs="宋体" w:eastAsia="宋体" w:hint="default"/>
                <w:sz w:val="20"/>
                <w:szCs w:val="20"/>
              </w:rPr>
            </w:pPr>
            <w:r>
              <w:rPr>
                <w:rFonts w:ascii="宋体" w:hAnsi="宋体" w:cs="宋体" w:eastAsia="宋体" w:hint="default"/>
                <w:sz w:val="20"/>
                <w:szCs w:val="20"/>
              </w:rPr>
              <w:t>上年增减</w:t>
            </w:r>
          </w:p>
          <w:p>
            <w:pPr>
              <w:pStyle w:val="TableParagraph"/>
              <w:spacing w:line="260" w:lineRule="exact"/>
              <w:ind w:right="0"/>
              <w:jc w:val="center"/>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0"/>
                <w:szCs w:val="20"/>
              </w:rPr>
              <w:t>%</w:t>
            </w:r>
            <w:r>
              <w:rPr>
                <w:rFonts w:ascii="宋体" w:hAnsi="宋体" w:cs="宋体" w:eastAsia="宋体" w:hint="default"/>
                <w:sz w:val="20"/>
                <w:szCs w:val="20"/>
              </w:rPr>
              <w:t>）</w:t>
            </w:r>
          </w:p>
        </w:tc>
      </w:tr>
      <w:tr>
        <w:trPr>
          <w:trHeight w:val="528"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z w:val="20"/>
                <w:szCs w:val="20"/>
              </w:rPr>
              <w:t>软件产品</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2"/>
              <w:jc w:val="right"/>
              <w:rPr>
                <w:rFonts w:ascii="宋体" w:hAnsi="宋体" w:cs="宋体" w:eastAsia="宋体" w:hint="default"/>
                <w:sz w:val="20"/>
                <w:szCs w:val="20"/>
              </w:rPr>
            </w:pPr>
            <w:r>
              <w:rPr>
                <w:rFonts w:ascii="宋体"/>
                <w:w w:val="95"/>
                <w:sz w:val="20"/>
              </w:rPr>
              <w:t>2,563,816,287</w:t>
            </w:r>
            <w:r>
              <w:rPr>
                <w:rFonts w:ascii="宋体"/>
                <w:sz w:val="20"/>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3"/>
              <w:jc w:val="right"/>
              <w:rPr>
                <w:rFonts w:ascii="宋体" w:hAnsi="宋体" w:cs="宋体" w:eastAsia="宋体" w:hint="default"/>
                <w:sz w:val="20"/>
                <w:szCs w:val="20"/>
              </w:rPr>
            </w:pPr>
            <w:r>
              <w:rPr>
                <w:rFonts w:ascii="宋体"/>
                <w:w w:val="95"/>
                <w:sz w:val="20"/>
              </w:rPr>
              <w:t>41,734,791</w:t>
            </w:r>
            <w:r>
              <w:rPr>
                <w:rFonts w:ascii="宋体"/>
                <w:sz w:val="20"/>
              </w:rPr>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sz w:val="20"/>
              </w:rPr>
              <w:t>98.4</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98"/>
              <w:jc w:val="right"/>
              <w:rPr>
                <w:rFonts w:ascii="宋体" w:hAnsi="宋体" w:cs="宋体" w:eastAsia="宋体" w:hint="default"/>
                <w:sz w:val="20"/>
                <w:szCs w:val="20"/>
              </w:rPr>
            </w:pPr>
            <w:r>
              <w:rPr>
                <w:rFonts w:ascii="宋体"/>
                <w:sz w:val="20"/>
              </w:rPr>
              <w:t>8.4</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98"/>
              <w:jc w:val="right"/>
              <w:rPr>
                <w:rFonts w:ascii="宋体" w:hAnsi="宋体" w:cs="宋体" w:eastAsia="宋体" w:hint="default"/>
                <w:sz w:val="20"/>
                <w:szCs w:val="20"/>
              </w:rPr>
            </w:pPr>
            <w:r>
              <w:rPr>
                <w:rFonts w:ascii="宋体"/>
                <w:sz w:val="20"/>
              </w:rPr>
              <w:t>4.9</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增加</w:t>
            </w:r>
            <w:r>
              <w:rPr>
                <w:rFonts w:ascii="宋体" w:hAnsi="宋体" w:cs="宋体" w:eastAsia="宋体" w:hint="default"/>
                <w:spacing w:val="-58"/>
                <w:sz w:val="20"/>
                <w:szCs w:val="20"/>
              </w:rPr>
              <w:t> </w:t>
            </w:r>
            <w:r>
              <w:rPr>
                <w:rFonts w:ascii="宋体" w:hAnsi="宋体" w:cs="宋体" w:eastAsia="宋体" w:hint="default"/>
                <w:sz w:val="20"/>
                <w:szCs w:val="20"/>
              </w:rPr>
              <w:t>0.1</w:t>
            </w:r>
            <w:r>
              <w:rPr>
                <w:rFonts w:ascii="宋体" w:hAnsi="宋体" w:cs="宋体" w:eastAsia="宋体" w:hint="default"/>
                <w:spacing w:val="-57"/>
                <w:sz w:val="20"/>
                <w:szCs w:val="20"/>
              </w:rPr>
              <w:t> </w:t>
            </w:r>
            <w:r>
              <w:rPr>
                <w:rFonts w:ascii="宋体" w:hAnsi="宋体" w:cs="宋体" w:eastAsia="宋体" w:hint="default"/>
                <w:sz w:val="20"/>
                <w:szCs w:val="20"/>
              </w:rPr>
              <w:t>个</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百分点</w:t>
            </w:r>
          </w:p>
        </w:tc>
      </w:tr>
      <w:tr>
        <w:trPr>
          <w:trHeight w:val="528"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技术服务</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及培训</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2"/>
              <w:jc w:val="right"/>
              <w:rPr>
                <w:rFonts w:ascii="宋体" w:hAnsi="宋体" w:cs="宋体" w:eastAsia="宋体" w:hint="default"/>
                <w:sz w:val="20"/>
                <w:szCs w:val="20"/>
              </w:rPr>
            </w:pPr>
            <w:r>
              <w:rPr>
                <w:rFonts w:ascii="宋体"/>
                <w:w w:val="95"/>
                <w:sz w:val="20"/>
              </w:rPr>
              <w:t>3,464,308,195</w:t>
            </w:r>
            <w:r>
              <w:rPr>
                <w:rFonts w:ascii="宋体"/>
                <w:sz w:val="20"/>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4"/>
              <w:jc w:val="right"/>
              <w:rPr>
                <w:rFonts w:ascii="宋体" w:hAnsi="宋体" w:cs="宋体" w:eastAsia="宋体" w:hint="default"/>
                <w:sz w:val="20"/>
                <w:szCs w:val="20"/>
              </w:rPr>
            </w:pPr>
            <w:r>
              <w:rPr>
                <w:rFonts w:ascii="宋体"/>
                <w:w w:val="95"/>
                <w:sz w:val="20"/>
              </w:rPr>
              <w:t>1,657,311,564</w:t>
            </w:r>
            <w:r>
              <w:rPr>
                <w:rFonts w:ascii="宋体"/>
                <w:sz w:val="20"/>
              </w:rPr>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sz w:val="20"/>
              </w:rPr>
              <w:t>52.2</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98"/>
              <w:jc w:val="right"/>
              <w:rPr>
                <w:rFonts w:ascii="宋体" w:hAnsi="宋体" w:cs="宋体" w:eastAsia="宋体" w:hint="default"/>
                <w:sz w:val="20"/>
                <w:szCs w:val="20"/>
              </w:rPr>
            </w:pPr>
            <w:r>
              <w:rPr>
                <w:rFonts w:ascii="宋体"/>
                <w:sz w:val="20"/>
              </w:rPr>
              <w:t>37.1</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98"/>
              <w:jc w:val="right"/>
              <w:rPr>
                <w:rFonts w:ascii="宋体" w:hAnsi="宋体" w:cs="宋体" w:eastAsia="宋体" w:hint="default"/>
                <w:sz w:val="20"/>
                <w:szCs w:val="20"/>
              </w:rPr>
            </w:pPr>
            <w:r>
              <w:rPr>
                <w:rFonts w:ascii="宋体"/>
                <w:sz w:val="20"/>
              </w:rPr>
              <w:t>13.0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pacing w:val="21"/>
                <w:sz w:val="20"/>
                <w:szCs w:val="20"/>
              </w:rPr>
              <w:t>增加</w:t>
            </w:r>
            <w:r>
              <w:rPr>
                <w:rFonts w:ascii="宋体" w:hAnsi="宋体" w:cs="宋体" w:eastAsia="宋体" w:hint="default"/>
                <w:spacing w:val="42"/>
                <w:sz w:val="20"/>
                <w:szCs w:val="20"/>
              </w:rPr>
              <w:t> </w:t>
            </w:r>
            <w:r>
              <w:rPr>
                <w:rFonts w:ascii="宋体" w:hAnsi="宋体" w:cs="宋体" w:eastAsia="宋体" w:hint="default"/>
                <w:sz w:val="20"/>
                <w:szCs w:val="20"/>
              </w:rPr>
              <w:t>10.2</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个百分点</w:t>
            </w:r>
          </w:p>
        </w:tc>
      </w:tr>
      <w:tr>
        <w:trPr>
          <w:trHeight w:val="528"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2"/>
              <w:jc w:val="right"/>
              <w:rPr>
                <w:rFonts w:ascii="宋体" w:hAnsi="宋体" w:cs="宋体" w:eastAsia="宋体" w:hint="default"/>
                <w:sz w:val="20"/>
                <w:szCs w:val="20"/>
              </w:rPr>
            </w:pPr>
            <w:r>
              <w:rPr>
                <w:rFonts w:ascii="宋体"/>
                <w:w w:val="95"/>
                <w:sz w:val="20"/>
              </w:rPr>
              <w:t>122,678,118</w:t>
            </w:r>
            <w:r>
              <w:rPr>
                <w:rFonts w:ascii="宋体"/>
                <w:sz w:val="20"/>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2"/>
              <w:jc w:val="right"/>
              <w:rPr>
                <w:rFonts w:ascii="宋体" w:hAnsi="宋体" w:cs="宋体" w:eastAsia="宋体" w:hint="default"/>
                <w:sz w:val="20"/>
                <w:szCs w:val="20"/>
              </w:rPr>
            </w:pPr>
            <w:r>
              <w:rPr>
                <w:rFonts w:ascii="宋体"/>
                <w:sz w:val="20"/>
              </w:rPr>
              <w:t>93,566,933</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sz w:val="20"/>
              </w:rPr>
              <w:t>23.7</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98"/>
              <w:jc w:val="right"/>
              <w:rPr>
                <w:rFonts w:ascii="宋体" w:hAnsi="宋体" w:cs="宋体" w:eastAsia="宋体" w:hint="default"/>
                <w:sz w:val="20"/>
                <w:szCs w:val="20"/>
              </w:rPr>
            </w:pPr>
            <w:r>
              <w:rPr>
                <w:rFonts w:ascii="宋体"/>
                <w:sz w:val="20"/>
              </w:rPr>
              <w:t>34.9</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98"/>
              <w:jc w:val="right"/>
              <w:rPr>
                <w:rFonts w:ascii="宋体" w:hAnsi="宋体" w:cs="宋体" w:eastAsia="宋体" w:hint="default"/>
                <w:sz w:val="20"/>
                <w:szCs w:val="20"/>
              </w:rPr>
            </w:pPr>
            <w:r>
              <w:rPr>
                <w:rFonts w:ascii="宋体"/>
                <w:sz w:val="20"/>
              </w:rPr>
              <w:t>26.1</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增加</w:t>
            </w:r>
            <w:r>
              <w:rPr>
                <w:rFonts w:ascii="宋体" w:hAnsi="宋体" w:cs="宋体" w:eastAsia="宋体" w:hint="default"/>
                <w:spacing w:val="-58"/>
                <w:sz w:val="20"/>
                <w:szCs w:val="20"/>
              </w:rPr>
              <w:t> </w:t>
            </w:r>
            <w:r>
              <w:rPr>
                <w:rFonts w:ascii="宋体" w:hAnsi="宋体" w:cs="宋体" w:eastAsia="宋体" w:hint="default"/>
                <w:sz w:val="20"/>
                <w:szCs w:val="20"/>
              </w:rPr>
              <w:t>5.2</w:t>
            </w:r>
            <w:r>
              <w:rPr>
                <w:rFonts w:ascii="宋体" w:hAnsi="宋体" w:cs="宋体" w:eastAsia="宋体" w:hint="default"/>
                <w:spacing w:val="-57"/>
                <w:sz w:val="20"/>
                <w:szCs w:val="20"/>
              </w:rPr>
              <w:t> </w:t>
            </w:r>
            <w:r>
              <w:rPr>
                <w:rFonts w:ascii="宋体" w:hAnsi="宋体" w:cs="宋体" w:eastAsia="宋体" w:hint="default"/>
                <w:sz w:val="20"/>
                <w:szCs w:val="20"/>
              </w:rPr>
              <w:t>个</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百分点</w:t>
            </w:r>
          </w:p>
        </w:tc>
      </w:tr>
      <w:tr>
        <w:trPr>
          <w:trHeight w:val="271" w:hRule="exact"/>
        </w:trPr>
        <w:tc>
          <w:tcPr>
            <w:tcW w:w="9208" w:type="dxa"/>
            <w:gridSpan w:val="7"/>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5" w:right="0"/>
              <w:jc w:val="center"/>
              <w:rPr>
                <w:rFonts w:ascii="宋体" w:hAnsi="宋体" w:cs="宋体" w:eastAsia="宋体" w:hint="default"/>
                <w:sz w:val="20"/>
                <w:szCs w:val="20"/>
              </w:rPr>
            </w:pPr>
            <w:r>
              <w:rPr>
                <w:rFonts w:ascii="宋体" w:hAnsi="宋体" w:cs="宋体" w:eastAsia="宋体" w:hint="default"/>
                <w:sz w:val="20"/>
                <w:szCs w:val="20"/>
              </w:rPr>
              <w:t>主营业务分地区情况</w:t>
            </w:r>
          </w:p>
        </w:tc>
      </w:tr>
      <w:tr>
        <w:trPr>
          <w:trHeight w:val="787"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302"/>
              <w:jc w:val="right"/>
              <w:rPr>
                <w:rFonts w:ascii="宋体" w:hAnsi="宋体" w:cs="宋体" w:eastAsia="宋体" w:hint="default"/>
                <w:sz w:val="20"/>
                <w:szCs w:val="20"/>
              </w:rPr>
            </w:pPr>
            <w:r>
              <w:rPr>
                <w:rFonts w:ascii="宋体" w:hAnsi="宋体" w:cs="宋体" w:eastAsia="宋体" w:hint="default"/>
                <w:w w:val="95"/>
                <w:sz w:val="20"/>
                <w:szCs w:val="20"/>
              </w:rPr>
              <w:t>分地区</w:t>
            </w:r>
            <w:r>
              <w:rPr>
                <w:rFonts w:ascii="宋体" w:hAnsi="宋体" w:cs="宋体" w:eastAsia="宋体" w:hint="default"/>
                <w:sz w:val="20"/>
                <w:szCs w:val="20"/>
              </w:rPr>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405" w:right="0"/>
              <w:jc w:val="left"/>
              <w:rPr>
                <w:rFonts w:ascii="宋体" w:hAnsi="宋体" w:cs="宋体" w:eastAsia="宋体" w:hint="default"/>
                <w:sz w:val="20"/>
                <w:szCs w:val="20"/>
              </w:rPr>
            </w:pPr>
            <w:r>
              <w:rPr>
                <w:rFonts w:ascii="宋体" w:hAnsi="宋体" w:cs="宋体" w:eastAsia="宋体" w:hint="default"/>
                <w:sz w:val="20"/>
                <w:szCs w:val="20"/>
              </w:rPr>
              <w:t>营业收入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71" w:right="0"/>
              <w:jc w:val="left"/>
              <w:rPr>
                <w:rFonts w:ascii="宋体" w:hAnsi="宋体" w:cs="宋体" w:eastAsia="宋体" w:hint="default"/>
                <w:sz w:val="20"/>
                <w:szCs w:val="20"/>
              </w:rPr>
            </w:pPr>
            <w:r>
              <w:rPr>
                <w:rFonts w:ascii="宋体" w:hAnsi="宋体" w:cs="宋体" w:eastAsia="宋体" w:hint="default"/>
                <w:sz w:val="20"/>
                <w:szCs w:val="20"/>
              </w:rPr>
              <w:t>营业成本</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5"/>
              <w:jc w:val="right"/>
              <w:rPr>
                <w:rFonts w:ascii="宋体" w:hAnsi="宋体" w:cs="宋体" w:eastAsia="宋体" w:hint="default"/>
                <w:sz w:val="20"/>
                <w:szCs w:val="20"/>
              </w:rPr>
            </w:pPr>
            <w:r>
              <w:rPr>
                <w:rFonts w:ascii="宋体" w:hAnsi="宋体" w:cs="宋体" w:eastAsia="宋体" w:hint="default"/>
                <w:spacing w:val="-2"/>
                <w:w w:val="95"/>
                <w:sz w:val="20"/>
                <w:szCs w:val="20"/>
              </w:rPr>
              <w:t>毛利率（</w:t>
            </w:r>
            <w:r>
              <w:rPr>
                <w:rFonts w:ascii="宋体" w:hAnsi="宋体" w:cs="宋体" w:eastAsia="宋体" w:hint="default"/>
                <w:spacing w:val="-2"/>
                <w:w w:val="95"/>
                <w:sz w:val="20"/>
                <w:szCs w:val="20"/>
              </w:rPr>
              <w:t>%</w:t>
            </w:r>
            <w:r>
              <w:rPr>
                <w:rFonts w:ascii="宋体" w:hAnsi="宋体" w:cs="宋体" w:eastAsia="宋体" w:hint="default"/>
                <w:spacing w:val="-2"/>
                <w:w w:val="95"/>
                <w:sz w:val="20"/>
                <w:szCs w:val="20"/>
              </w:rPr>
              <w:t>）</w:t>
            </w:r>
            <w:r>
              <w:rPr>
                <w:rFonts w:ascii="宋体" w:hAnsi="宋体" w:cs="宋体" w:eastAsia="宋体" w:hint="default"/>
                <w:spacing w:val="-2"/>
                <w:sz w:val="20"/>
                <w:szCs w:val="20"/>
              </w:rPr>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96" w:right="0"/>
              <w:jc w:val="left"/>
              <w:rPr>
                <w:rFonts w:ascii="宋体" w:hAnsi="宋体" w:cs="宋体" w:eastAsia="宋体" w:hint="default"/>
                <w:sz w:val="20"/>
                <w:szCs w:val="20"/>
              </w:rPr>
            </w:pPr>
            <w:r>
              <w:rPr>
                <w:rFonts w:ascii="宋体" w:hAnsi="宋体" w:cs="宋体" w:eastAsia="宋体" w:hint="default"/>
                <w:sz w:val="20"/>
                <w:szCs w:val="20"/>
              </w:rPr>
              <w:t>营业收入</w:t>
            </w:r>
          </w:p>
          <w:p>
            <w:pPr>
              <w:pStyle w:val="TableParagraph"/>
              <w:spacing w:line="260" w:lineRule="exact" w:before="24"/>
              <w:ind w:left="247" w:right="199" w:hanging="51"/>
              <w:jc w:val="left"/>
              <w:rPr>
                <w:rFonts w:ascii="宋体" w:hAnsi="宋体" w:cs="宋体" w:eastAsia="宋体" w:hint="default"/>
                <w:sz w:val="20"/>
                <w:szCs w:val="20"/>
              </w:rPr>
            </w:pPr>
            <w:r>
              <w:rPr>
                <w:rFonts w:ascii="宋体" w:hAnsi="宋体" w:cs="宋体" w:eastAsia="宋体" w:hint="default"/>
                <w:sz w:val="20"/>
                <w:szCs w:val="20"/>
              </w:rPr>
              <w:t>比上年增</w:t>
            </w:r>
            <w:r>
              <w:rPr>
                <w:rFonts w:ascii="宋体" w:hAnsi="宋体" w:cs="宋体" w:eastAsia="宋体" w:hint="default"/>
                <w:w w:val="99"/>
                <w:sz w:val="20"/>
                <w:szCs w:val="20"/>
              </w:rPr>
              <w:t> </w:t>
            </w:r>
            <w:r>
              <w:rPr>
                <w:rFonts w:ascii="宋体" w:hAnsi="宋体" w:cs="宋体" w:eastAsia="宋体" w:hint="default"/>
                <w:sz w:val="20"/>
                <w:szCs w:val="20"/>
              </w:rPr>
              <w:t>减（</w:t>
            </w:r>
            <w:r>
              <w:rPr>
                <w:rFonts w:ascii="宋体" w:hAnsi="宋体" w:cs="宋体" w:eastAsia="宋体" w:hint="default"/>
                <w:sz w:val="20"/>
                <w:szCs w:val="20"/>
              </w:rPr>
              <w:t>%</w:t>
            </w:r>
            <w:r>
              <w:rPr>
                <w:rFonts w:ascii="宋体" w:hAnsi="宋体" w:cs="宋体" w:eastAsia="宋体" w:hint="default"/>
                <w:sz w:val="20"/>
                <w:szCs w:val="20"/>
              </w:rPr>
              <w:t>）</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96" w:right="0"/>
              <w:jc w:val="left"/>
              <w:rPr>
                <w:rFonts w:ascii="宋体" w:hAnsi="宋体" w:cs="宋体" w:eastAsia="宋体" w:hint="default"/>
                <w:sz w:val="20"/>
                <w:szCs w:val="20"/>
              </w:rPr>
            </w:pPr>
            <w:r>
              <w:rPr>
                <w:rFonts w:ascii="宋体" w:hAnsi="宋体" w:cs="宋体" w:eastAsia="宋体" w:hint="default"/>
                <w:sz w:val="20"/>
                <w:szCs w:val="20"/>
              </w:rPr>
              <w:t>营业成本</w:t>
            </w:r>
          </w:p>
          <w:p>
            <w:pPr>
              <w:pStyle w:val="TableParagraph"/>
              <w:spacing w:line="260" w:lineRule="exact" w:before="24"/>
              <w:ind w:left="247" w:right="200" w:hanging="51"/>
              <w:jc w:val="left"/>
              <w:rPr>
                <w:rFonts w:ascii="宋体" w:hAnsi="宋体" w:cs="宋体" w:eastAsia="宋体" w:hint="default"/>
                <w:sz w:val="20"/>
                <w:szCs w:val="20"/>
              </w:rPr>
            </w:pPr>
            <w:r>
              <w:rPr>
                <w:rFonts w:ascii="宋体" w:hAnsi="宋体" w:cs="宋体" w:eastAsia="宋体" w:hint="default"/>
                <w:sz w:val="20"/>
                <w:szCs w:val="20"/>
              </w:rPr>
              <w:t>比上年增</w:t>
            </w:r>
            <w:r>
              <w:rPr>
                <w:rFonts w:ascii="宋体" w:hAnsi="宋体" w:cs="宋体" w:eastAsia="宋体" w:hint="default"/>
                <w:w w:val="99"/>
                <w:sz w:val="20"/>
                <w:szCs w:val="20"/>
              </w:rPr>
              <w:t> </w:t>
            </w:r>
            <w:r>
              <w:rPr>
                <w:rFonts w:ascii="宋体" w:hAnsi="宋体" w:cs="宋体" w:eastAsia="宋体" w:hint="default"/>
                <w:sz w:val="20"/>
                <w:szCs w:val="20"/>
              </w:rPr>
              <w:t>减（</w:t>
            </w:r>
            <w:r>
              <w:rPr>
                <w:rFonts w:ascii="宋体" w:hAnsi="宋体" w:cs="宋体" w:eastAsia="宋体" w:hint="default"/>
                <w:sz w:val="20"/>
                <w:szCs w:val="20"/>
              </w:rPr>
              <w:t>%</w:t>
            </w:r>
            <w:r>
              <w:rPr>
                <w:rFonts w:ascii="宋体" w:hAnsi="宋体" w:cs="宋体" w:eastAsia="宋体" w:hint="default"/>
                <w:sz w:val="20"/>
                <w:szCs w:val="20"/>
              </w:rPr>
              <w:t>）</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right="2"/>
              <w:jc w:val="center"/>
              <w:rPr>
                <w:rFonts w:ascii="宋体" w:hAnsi="宋体" w:cs="宋体" w:eastAsia="宋体" w:hint="default"/>
                <w:sz w:val="20"/>
                <w:szCs w:val="20"/>
              </w:rPr>
            </w:pPr>
            <w:r>
              <w:rPr>
                <w:rFonts w:ascii="宋体" w:hAnsi="宋体" w:cs="宋体" w:eastAsia="宋体" w:hint="default"/>
                <w:sz w:val="20"/>
                <w:szCs w:val="20"/>
              </w:rPr>
              <w:t>毛利率比</w:t>
            </w:r>
          </w:p>
          <w:p>
            <w:pPr>
              <w:pStyle w:val="TableParagraph"/>
              <w:spacing w:line="259" w:lineRule="exact"/>
              <w:ind w:right="2"/>
              <w:jc w:val="center"/>
              <w:rPr>
                <w:rFonts w:ascii="宋体" w:hAnsi="宋体" w:cs="宋体" w:eastAsia="宋体" w:hint="default"/>
                <w:sz w:val="20"/>
                <w:szCs w:val="20"/>
              </w:rPr>
            </w:pPr>
            <w:r>
              <w:rPr>
                <w:rFonts w:ascii="宋体" w:hAnsi="宋体" w:cs="宋体" w:eastAsia="宋体" w:hint="default"/>
                <w:sz w:val="20"/>
                <w:szCs w:val="20"/>
              </w:rPr>
              <w:t>上年增减</w:t>
            </w:r>
          </w:p>
          <w:p>
            <w:pPr>
              <w:pStyle w:val="TableParagraph"/>
              <w:spacing w:line="260" w:lineRule="exact"/>
              <w:ind w:right="0"/>
              <w:jc w:val="center"/>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0"/>
                <w:szCs w:val="20"/>
              </w:rPr>
              <w:t>%</w:t>
            </w:r>
            <w:r>
              <w:rPr>
                <w:rFonts w:ascii="宋体" w:hAnsi="宋体" w:cs="宋体" w:eastAsia="宋体" w:hint="default"/>
                <w:sz w:val="20"/>
                <w:szCs w:val="20"/>
              </w:rPr>
              <w:t>）</w:t>
            </w:r>
          </w:p>
        </w:tc>
      </w:tr>
      <w:tr>
        <w:trPr>
          <w:trHeight w:val="529"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z w:val="20"/>
                <w:szCs w:val="20"/>
              </w:rPr>
              <w:t>中国境内</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2"/>
              <w:jc w:val="right"/>
              <w:rPr>
                <w:rFonts w:ascii="宋体" w:hAnsi="宋体" w:cs="宋体" w:eastAsia="宋体" w:hint="default"/>
                <w:sz w:val="20"/>
                <w:szCs w:val="20"/>
              </w:rPr>
            </w:pPr>
            <w:r>
              <w:rPr>
                <w:rFonts w:ascii="宋体"/>
                <w:w w:val="95"/>
                <w:sz w:val="20"/>
              </w:rPr>
              <w:t>6,081,855,706</w:t>
            </w:r>
            <w:r>
              <w:rPr>
                <w:rFonts w:ascii="宋体"/>
                <w:sz w:val="20"/>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4"/>
              <w:jc w:val="right"/>
              <w:rPr>
                <w:rFonts w:ascii="宋体" w:hAnsi="宋体" w:cs="宋体" w:eastAsia="宋体" w:hint="default"/>
                <w:sz w:val="20"/>
                <w:szCs w:val="20"/>
              </w:rPr>
            </w:pPr>
            <w:r>
              <w:rPr>
                <w:rFonts w:ascii="宋体"/>
                <w:w w:val="95"/>
                <w:sz w:val="20"/>
              </w:rPr>
              <w:t>1,761,952,681</w:t>
            </w:r>
            <w:r>
              <w:rPr>
                <w:rFonts w:ascii="宋体"/>
                <w:sz w:val="20"/>
              </w:rPr>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sz w:val="20"/>
              </w:rPr>
              <w:t>71.0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98"/>
              <w:jc w:val="right"/>
              <w:rPr>
                <w:rFonts w:ascii="宋体" w:hAnsi="宋体" w:cs="宋体" w:eastAsia="宋体" w:hint="default"/>
                <w:sz w:val="20"/>
                <w:szCs w:val="20"/>
              </w:rPr>
            </w:pPr>
            <w:r>
              <w:rPr>
                <w:rFonts w:ascii="宋体"/>
                <w:sz w:val="20"/>
              </w:rPr>
              <w:t>23.4</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98"/>
              <w:jc w:val="right"/>
              <w:rPr>
                <w:rFonts w:ascii="宋体" w:hAnsi="宋体" w:cs="宋体" w:eastAsia="宋体" w:hint="default"/>
                <w:sz w:val="20"/>
                <w:szCs w:val="20"/>
              </w:rPr>
            </w:pPr>
            <w:r>
              <w:rPr>
                <w:rFonts w:ascii="宋体"/>
                <w:sz w:val="20"/>
              </w:rPr>
              <w:t>13.7</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20"/>
                <w:szCs w:val="20"/>
              </w:rPr>
            </w:pPr>
            <w:r>
              <w:rPr>
                <w:rFonts w:ascii="宋体" w:hAnsi="宋体" w:cs="宋体" w:eastAsia="宋体" w:hint="default"/>
                <w:sz w:val="20"/>
                <w:szCs w:val="20"/>
              </w:rPr>
              <w:t>增加</w:t>
            </w:r>
            <w:r>
              <w:rPr>
                <w:rFonts w:ascii="宋体" w:hAnsi="宋体" w:cs="宋体" w:eastAsia="宋体" w:hint="default"/>
                <w:spacing w:val="-58"/>
                <w:sz w:val="20"/>
                <w:szCs w:val="20"/>
              </w:rPr>
              <w:t> </w:t>
            </w:r>
            <w:r>
              <w:rPr>
                <w:rFonts w:ascii="宋体" w:hAnsi="宋体" w:cs="宋体" w:eastAsia="宋体" w:hint="default"/>
                <w:sz w:val="20"/>
                <w:szCs w:val="20"/>
              </w:rPr>
              <w:t>2.4</w:t>
            </w:r>
            <w:r>
              <w:rPr>
                <w:rFonts w:ascii="宋体" w:hAnsi="宋体" w:cs="宋体" w:eastAsia="宋体" w:hint="default"/>
                <w:spacing w:val="-57"/>
                <w:sz w:val="20"/>
                <w:szCs w:val="20"/>
              </w:rPr>
              <w:t> </w:t>
            </w:r>
            <w:r>
              <w:rPr>
                <w:rFonts w:ascii="宋体" w:hAnsi="宋体" w:cs="宋体" w:eastAsia="宋体" w:hint="default"/>
                <w:sz w:val="20"/>
                <w:szCs w:val="20"/>
              </w:rPr>
              <w:t>个</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百分点</w:t>
            </w:r>
          </w:p>
        </w:tc>
      </w:tr>
      <w:tr>
        <w:trPr>
          <w:trHeight w:val="530"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20"/>
                <w:szCs w:val="20"/>
              </w:rPr>
            </w:pPr>
            <w:r>
              <w:rPr>
                <w:rFonts w:ascii="宋体" w:hAnsi="宋体" w:cs="宋体" w:eastAsia="宋体" w:hint="default"/>
                <w:sz w:val="20"/>
                <w:szCs w:val="20"/>
              </w:rPr>
              <w:t>中国境外</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2"/>
              <w:jc w:val="right"/>
              <w:rPr>
                <w:rFonts w:ascii="宋体" w:hAnsi="宋体" w:cs="宋体" w:eastAsia="宋体" w:hint="default"/>
                <w:sz w:val="20"/>
                <w:szCs w:val="20"/>
              </w:rPr>
            </w:pPr>
            <w:r>
              <w:rPr>
                <w:rFonts w:ascii="宋体"/>
                <w:w w:val="95"/>
                <w:sz w:val="20"/>
              </w:rPr>
              <w:t>68,946,894</w:t>
            </w:r>
            <w:r>
              <w:rPr>
                <w:rFonts w:ascii="宋体"/>
                <w:sz w:val="20"/>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3"/>
              <w:jc w:val="right"/>
              <w:rPr>
                <w:rFonts w:ascii="宋体" w:hAnsi="宋体" w:cs="宋体" w:eastAsia="宋体" w:hint="default"/>
                <w:sz w:val="20"/>
                <w:szCs w:val="20"/>
              </w:rPr>
            </w:pPr>
            <w:r>
              <w:rPr>
                <w:rFonts w:ascii="宋体"/>
                <w:w w:val="95"/>
                <w:sz w:val="20"/>
              </w:rPr>
              <w:t>30,660,607</w:t>
            </w:r>
            <w:r>
              <w:rPr>
                <w:rFonts w:ascii="宋体"/>
                <w:sz w:val="20"/>
              </w:rPr>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1"/>
              <w:jc w:val="right"/>
              <w:rPr>
                <w:rFonts w:ascii="宋体" w:hAnsi="宋体" w:cs="宋体" w:eastAsia="宋体" w:hint="default"/>
                <w:sz w:val="20"/>
                <w:szCs w:val="20"/>
              </w:rPr>
            </w:pPr>
            <w:r>
              <w:rPr>
                <w:rFonts w:ascii="宋体"/>
                <w:sz w:val="20"/>
              </w:rPr>
              <w:t>55.5</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98"/>
              <w:jc w:val="right"/>
              <w:rPr>
                <w:rFonts w:ascii="宋体" w:hAnsi="宋体" w:cs="宋体" w:eastAsia="宋体" w:hint="default"/>
                <w:sz w:val="20"/>
                <w:szCs w:val="20"/>
              </w:rPr>
            </w:pPr>
            <w:r>
              <w:rPr>
                <w:rFonts w:ascii="宋体"/>
                <w:sz w:val="20"/>
              </w:rPr>
              <w:t>21.9</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98"/>
              <w:jc w:val="right"/>
              <w:rPr>
                <w:rFonts w:ascii="宋体" w:hAnsi="宋体" w:cs="宋体" w:eastAsia="宋体" w:hint="default"/>
                <w:sz w:val="20"/>
                <w:szCs w:val="20"/>
              </w:rPr>
            </w:pPr>
            <w:r>
              <w:rPr>
                <w:rFonts w:ascii="宋体"/>
                <w:sz w:val="20"/>
              </w:rPr>
              <w:t>-4.3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03" w:right="0"/>
              <w:jc w:val="left"/>
              <w:rPr>
                <w:rFonts w:ascii="宋体" w:hAnsi="宋体" w:cs="宋体" w:eastAsia="宋体" w:hint="default"/>
                <w:sz w:val="20"/>
                <w:szCs w:val="20"/>
              </w:rPr>
            </w:pPr>
            <w:r>
              <w:rPr>
                <w:rFonts w:ascii="宋体" w:hAnsi="宋体" w:cs="宋体" w:eastAsia="宋体" w:hint="default"/>
                <w:spacing w:val="21"/>
                <w:sz w:val="20"/>
                <w:szCs w:val="20"/>
              </w:rPr>
              <w:t>增加</w:t>
            </w:r>
            <w:r>
              <w:rPr>
                <w:rFonts w:ascii="宋体" w:hAnsi="宋体" w:cs="宋体" w:eastAsia="宋体" w:hint="default"/>
                <w:spacing w:val="42"/>
                <w:sz w:val="20"/>
                <w:szCs w:val="20"/>
              </w:rPr>
              <w:t> </w:t>
            </w:r>
            <w:r>
              <w:rPr>
                <w:rFonts w:ascii="宋体" w:hAnsi="宋体" w:cs="宋体" w:eastAsia="宋体" w:hint="default"/>
                <w:sz w:val="20"/>
                <w:szCs w:val="20"/>
              </w:rPr>
              <w:t>12.1</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个百分点</w:t>
            </w:r>
          </w:p>
        </w:tc>
      </w:tr>
    </w:tbl>
    <w:p>
      <w:pPr>
        <w:spacing w:line="240" w:lineRule="auto" w:before="5"/>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pgSz w:w="11910" w:h="16840"/>
          <w:pgMar w:header="855" w:footer="1195" w:top="1320" w:bottom="1380" w:left="1480" w:right="480"/>
        </w:sectPr>
      </w:pPr>
    </w:p>
    <w:p>
      <w:pPr>
        <w:pStyle w:val="BodyText"/>
        <w:spacing w:line="274" w:lineRule="exact" w:before="36"/>
        <w:ind w:left="318" w:right="0"/>
        <w:jc w:val="left"/>
      </w:pPr>
      <w:r>
        <w:rPr>
          <w:spacing w:val="-2"/>
        </w:rPr>
        <w:t>主营业务分行业、分产品、分地区情况的说明</w:t>
      </w:r>
    </w:p>
    <w:p>
      <w:pPr>
        <w:pStyle w:val="BodyText"/>
        <w:spacing w:line="274" w:lineRule="exact"/>
        <w:ind w:left="318" w:right="0"/>
        <w:jc w:val="left"/>
      </w:pPr>
      <w:r>
        <w:rPr/>
        <w:t>□适用</w:t>
      </w:r>
      <w:r>
        <w:rPr>
          <w:spacing w:val="-1"/>
        </w:rPr>
        <w:t> </w:t>
      </w:r>
      <w:r>
        <w:rPr/>
        <w:t>√不适用</w:t>
      </w:r>
    </w:p>
    <w:p>
      <w:pPr>
        <w:pStyle w:val="Heading3"/>
        <w:spacing w:line="240" w:lineRule="auto" w:before="56"/>
        <w:ind w:left="318" w:right="0"/>
        <w:jc w:val="left"/>
        <w:rPr>
          <w:b w:val="0"/>
          <w:bCs w:val="0"/>
        </w:rPr>
      </w:pPr>
      <w:r>
        <w:rPr>
          <w:rFonts w:ascii="宋体" w:hAnsi="宋体" w:cs="宋体" w:eastAsia="宋体" w:hint="default"/>
        </w:rPr>
        <w:t>(2).</w:t>
      </w:r>
      <w:r>
        <w:rPr>
          <w:rFonts w:ascii="宋体" w:hAnsi="宋体" w:cs="宋体" w:eastAsia="宋体" w:hint="default"/>
          <w:spacing w:val="40"/>
        </w:rPr>
        <w:t> </w:t>
      </w:r>
      <w:r>
        <w:rPr/>
        <w:t>产销量情况分析表</w:t>
      </w:r>
      <w:r>
        <w:rPr>
          <w:b w:val="0"/>
          <w:bCs w:val="0"/>
        </w:rPr>
      </w:r>
    </w:p>
    <w:p>
      <w:pPr>
        <w:spacing w:line="290" w:lineRule="auto" w:before="58"/>
        <w:ind w:left="318" w:right="2563"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2"/>
          <w:sz w:val="21"/>
          <w:szCs w:val="21"/>
        </w:rPr>
        <w:t> </w:t>
      </w:r>
      <w:r>
        <w:rPr>
          <w:rFonts w:ascii="宋体" w:hAnsi="宋体" w:cs="宋体" w:eastAsia="宋体" w:hint="default"/>
          <w:sz w:val="21"/>
          <w:szCs w:val="21"/>
        </w:rPr>
        <w:t>√不适用</w:t>
      </w:r>
      <w:r>
        <w:rPr>
          <w:rFonts w:ascii="宋体" w:hAnsi="宋体" w:cs="宋体" w:eastAsia="宋体" w:hint="default"/>
          <w:w w:val="100"/>
          <w:sz w:val="21"/>
          <w:szCs w:val="21"/>
        </w:rPr>
        <w:t> </w:t>
      </w:r>
      <w:r>
        <w:rPr>
          <w:rFonts w:ascii="宋体" w:hAnsi="宋体" w:cs="宋体" w:eastAsia="宋体" w:hint="default"/>
          <w:b/>
          <w:bCs/>
          <w:sz w:val="21"/>
          <w:szCs w:val="21"/>
        </w:rPr>
        <w:t>(3).</w:t>
      </w:r>
      <w:r>
        <w:rPr>
          <w:rFonts w:ascii="宋体" w:hAnsi="宋体" w:cs="宋体" w:eastAsia="宋体" w:hint="default"/>
          <w:b/>
          <w:bCs/>
          <w:spacing w:val="39"/>
          <w:sz w:val="21"/>
          <w:szCs w:val="21"/>
        </w:rPr>
        <w:t> </w:t>
      </w:r>
      <w:r>
        <w:rPr>
          <w:rFonts w:ascii="宋体" w:hAnsi="宋体" w:cs="宋体" w:eastAsia="宋体" w:hint="default"/>
          <w:b/>
          <w:bCs/>
          <w:sz w:val="21"/>
          <w:szCs w:val="21"/>
        </w:rPr>
        <w:t>成本分析表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5"/>
          <w:szCs w:val="25"/>
        </w:rPr>
      </w:pPr>
    </w:p>
    <w:p>
      <w:pPr>
        <w:pStyle w:val="BodyText"/>
        <w:spacing w:line="240" w:lineRule="auto"/>
        <w:ind w:left="318" w:right="0"/>
        <w:jc w:val="left"/>
      </w:pPr>
      <w:r>
        <w:rPr/>
        <w:t>单位：元</w:t>
      </w:r>
    </w:p>
    <w:p>
      <w:pPr>
        <w:spacing w:after="0" w:line="240" w:lineRule="auto"/>
        <w:jc w:val="left"/>
        <w:sectPr>
          <w:type w:val="continuous"/>
          <w:pgSz w:w="11910" w:h="16840"/>
          <w:pgMar w:top="1320" w:bottom="1380" w:left="1480" w:right="480"/>
          <w:cols w:num="2" w:equalWidth="0">
            <w:col w:w="4524" w:space="3470"/>
            <w:col w:w="1956"/>
          </w:cols>
        </w:sectPr>
      </w:pPr>
    </w:p>
    <w:p>
      <w:pPr>
        <w:spacing w:line="240" w:lineRule="auto" w:before="4"/>
        <w:rPr>
          <w:rFonts w:ascii="宋体" w:hAnsi="宋体" w:cs="宋体" w:eastAsia="宋体" w:hint="default"/>
          <w:sz w:val="2"/>
          <w:szCs w:val="2"/>
        </w:rPr>
      </w:pPr>
    </w:p>
    <w:tbl>
      <w:tblPr>
        <w:tblW w:w="0" w:type="auto"/>
        <w:jc w:val="left"/>
        <w:tblInd w:w="205" w:type="dxa"/>
        <w:tblLayout w:type="fixed"/>
        <w:tblCellMar>
          <w:top w:w="0" w:type="dxa"/>
          <w:left w:w="0" w:type="dxa"/>
          <w:bottom w:w="0" w:type="dxa"/>
          <w:right w:w="0" w:type="dxa"/>
        </w:tblCellMar>
        <w:tblLook w:val="01E0"/>
      </w:tblPr>
      <w:tblGrid>
        <w:gridCol w:w="1128"/>
        <w:gridCol w:w="871"/>
        <w:gridCol w:w="1683"/>
        <w:gridCol w:w="1148"/>
        <w:gridCol w:w="1687"/>
        <w:gridCol w:w="1078"/>
        <w:gridCol w:w="1054"/>
        <w:gridCol w:w="977"/>
      </w:tblGrid>
      <w:tr>
        <w:trPr>
          <w:trHeight w:val="269" w:hRule="exact"/>
        </w:trPr>
        <w:tc>
          <w:tcPr>
            <w:tcW w:w="9626" w:type="dxa"/>
            <w:gridSpan w:val="8"/>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28" w:right="0"/>
              <w:jc w:val="center"/>
              <w:rPr>
                <w:rFonts w:ascii="宋体" w:hAnsi="宋体" w:cs="宋体" w:eastAsia="宋体" w:hint="default"/>
                <w:sz w:val="20"/>
                <w:szCs w:val="20"/>
              </w:rPr>
            </w:pPr>
            <w:r>
              <w:rPr>
                <w:rFonts w:ascii="宋体" w:hAnsi="宋体" w:cs="宋体" w:eastAsia="宋体" w:hint="default"/>
                <w:sz w:val="20"/>
                <w:szCs w:val="20"/>
              </w:rPr>
              <w:t>分行业情况</w:t>
            </w:r>
          </w:p>
        </w:tc>
      </w:tr>
      <w:tr>
        <w:trPr>
          <w:trHeight w:val="530"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59" w:right="0"/>
              <w:jc w:val="left"/>
              <w:rPr>
                <w:rFonts w:ascii="宋体" w:hAnsi="宋体" w:cs="宋体" w:eastAsia="宋体" w:hint="default"/>
                <w:sz w:val="20"/>
                <w:szCs w:val="20"/>
              </w:rPr>
            </w:pPr>
            <w:r>
              <w:rPr>
                <w:rFonts w:ascii="宋体" w:hAnsi="宋体" w:cs="宋体" w:eastAsia="宋体" w:hint="default"/>
                <w:sz w:val="20"/>
                <w:szCs w:val="20"/>
              </w:rPr>
              <w:t>分行业</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29" w:right="0"/>
              <w:jc w:val="left"/>
              <w:rPr>
                <w:rFonts w:ascii="宋体" w:hAnsi="宋体" w:cs="宋体" w:eastAsia="宋体" w:hint="default"/>
                <w:sz w:val="20"/>
                <w:szCs w:val="20"/>
              </w:rPr>
            </w:pPr>
            <w:r>
              <w:rPr>
                <w:rFonts w:ascii="宋体" w:hAnsi="宋体" w:cs="宋体" w:eastAsia="宋体" w:hint="default"/>
                <w:sz w:val="20"/>
                <w:szCs w:val="20"/>
              </w:rPr>
              <w:t>成本构</w:t>
            </w:r>
          </w:p>
          <w:p>
            <w:pPr>
              <w:pStyle w:val="TableParagraph"/>
              <w:spacing w:line="260" w:lineRule="exact"/>
              <w:ind w:left="129" w:right="0"/>
              <w:jc w:val="left"/>
              <w:rPr>
                <w:rFonts w:ascii="宋体" w:hAnsi="宋体" w:cs="宋体" w:eastAsia="宋体" w:hint="default"/>
                <w:sz w:val="20"/>
                <w:szCs w:val="20"/>
              </w:rPr>
            </w:pPr>
            <w:r>
              <w:rPr>
                <w:rFonts w:ascii="宋体" w:hAnsi="宋体" w:cs="宋体" w:eastAsia="宋体" w:hint="default"/>
                <w:sz w:val="20"/>
                <w:szCs w:val="20"/>
              </w:rPr>
              <w:t>成项目</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437" w:right="0"/>
              <w:jc w:val="left"/>
              <w:rPr>
                <w:rFonts w:ascii="宋体" w:hAnsi="宋体" w:cs="宋体" w:eastAsia="宋体" w:hint="default"/>
                <w:sz w:val="20"/>
                <w:szCs w:val="20"/>
              </w:rPr>
            </w:pPr>
            <w:r>
              <w:rPr>
                <w:rFonts w:ascii="宋体" w:hAnsi="宋体" w:cs="宋体" w:eastAsia="宋体" w:hint="default"/>
                <w:sz w:val="20"/>
                <w:szCs w:val="20"/>
              </w:rPr>
              <w:t>本期金额</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68" w:right="0"/>
              <w:jc w:val="left"/>
              <w:rPr>
                <w:rFonts w:ascii="宋体" w:hAnsi="宋体" w:cs="宋体" w:eastAsia="宋体" w:hint="default"/>
                <w:sz w:val="20"/>
                <w:szCs w:val="20"/>
              </w:rPr>
            </w:pPr>
            <w:r>
              <w:rPr>
                <w:rFonts w:ascii="宋体" w:hAnsi="宋体" w:cs="宋体" w:eastAsia="宋体" w:hint="default"/>
                <w:sz w:val="20"/>
                <w:szCs w:val="20"/>
              </w:rPr>
              <w:t>本期占总</w:t>
            </w:r>
          </w:p>
          <w:p>
            <w:pPr>
              <w:pStyle w:val="TableParagraph"/>
              <w:spacing w:line="260" w:lineRule="exact"/>
              <w:ind w:left="168" w:right="0"/>
              <w:jc w:val="left"/>
              <w:rPr>
                <w:rFonts w:ascii="宋体" w:hAnsi="宋体" w:cs="宋体" w:eastAsia="宋体" w:hint="default"/>
                <w:sz w:val="20"/>
                <w:szCs w:val="20"/>
              </w:rPr>
            </w:pPr>
            <w:r>
              <w:rPr>
                <w:rFonts w:ascii="宋体" w:hAnsi="宋体" w:cs="宋体" w:eastAsia="宋体" w:hint="default"/>
                <w:sz w:val="20"/>
                <w:szCs w:val="20"/>
              </w:rPr>
              <w:t>成本比例</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7" w:right="0"/>
              <w:jc w:val="left"/>
              <w:rPr>
                <w:rFonts w:ascii="宋体" w:hAnsi="宋体" w:cs="宋体" w:eastAsia="宋体" w:hint="default"/>
                <w:sz w:val="20"/>
                <w:szCs w:val="20"/>
              </w:rPr>
            </w:pPr>
            <w:r>
              <w:rPr>
                <w:rFonts w:ascii="宋体" w:hAnsi="宋体" w:cs="宋体" w:eastAsia="宋体" w:hint="default"/>
                <w:sz w:val="20"/>
                <w:szCs w:val="20"/>
              </w:rPr>
              <w:t>上年同期金额</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34" w:right="0"/>
              <w:jc w:val="left"/>
              <w:rPr>
                <w:rFonts w:ascii="宋体" w:hAnsi="宋体" w:cs="宋体" w:eastAsia="宋体" w:hint="default"/>
                <w:sz w:val="20"/>
                <w:szCs w:val="20"/>
              </w:rPr>
            </w:pPr>
            <w:r>
              <w:rPr>
                <w:rFonts w:ascii="宋体" w:hAnsi="宋体" w:cs="宋体" w:eastAsia="宋体" w:hint="default"/>
                <w:sz w:val="20"/>
                <w:szCs w:val="20"/>
              </w:rPr>
              <w:t>上年同期</w:t>
            </w:r>
          </w:p>
          <w:p>
            <w:pPr>
              <w:pStyle w:val="TableParagraph"/>
              <w:spacing w:line="260" w:lineRule="exact"/>
              <w:ind w:left="134" w:right="0"/>
              <w:jc w:val="left"/>
              <w:rPr>
                <w:rFonts w:ascii="宋体" w:hAnsi="宋体" w:cs="宋体" w:eastAsia="宋体" w:hint="default"/>
                <w:sz w:val="20"/>
                <w:szCs w:val="20"/>
              </w:rPr>
            </w:pPr>
            <w:r>
              <w:rPr>
                <w:rFonts w:ascii="宋体" w:hAnsi="宋体" w:cs="宋体" w:eastAsia="宋体" w:hint="default"/>
                <w:sz w:val="20"/>
                <w:szCs w:val="20"/>
              </w:rPr>
              <w:t>占总成本</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本期金额</w:t>
            </w:r>
          </w:p>
          <w:p>
            <w:pPr>
              <w:pStyle w:val="TableParagraph"/>
              <w:spacing w:line="260" w:lineRule="exact"/>
              <w:ind w:left="122" w:right="0"/>
              <w:jc w:val="left"/>
              <w:rPr>
                <w:rFonts w:ascii="宋体" w:hAnsi="宋体" w:cs="宋体" w:eastAsia="宋体" w:hint="default"/>
                <w:sz w:val="20"/>
                <w:szCs w:val="20"/>
              </w:rPr>
            </w:pPr>
            <w:r>
              <w:rPr>
                <w:rFonts w:ascii="宋体" w:hAnsi="宋体" w:cs="宋体" w:eastAsia="宋体" w:hint="default"/>
                <w:sz w:val="20"/>
                <w:szCs w:val="20"/>
              </w:rPr>
              <w:t>较上年同</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283" w:right="0"/>
              <w:jc w:val="left"/>
              <w:rPr>
                <w:rFonts w:ascii="宋体" w:hAnsi="宋体" w:cs="宋体" w:eastAsia="宋体" w:hint="default"/>
                <w:sz w:val="20"/>
                <w:szCs w:val="20"/>
              </w:rPr>
            </w:pPr>
            <w:r>
              <w:rPr>
                <w:rFonts w:ascii="宋体" w:hAnsi="宋体" w:cs="宋体" w:eastAsia="宋体" w:hint="default"/>
                <w:sz w:val="20"/>
                <w:szCs w:val="20"/>
              </w:rPr>
              <w:t>情况</w:t>
            </w:r>
          </w:p>
          <w:p>
            <w:pPr>
              <w:pStyle w:val="TableParagraph"/>
              <w:spacing w:line="260" w:lineRule="exact"/>
              <w:ind w:left="283" w:right="0"/>
              <w:jc w:val="left"/>
              <w:rPr>
                <w:rFonts w:ascii="宋体" w:hAnsi="宋体" w:cs="宋体" w:eastAsia="宋体" w:hint="default"/>
                <w:sz w:val="20"/>
                <w:szCs w:val="20"/>
              </w:rPr>
            </w:pPr>
            <w:r>
              <w:rPr>
                <w:rFonts w:ascii="宋体" w:hAnsi="宋体" w:cs="宋体" w:eastAsia="宋体" w:hint="default"/>
                <w:sz w:val="20"/>
                <w:szCs w:val="20"/>
              </w:rPr>
              <w:t>说明</w:t>
            </w:r>
          </w:p>
        </w:tc>
      </w:tr>
    </w:tbl>
    <w:p>
      <w:pPr>
        <w:spacing w:after="0" w:line="260" w:lineRule="exact"/>
        <w:jc w:val="left"/>
        <w:rPr>
          <w:rFonts w:ascii="宋体" w:hAnsi="宋体" w:cs="宋体" w:eastAsia="宋体" w:hint="default"/>
          <w:sz w:val="20"/>
          <w:szCs w:val="20"/>
        </w:rPr>
        <w:sectPr>
          <w:type w:val="continuous"/>
          <w:pgSz w:w="11910" w:h="16840"/>
          <w:pgMar w:top="1320" w:bottom="1380" w:left="1480" w:right="480"/>
        </w:sectPr>
      </w:pPr>
    </w:p>
    <w:p>
      <w:pPr>
        <w:spacing w:line="240" w:lineRule="auto" w:before="9"/>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1128"/>
        <w:gridCol w:w="871"/>
        <w:gridCol w:w="1683"/>
        <w:gridCol w:w="1148"/>
        <w:gridCol w:w="1687"/>
        <w:gridCol w:w="1078"/>
        <w:gridCol w:w="1054"/>
        <w:gridCol w:w="977"/>
      </w:tblGrid>
      <w:tr>
        <w:trPr>
          <w:trHeight w:val="531" w:hRule="exact"/>
        </w:trPr>
        <w:tc>
          <w:tcPr>
            <w:tcW w:w="1128"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683"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
              <w:jc w:val="center"/>
              <w:rPr>
                <w:rFonts w:ascii="宋体" w:hAnsi="宋体" w:cs="宋体" w:eastAsia="宋体" w:hint="default"/>
                <w:sz w:val="20"/>
                <w:szCs w:val="20"/>
              </w:rPr>
            </w:pPr>
            <w:r>
              <w:rPr>
                <w:rFonts w:ascii="宋体"/>
                <w:sz w:val="20"/>
              </w:rPr>
              <w:t>(%)</w:t>
            </w:r>
          </w:p>
        </w:tc>
        <w:tc>
          <w:tcPr>
            <w:tcW w:w="1687"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82" w:right="0"/>
              <w:jc w:val="left"/>
              <w:rPr>
                <w:rFonts w:ascii="宋体" w:hAnsi="宋体" w:cs="宋体" w:eastAsia="宋体" w:hint="default"/>
                <w:sz w:val="20"/>
                <w:szCs w:val="20"/>
              </w:rPr>
            </w:pPr>
            <w:r>
              <w:rPr>
                <w:rFonts w:ascii="宋体" w:hAnsi="宋体" w:cs="宋体" w:eastAsia="宋体" w:hint="default"/>
                <w:sz w:val="20"/>
                <w:szCs w:val="20"/>
              </w:rPr>
              <w:t>比例</w:t>
            </w:r>
            <w:r>
              <w:rPr>
                <w:rFonts w:ascii="宋体" w:hAnsi="宋体" w:cs="宋体" w:eastAsia="宋体" w:hint="default"/>
                <w:sz w:val="20"/>
                <w:szCs w:val="20"/>
              </w:rPr>
              <w:t>(%)</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sz w:val="20"/>
                <w:szCs w:val="20"/>
              </w:rPr>
              <w:t>期变动比</w:t>
            </w:r>
          </w:p>
          <w:p>
            <w:pPr>
              <w:pStyle w:val="TableParagraph"/>
              <w:spacing w:line="260" w:lineRule="exact"/>
              <w:ind w:right="1"/>
              <w:jc w:val="center"/>
              <w:rPr>
                <w:rFonts w:ascii="宋体" w:hAnsi="宋体" w:cs="宋体" w:eastAsia="宋体" w:hint="default"/>
                <w:sz w:val="20"/>
                <w:szCs w:val="20"/>
              </w:rPr>
            </w:pPr>
            <w:r>
              <w:rPr>
                <w:rFonts w:ascii="宋体" w:hAnsi="宋体" w:cs="宋体" w:eastAsia="宋体" w:hint="default"/>
                <w:sz w:val="20"/>
                <w:szCs w:val="20"/>
              </w:rPr>
              <w:t>例</w:t>
            </w:r>
            <w:r>
              <w:rPr>
                <w:rFonts w:ascii="宋体" w:hAnsi="宋体" w:cs="宋体" w:eastAsia="宋体" w:hint="default"/>
                <w:sz w:val="20"/>
                <w:szCs w:val="20"/>
              </w:rPr>
              <w:t>(%)</w:t>
            </w:r>
          </w:p>
        </w:tc>
        <w:tc>
          <w:tcPr>
            <w:tcW w:w="977" w:type="dxa"/>
            <w:tcBorders>
              <w:top w:val="single" w:sz="4" w:space="0" w:color="000000"/>
              <w:left w:val="single" w:sz="4" w:space="0" w:color="000000"/>
              <w:bottom w:val="single" w:sz="4" w:space="0" w:color="000000"/>
              <w:right w:val="single" w:sz="4" w:space="0" w:color="000000"/>
            </w:tcBorders>
          </w:tcPr>
          <w:p>
            <w:pPr/>
          </w:p>
        </w:tc>
      </w:tr>
      <w:tr>
        <w:trPr>
          <w:trHeight w:val="269"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z w:val="20"/>
                <w:szCs w:val="20"/>
              </w:rPr>
              <w:t>软件行业</w:t>
            </w:r>
          </w:p>
        </w:tc>
        <w:tc>
          <w:tcPr>
            <w:tcW w:w="871" w:type="dxa"/>
            <w:tcBorders>
              <w:top w:val="single" w:sz="4" w:space="0" w:color="000000"/>
              <w:left w:val="single" w:sz="4" w:space="0" w:color="000000"/>
              <w:bottom w:val="single" w:sz="4" w:space="0" w:color="000000"/>
              <w:right w:val="single" w:sz="4" w:space="0" w:color="000000"/>
            </w:tcBorders>
          </w:tcPr>
          <w:p>
            <w:pP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w w:val="95"/>
                <w:sz w:val="20"/>
              </w:rPr>
              <w:t>1,792,613,288</w:t>
            </w:r>
            <w:r>
              <w:rPr>
                <w:rFonts w:ascii="宋体"/>
                <w:sz w:val="20"/>
              </w:rPr>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99"/>
              <w:jc w:val="right"/>
              <w:rPr>
                <w:rFonts w:ascii="宋体" w:hAnsi="宋体" w:cs="宋体" w:eastAsia="宋体" w:hint="default"/>
                <w:sz w:val="20"/>
                <w:szCs w:val="20"/>
              </w:rPr>
            </w:pPr>
            <w:r>
              <w:rPr>
                <w:rFonts w:ascii="宋体"/>
                <w:sz w:val="20"/>
              </w:rPr>
              <w:t>100</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w w:val="95"/>
                <w:sz w:val="20"/>
              </w:rPr>
              <w:t>1,581,055,350</w:t>
            </w:r>
            <w:r>
              <w:rPr>
                <w:rFonts w:ascii="宋体"/>
                <w:sz w:val="20"/>
              </w:rPr>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99"/>
              <w:jc w:val="right"/>
              <w:rPr>
                <w:rFonts w:ascii="宋体" w:hAnsi="宋体" w:cs="宋体" w:eastAsia="宋体" w:hint="default"/>
                <w:sz w:val="20"/>
                <w:szCs w:val="20"/>
              </w:rPr>
            </w:pPr>
            <w:r>
              <w:rPr>
                <w:rFonts w:ascii="宋体"/>
                <w:sz w:val="20"/>
              </w:rPr>
              <w:t>100</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98"/>
              <w:jc w:val="right"/>
              <w:rPr>
                <w:rFonts w:ascii="宋体" w:hAnsi="宋体" w:cs="宋体" w:eastAsia="宋体" w:hint="default"/>
                <w:sz w:val="20"/>
                <w:szCs w:val="20"/>
              </w:rPr>
            </w:pPr>
            <w:r>
              <w:rPr>
                <w:rFonts w:ascii="宋体"/>
                <w:sz w:val="20"/>
              </w:rPr>
              <w:t>13.4</w:t>
            </w:r>
          </w:p>
        </w:tc>
        <w:tc>
          <w:tcPr>
            <w:tcW w:w="977" w:type="dxa"/>
            <w:tcBorders>
              <w:top w:val="single" w:sz="4" w:space="0" w:color="000000"/>
              <w:left w:val="single" w:sz="4" w:space="0" w:color="000000"/>
              <w:bottom w:val="single" w:sz="4" w:space="0" w:color="000000"/>
              <w:right w:val="single" w:sz="4" w:space="0" w:color="000000"/>
            </w:tcBorders>
          </w:tcPr>
          <w:p>
            <w:pPr/>
          </w:p>
        </w:tc>
      </w:tr>
      <w:tr>
        <w:trPr>
          <w:trHeight w:val="269" w:hRule="exact"/>
        </w:trPr>
        <w:tc>
          <w:tcPr>
            <w:tcW w:w="1128"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683"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
        </w:tc>
        <w:tc>
          <w:tcPr>
            <w:tcW w:w="1054"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r>
      <w:tr>
        <w:trPr>
          <w:trHeight w:val="269" w:hRule="exact"/>
        </w:trPr>
        <w:tc>
          <w:tcPr>
            <w:tcW w:w="9626" w:type="dxa"/>
            <w:gridSpan w:val="8"/>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28" w:right="0"/>
              <w:jc w:val="center"/>
              <w:rPr>
                <w:rFonts w:ascii="宋体" w:hAnsi="宋体" w:cs="宋体" w:eastAsia="宋体" w:hint="default"/>
                <w:sz w:val="20"/>
                <w:szCs w:val="20"/>
              </w:rPr>
            </w:pPr>
            <w:r>
              <w:rPr>
                <w:rFonts w:ascii="宋体" w:hAnsi="宋体" w:cs="宋体" w:eastAsia="宋体" w:hint="default"/>
                <w:sz w:val="20"/>
                <w:szCs w:val="20"/>
              </w:rPr>
              <w:t>分产品情况</w:t>
            </w:r>
          </w:p>
        </w:tc>
      </w:tr>
      <w:tr>
        <w:trPr>
          <w:trHeight w:val="1049"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7"/>
                <w:szCs w:val="27"/>
              </w:rPr>
            </w:pPr>
          </w:p>
          <w:p>
            <w:pPr>
              <w:pStyle w:val="TableParagraph"/>
              <w:spacing w:line="240" w:lineRule="auto"/>
              <w:ind w:left="259" w:right="0"/>
              <w:jc w:val="left"/>
              <w:rPr>
                <w:rFonts w:ascii="宋体" w:hAnsi="宋体" w:cs="宋体" w:eastAsia="宋体" w:hint="default"/>
                <w:sz w:val="20"/>
                <w:szCs w:val="20"/>
              </w:rPr>
            </w:pPr>
            <w:r>
              <w:rPr>
                <w:rFonts w:ascii="宋体" w:hAnsi="宋体" w:cs="宋体" w:eastAsia="宋体" w:hint="default"/>
                <w:sz w:val="20"/>
                <w:szCs w:val="20"/>
              </w:rPr>
              <w:t>分产品</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60" w:lineRule="exact"/>
              <w:ind w:left="129" w:right="132"/>
              <w:jc w:val="left"/>
              <w:rPr>
                <w:rFonts w:ascii="宋体" w:hAnsi="宋体" w:cs="宋体" w:eastAsia="宋体" w:hint="default"/>
                <w:sz w:val="20"/>
                <w:szCs w:val="20"/>
              </w:rPr>
            </w:pPr>
            <w:r>
              <w:rPr>
                <w:rFonts w:ascii="宋体" w:hAnsi="宋体" w:cs="宋体" w:eastAsia="宋体" w:hint="default"/>
                <w:sz w:val="20"/>
                <w:szCs w:val="20"/>
              </w:rPr>
              <w:t>成本构</w:t>
            </w:r>
            <w:r>
              <w:rPr>
                <w:rFonts w:ascii="宋体" w:hAnsi="宋体" w:cs="宋体" w:eastAsia="宋体" w:hint="default"/>
                <w:w w:val="99"/>
                <w:sz w:val="20"/>
                <w:szCs w:val="20"/>
              </w:rPr>
              <w:t> </w:t>
            </w:r>
            <w:r>
              <w:rPr>
                <w:rFonts w:ascii="宋体" w:hAnsi="宋体" w:cs="宋体" w:eastAsia="宋体" w:hint="default"/>
                <w:sz w:val="20"/>
                <w:szCs w:val="20"/>
              </w:rPr>
              <w:t>成项目</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7"/>
                <w:szCs w:val="27"/>
              </w:rPr>
            </w:pPr>
          </w:p>
          <w:p>
            <w:pPr>
              <w:pStyle w:val="TableParagraph"/>
              <w:spacing w:line="240" w:lineRule="auto"/>
              <w:ind w:left="437" w:right="0"/>
              <w:jc w:val="left"/>
              <w:rPr>
                <w:rFonts w:ascii="宋体" w:hAnsi="宋体" w:cs="宋体" w:eastAsia="宋体" w:hint="default"/>
                <w:sz w:val="20"/>
                <w:szCs w:val="20"/>
              </w:rPr>
            </w:pPr>
            <w:r>
              <w:rPr>
                <w:rFonts w:ascii="宋体" w:hAnsi="宋体" w:cs="宋体" w:eastAsia="宋体" w:hint="default"/>
                <w:sz w:val="20"/>
                <w:szCs w:val="20"/>
              </w:rPr>
              <w:t>本期金额</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5"/>
              <w:ind w:left="168" w:right="171"/>
              <w:jc w:val="center"/>
              <w:rPr>
                <w:rFonts w:ascii="宋体" w:hAnsi="宋体" w:cs="宋体" w:eastAsia="宋体" w:hint="default"/>
                <w:sz w:val="20"/>
                <w:szCs w:val="20"/>
              </w:rPr>
            </w:pPr>
            <w:r>
              <w:rPr>
                <w:rFonts w:ascii="宋体" w:hAnsi="宋体" w:cs="宋体" w:eastAsia="宋体" w:hint="default"/>
                <w:sz w:val="20"/>
                <w:szCs w:val="20"/>
              </w:rPr>
              <w:t>本期占总</w:t>
            </w:r>
            <w:r>
              <w:rPr>
                <w:rFonts w:ascii="宋体" w:hAnsi="宋体" w:cs="宋体" w:eastAsia="宋体" w:hint="default"/>
                <w:w w:val="99"/>
                <w:sz w:val="20"/>
                <w:szCs w:val="20"/>
              </w:rPr>
              <w:t> </w:t>
            </w:r>
            <w:r>
              <w:rPr>
                <w:rFonts w:ascii="宋体" w:hAnsi="宋体" w:cs="宋体" w:eastAsia="宋体" w:hint="default"/>
                <w:sz w:val="20"/>
                <w:szCs w:val="20"/>
              </w:rPr>
              <w:t>成本比例</w:t>
            </w:r>
            <w:r>
              <w:rPr>
                <w:rFonts w:ascii="宋体" w:hAnsi="宋体" w:cs="宋体" w:eastAsia="宋体" w:hint="default"/>
                <w:w w:val="99"/>
                <w:sz w:val="20"/>
                <w:szCs w:val="20"/>
              </w:rPr>
              <w:t> </w:t>
            </w:r>
            <w:r>
              <w:rPr>
                <w:rFonts w:ascii="宋体" w:hAnsi="宋体" w:cs="宋体" w:eastAsia="宋体" w:hint="default"/>
                <w:sz w:val="20"/>
                <w:szCs w:val="20"/>
              </w:rPr>
              <w:t>(%)</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7"/>
                <w:szCs w:val="27"/>
              </w:rPr>
            </w:pPr>
          </w:p>
          <w:p>
            <w:pPr>
              <w:pStyle w:val="TableParagraph"/>
              <w:spacing w:line="240" w:lineRule="auto"/>
              <w:ind w:left="237" w:right="0"/>
              <w:jc w:val="left"/>
              <w:rPr>
                <w:rFonts w:ascii="宋体" w:hAnsi="宋体" w:cs="宋体" w:eastAsia="宋体" w:hint="default"/>
                <w:sz w:val="20"/>
                <w:szCs w:val="20"/>
              </w:rPr>
            </w:pPr>
            <w:r>
              <w:rPr>
                <w:rFonts w:ascii="宋体" w:hAnsi="宋体" w:cs="宋体" w:eastAsia="宋体" w:hint="default"/>
                <w:sz w:val="20"/>
                <w:szCs w:val="20"/>
              </w:rPr>
              <w:t>上年同期金额</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5"/>
              <w:ind w:left="134" w:right="135"/>
              <w:jc w:val="both"/>
              <w:rPr>
                <w:rFonts w:ascii="宋体" w:hAnsi="宋体" w:cs="宋体" w:eastAsia="宋体" w:hint="default"/>
                <w:sz w:val="20"/>
                <w:szCs w:val="20"/>
              </w:rPr>
            </w:pPr>
            <w:r>
              <w:rPr>
                <w:rFonts w:ascii="宋体" w:hAnsi="宋体" w:cs="宋体" w:eastAsia="宋体" w:hint="default"/>
                <w:sz w:val="20"/>
                <w:szCs w:val="20"/>
              </w:rPr>
              <w:t>上年同期</w:t>
            </w:r>
            <w:r>
              <w:rPr>
                <w:rFonts w:ascii="宋体" w:hAnsi="宋体" w:cs="宋体" w:eastAsia="宋体" w:hint="default"/>
                <w:w w:val="99"/>
                <w:sz w:val="20"/>
                <w:szCs w:val="20"/>
              </w:rPr>
              <w:t> </w:t>
            </w:r>
            <w:r>
              <w:rPr>
                <w:rFonts w:ascii="宋体" w:hAnsi="宋体" w:cs="宋体" w:eastAsia="宋体" w:hint="default"/>
                <w:sz w:val="20"/>
                <w:szCs w:val="20"/>
              </w:rPr>
              <w:t>占总成本</w:t>
            </w:r>
            <w:r>
              <w:rPr>
                <w:rFonts w:ascii="宋体" w:hAnsi="宋体" w:cs="宋体" w:eastAsia="宋体" w:hint="default"/>
                <w:w w:val="99"/>
                <w:sz w:val="20"/>
                <w:szCs w:val="20"/>
              </w:rPr>
              <w:t> </w:t>
            </w:r>
            <w:r>
              <w:rPr>
                <w:rFonts w:ascii="宋体" w:hAnsi="宋体" w:cs="宋体" w:eastAsia="宋体" w:hint="default"/>
                <w:sz w:val="20"/>
                <w:szCs w:val="20"/>
              </w:rPr>
              <w:t>比例</w:t>
            </w:r>
            <w:r>
              <w:rPr>
                <w:rFonts w:ascii="宋体" w:hAnsi="宋体" w:cs="宋体" w:eastAsia="宋体" w:hint="default"/>
                <w:sz w:val="20"/>
                <w:szCs w:val="20"/>
              </w:rPr>
              <w:t>(%)</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sz w:val="20"/>
                <w:szCs w:val="20"/>
              </w:rPr>
              <w:t>本期金额</w:t>
            </w:r>
          </w:p>
          <w:p>
            <w:pPr>
              <w:pStyle w:val="TableParagraph"/>
              <w:spacing w:line="260" w:lineRule="exact" w:before="24"/>
              <w:ind w:left="122" w:right="122"/>
              <w:jc w:val="center"/>
              <w:rPr>
                <w:rFonts w:ascii="宋体" w:hAnsi="宋体" w:cs="宋体" w:eastAsia="宋体" w:hint="default"/>
                <w:sz w:val="20"/>
                <w:szCs w:val="20"/>
              </w:rPr>
            </w:pPr>
            <w:r>
              <w:rPr>
                <w:rFonts w:ascii="宋体" w:hAnsi="宋体" w:cs="宋体" w:eastAsia="宋体" w:hint="default"/>
                <w:sz w:val="20"/>
                <w:szCs w:val="20"/>
              </w:rPr>
              <w:t>较上年同</w:t>
            </w:r>
            <w:r>
              <w:rPr>
                <w:rFonts w:ascii="宋体" w:hAnsi="宋体" w:cs="宋体" w:eastAsia="宋体" w:hint="default"/>
                <w:w w:val="99"/>
                <w:sz w:val="20"/>
                <w:szCs w:val="20"/>
              </w:rPr>
              <w:t> </w:t>
            </w:r>
            <w:r>
              <w:rPr>
                <w:rFonts w:ascii="宋体" w:hAnsi="宋体" w:cs="宋体" w:eastAsia="宋体" w:hint="default"/>
                <w:sz w:val="20"/>
                <w:szCs w:val="20"/>
              </w:rPr>
              <w:t>期变动比</w:t>
            </w:r>
            <w:r>
              <w:rPr>
                <w:rFonts w:ascii="宋体" w:hAnsi="宋体" w:cs="宋体" w:eastAsia="宋体" w:hint="default"/>
                <w:w w:val="99"/>
                <w:sz w:val="20"/>
                <w:szCs w:val="20"/>
              </w:rPr>
              <w:t> </w:t>
            </w:r>
            <w:r>
              <w:rPr>
                <w:rFonts w:ascii="宋体" w:hAnsi="宋体" w:cs="宋体" w:eastAsia="宋体" w:hint="default"/>
                <w:sz w:val="20"/>
                <w:szCs w:val="20"/>
              </w:rPr>
              <w:t>例</w:t>
            </w:r>
            <w:r>
              <w:rPr>
                <w:rFonts w:ascii="宋体" w:hAnsi="宋体" w:cs="宋体" w:eastAsia="宋体" w:hint="default"/>
                <w:sz w:val="20"/>
                <w:szCs w:val="20"/>
              </w:rPr>
              <w:t>(%)</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60" w:lineRule="exact"/>
              <w:ind w:left="283" w:right="283"/>
              <w:jc w:val="left"/>
              <w:rPr>
                <w:rFonts w:ascii="宋体" w:hAnsi="宋体" w:cs="宋体" w:eastAsia="宋体" w:hint="default"/>
                <w:sz w:val="20"/>
                <w:szCs w:val="20"/>
              </w:rPr>
            </w:pPr>
            <w:r>
              <w:rPr>
                <w:rFonts w:ascii="宋体" w:hAnsi="宋体" w:cs="宋体" w:eastAsia="宋体" w:hint="default"/>
                <w:sz w:val="20"/>
                <w:szCs w:val="20"/>
              </w:rPr>
              <w:t>情况</w:t>
            </w:r>
            <w:r>
              <w:rPr>
                <w:rFonts w:ascii="宋体" w:hAnsi="宋体" w:cs="宋体" w:eastAsia="宋体" w:hint="default"/>
                <w:w w:val="99"/>
                <w:sz w:val="20"/>
                <w:szCs w:val="20"/>
              </w:rPr>
              <w:t> </w:t>
            </w:r>
            <w:r>
              <w:rPr>
                <w:rFonts w:ascii="宋体" w:hAnsi="宋体" w:cs="宋体" w:eastAsia="宋体" w:hint="default"/>
                <w:sz w:val="20"/>
                <w:szCs w:val="20"/>
              </w:rPr>
              <w:t>说明</w:t>
            </w:r>
          </w:p>
        </w:tc>
      </w:tr>
      <w:tr>
        <w:trPr>
          <w:trHeight w:val="269"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z w:val="20"/>
                <w:szCs w:val="20"/>
              </w:rPr>
              <w:t>软件产品</w:t>
            </w:r>
          </w:p>
        </w:tc>
        <w:tc>
          <w:tcPr>
            <w:tcW w:w="871" w:type="dxa"/>
            <w:tcBorders>
              <w:top w:val="single" w:sz="4" w:space="0" w:color="000000"/>
              <w:left w:val="single" w:sz="4" w:space="0" w:color="000000"/>
              <w:bottom w:val="single" w:sz="4" w:space="0" w:color="000000"/>
              <w:right w:val="single" w:sz="4" w:space="0" w:color="000000"/>
            </w:tcBorders>
          </w:tcPr>
          <w:p>
            <w:pP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w w:val="95"/>
                <w:sz w:val="20"/>
              </w:rPr>
              <w:t>41,734,791</w:t>
            </w:r>
            <w:r>
              <w:rPr>
                <w:rFonts w:ascii="宋体"/>
                <w:sz w:val="20"/>
              </w:rPr>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99"/>
              <w:jc w:val="right"/>
              <w:rPr>
                <w:rFonts w:ascii="宋体" w:hAnsi="宋体" w:cs="宋体" w:eastAsia="宋体" w:hint="default"/>
                <w:sz w:val="20"/>
                <w:szCs w:val="20"/>
              </w:rPr>
            </w:pPr>
            <w:r>
              <w:rPr>
                <w:rFonts w:ascii="宋体"/>
                <w:sz w:val="20"/>
              </w:rPr>
              <w:t>2.3</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w w:val="95"/>
                <w:sz w:val="20"/>
              </w:rPr>
              <w:t>39,799,387</w:t>
            </w:r>
            <w:r>
              <w:rPr>
                <w:rFonts w:ascii="宋体"/>
                <w:sz w:val="20"/>
              </w:rPr>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99"/>
              <w:jc w:val="right"/>
              <w:rPr>
                <w:rFonts w:ascii="宋体" w:hAnsi="宋体" w:cs="宋体" w:eastAsia="宋体" w:hint="default"/>
                <w:sz w:val="20"/>
                <w:szCs w:val="20"/>
              </w:rPr>
            </w:pPr>
            <w:r>
              <w:rPr>
                <w:rFonts w:ascii="宋体"/>
                <w:sz w:val="20"/>
              </w:rPr>
              <w:t>2.5</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98"/>
              <w:jc w:val="right"/>
              <w:rPr>
                <w:rFonts w:ascii="宋体" w:hAnsi="宋体" w:cs="宋体" w:eastAsia="宋体" w:hint="default"/>
                <w:sz w:val="20"/>
                <w:szCs w:val="20"/>
              </w:rPr>
            </w:pPr>
            <w:r>
              <w:rPr>
                <w:rFonts w:ascii="宋体"/>
                <w:sz w:val="20"/>
              </w:rPr>
              <w:t>4.9</w:t>
            </w:r>
          </w:p>
        </w:tc>
        <w:tc>
          <w:tcPr>
            <w:tcW w:w="977" w:type="dxa"/>
            <w:tcBorders>
              <w:top w:val="single" w:sz="4" w:space="0" w:color="000000"/>
              <w:left w:val="single" w:sz="4" w:space="0" w:color="000000"/>
              <w:bottom w:val="single" w:sz="4" w:space="0" w:color="000000"/>
              <w:right w:val="single" w:sz="4" w:space="0" w:color="000000"/>
            </w:tcBorders>
          </w:tcPr>
          <w:p>
            <w:pPr/>
          </w:p>
        </w:tc>
      </w:tr>
      <w:tr>
        <w:trPr>
          <w:trHeight w:val="528"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技术服务</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及培训</w:t>
            </w:r>
          </w:p>
        </w:tc>
        <w:tc>
          <w:tcPr>
            <w:tcW w:w="871" w:type="dxa"/>
            <w:tcBorders>
              <w:top w:val="single" w:sz="4" w:space="0" w:color="000000"/>
              <w:left w:val="single" w:sz="4" w:space="0" w:color="000000"/>
              <w:bottom w:val="single" w:sz="4" w:space="0" w:color="000000"/>
              <w:right w:val="single" w:sz="4" w:space="0" w:color="000000"/>
            </w:tcBorders>
          </w:tcPr>
          <w:p>
            <w:pP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w w:val="95"/>
                <w:sz w:val="20"/>
              </w:rPr>
              <w:t>1,657,311,564</w:t>
            </w:r>
            <w:r>
              <w:rPr>
                <w:rFonts w:ascii="宋体"/>
                <w:sz w:val="20"/>
              </w:rPr>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99"/>
              <w:jc w:val="right"/>
              <w:rPr>
                <w:rFonts w:ascii="宋体" w:hAnsi="宋体" w:cs="宋体" w:eastAsia="宋体" w:hint="default"/>
                <w:sz w:val="20"/>
                <w:szCs w:val="20"/>
              </w:rPr>
            </w:pPr>
            <w:r>
              <w:rPr>
                <w:rFonts w:ascii="宋体"/>
                <w:sz w:val="20"/>
              </w:rPr>
              <w:t>92.5</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w w:val="95"/>
                <w:sz w:val="20"/>
              </w:rPr>
              <w:t>1,467,077,667</w:t>
            </w:r>
            <w:r>
              <w:rPr>
                <w:rFonts w:ascii="宋体"/>
                <w:sz w:val="20"/>
              </w:rPr>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99"/>
              <w:jc w:val="right"/>
              <w:rPr>
                <w:rFonts w:ascii="宋体" w:hAnsi="宋体" w:cs="宋体" w:eastAsia="宋体" w:hint="default"/>
                <w:sz w:val="20"/>
                <w:szCs w:val="20"/>
              </w:rPr>
            </w:pPr>
            <w:r>
              <w:rPr>
                <w:rFonts w:ascii="宋体"/>
                <w:sz w:val="20"/>
              </w:rPr>
              <w:t>92.8</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98"/>
              <w:jc w:val="right"/>
              <w:rPr>
                <w:rFonts w:ascii="宋体" w:hAnsi="宋体" w:cs="宋体" w:eastAsia="宋体" w:hint="default"/>
                <w:sz w:val="20"/>
                <w:szCs w:val="20"/>
              </w:rPr>
            </w:pPr>
            <w:r>
              <w:rPr>
                <w:rFonts w:ascii="宋体"/>
                <w:sz w:val="20"/>
              </w:rPr>
              <w:t>13.0</w:t>
            </w:r>
          </w:p>
        </w:tc>
        <w:tc>
          <w:tcPr>
            <w:tcW w:w="977" w:type="dxa"/>
            <w:tcBorders>
              <w:top w:val="single" w:sz="4" w:space="0" w:color="000000"/>
              <w:left w:val="single" w:sz="4" w:space="0" w:color="000000"/>
              <w:bottom w:val="single" w:sz="4" w:space="0" w:color="000000"/>
              <w:right w:val="single" w:sz="4" w:space="0" w:color="000000"/>
            </w:tcBorders>
          </w:tcPr>
          <w:p>
            <w:pPr/>
          </w:p>
        </w:tc>
      </w:tr>
      <w:tr>
        <w:trPr>
          <w:trHeight w:val="272"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871" w:type="dxa"/>
            <w:tcBorders>
              <w:top w:val="single" w:sz="4" w:space="0" w:color="000000"/>
              <w:left w:val="single" w:sz="4" w:space="0" w:color="000000"/>
              <w:bottom w:val="single" w:sz="4" w:space="0" w:color="000000"/>
              <w:right w:val="single" w:sz="4" w:space="0" w:color="000000"/>
            </w:tcBorders>
          </w:tcPr>
          <w:p>
            <w:pP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98"/>
              <w:jc w:val="right"/>
              <w:rPr>
                <w:rFonts w:ascii="宋体" w:hAnsi="宋体" w:cs="宋体" w:eastAsia="宋体" w:hint="default"/>
                <w:sz w:val="20"/>
                <w:szCs w:val="20"/>
              </w:rPr>
            </w:pPr>
            <w:r>
              <w:rPr>
                <w:rFonts w:ascii="宋体"/>
                <w:sz w:val="20"/>
              </w:rPr>
              <w:t>93,566,933</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99"/>
              <w:jc w:val="right"/>
              <w:rPr>
                <w:rFonts w:ascii="宋体" w:hAnsi="宋体" w:cs="宋体" w:eastAsia="宋体" w:hint="default"/>
                <w:sz w:val="20"/>
                <w:szCs w:val="20"/>
              </w:rPr>
            </w:pPr>
            <w:r>
              <w:rPr>
                <w:rFonts w:ascii="宋体"/>
                <w:sz w:val="20"/>
              </w:rPr>
              <w:t>5.2</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20"/>
                <w:szCs w:val="20"/>
              </w:rPr>
            </w:pPr>
            <w:r>
              <w:rPr>
                <w:rFonts w:ascii="宋体"/>
                <w:w w:val="95"/>
                <w:sz w:val="20"/>
              </w:rPr>
              <w:t>74,178,296</w:t>
            </w:r>
            <w:r>
              <w:rPr>
                <w:rFonts w:ascii="宋体"/>
                <w:sz w:val="20"/>
              </w:rPr>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99"/>
              <w:jc w:val="right"/>
              <w:rPr>
                <w:rFonts w:ascii="宋体" w:hAnsi="宋体" w:cs="宋体" w:eastAsia="宋体" w:hint="default"/>
                <w:sz w:val="20"/>
                <w:szCs w:val="20"/>
              </w:rPr>
            </w:pPr>
            <w:r>
              <w:rPr>
                <w:rFonts w:ascii="宋体"/>
                <w:sz w:val="20"/>
              </w:rPr>
              <w:t>4.7</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98"/>
              <w:jc w:val="right"/>
              <w:rPr>
                <w:rFonts w:ascii="宋体" w:hAnsi="宋体" w:cs="宋体" w:eastAsia="宋体" w:hint="default"/>
                <w:sz w:val="20"/>
                <w:szCs w:val="20"/>
              </w:rPr>
            </w:pPr>
            <w:r>
              <w:rPr>
                <w:rFonts w:ascii="宋体"/>
                <w:sz w:val="20"/>
              </w:rPr>
              <w:t>26.1</w:t>
            </w:r>
          </w:p>
        </w:tc>
        <w:tc>
          <w:tcPr>
            <w:tcW w:w="977"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5"/>
        <w:rPr>
          <w:rFonts w:ascii="宋体" w:hAnsi="宋体" w:cs="宋体" w:eastAsia="宋体" w:hint="default"/>
          <w:sz w:val="15"/>
          <w:szCs w:val="15"/>
        </w:rPr>
      </w:pPr>
    </w:p>
    <w:p>
      <w:pPr>
        <w:pStyle w:val="BodyText"/>
        <w:spacing w:line="274" w:lineRule="exact" w:before="36"/>
        <w:ind w:right="852"/>
        <w:jc w:val="left"/>
      </w:pPr>
      <w:r>
        <w:rPr/>
        <w:t>成本分析其他情况说明</w:t>
      </w:r>
    </w:p>
    <w:p>
      <w:pPr>
        <w:pStyle w:val="BodyText"/>
        <w:spacing w:line="274" w:lineRule="exact"/>
        <w:ind w:right="852"/>
        <w:jc w:val="left"/>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right="852"/>
        <w:jc w:val="left"/>
        <w:rPr>
          <w:b w:val="0"/>
          <w:bCs w:val="0"/>
        </w:rPr>
      </w:pPr>
      <w:r>
        <w:rPr>
          <w:rFonts w:ascii="宋体" w:hAnsi="宋体" w:cs="宋体" w:eastAsia="宋体" w:hint="default"/>
        </w:rPr>
        <w:t>(4).</w:t>
      </w:r>
      <w:r>
        <w:rPr>
          <w:rFonts w:ascii="宋体" w:hAnsi="宋体" w:cs="宋体" w:eastAsia="宋体" w:hint="default"/>
          <w:spacing w:val="36"/>
        </w:rPr>
        <w:t> </w:t>
      </w:r>
      <w:r>
        <w:rPr/>
        <w:t>主要销售客户及主要供应商情况</w:t>
      </w:r>
      <w:r>
        <w:rPr>
          <w:b w:val="0"/>
          <w:bCs w:val="0"/>
        </w:rPr>
      </w:r>
    </w:p>
    <w:p>
      <w:pPr>
        <w:pStyle w:val="BodyText"/>
        <w:spacing w:line="274" w:lineRule="exact" w:before="56"/>
        <w:ind w:right="852"/>
        <w:jc w:val="left"/>
      </w:pPr>
      <w:r>
        <w:rPr/>
        <w:t>√适用</w:t>
      </w:r>
      <w:r>
        <w:rPr>
          <w:spacing w:val="-1"/>
        </w:rPr>
        <w:t> </w:t>
      </w:r>
      <w:r>
        <w:rPr/>
        <w:t>□不适用</w:t>
      </w:r>
    </w:p>
    <w:p>
      <w:pPr>
        <w:pStyle w:val="BodyText"/>
        <w:spacing w:line="272" w:lineRule="exact" w:before="27"/>
        <w:ind w:right="852" w:firstLine="419"/>
        <w:jc w:val="left"/>
      </w:pPr>
      <w:r>
        <w:rPr/>
        <w:t>前五名客户销售额</w:t>
      </w:r>
      <w:r>
        <w:rPr>
          <w:spacing w:val="-55"/>
        </w:rPr>
        <w:t> </w:t>
      </w:r>
      <w:r>
        <w:rPr>
          <w:rFonts w:ascii="宋体" w:hAnsi="宋体" w:cs="宋体" w:eastAsia="宋体" w:hint="default"/>
        </w:rPr>
        <w:t>10,084</w:t>
      </w:r>
      <w:r>
        <w:rPr>
          <w:rFonts w:ascii="宋体" w:hAnsi="宋体" w:cs="宋体" w:eastAsia="宋体" w:hint="default"/>
          <w:spacing w:val="-57"/>
        </w:rPr>
        <w:t> </w:t>
      </w:r>
      <w:r>
        <w:rPr/>
        <w:t>万元，占年度销售总额</w:t>
      </w:r>
      <w:r>
        <w:rPr>
          <w:spacing w:val="-56"/>
        </w:rPr>
        <w:t> </w:t>
      </w:r>
      <w:r>
        <w:rPr>
          <w:rFonts w:ascii="宋体" w:hAnsi="宋体" w:cs="宋体" w:eastAsia="宋体" w:hint="default"/>
        </w:rPr>
        <w:t>1.6%</w:t>
      </w:r>
      <w:r>
        <w:rPr/>
        <w:t>；其中前五名客户销售额中关联方销</w:t>
      </w:r>
      <w:r>
        <w:rPr>
          <w:w w:val="100"/>
        </w:rPr>
        <w:t> </w:t>
      </w:r>
      <w:r>
        <w:rPr/>
        <w:t>售额</w:t>
      </w:r>
      <w:r>
        <w:rPr>
          <w:spacing w:val="-52"/>
        </w:rPr>
        <w:t> </w:t>
      </w:r>
      <w:r>
        <w:rPr>
          <w:rFonts w:ascii="宋体" w:hAnsi="宋体" w:cs="宋体" w:eastAsia="宋体" w:hint="default"/>
        </w:rPr>
        <w:t>0</w:t>
      </w:r>
      <w:r>
        <w:rPr>
          <w:rFonts w:ascii="宋体" w:hAnsi="宋体" w:cs="宋体" w:eastAsia="宋体" w:hint="default"/>
          <w:spacing w:val="-54"/>
        </w:rPr>
        <w:t> </w:t>
      </w:r>
      <w:r>
        <w:rPr/>
        <w:t>万元，占年度销售总额</w:t>
      </w:r>
      <w:r>
        <w:rPr>
          <w:spacing w:val="-51"/>
        </w:rPr>
        <w:t> </w:t>
      </w:r>
      <w:r>
        <w:rPr>
          <w:rFonts w:ascii="宋体" w:hAnsi="宋体" w:cs="宋体" w:eastAsia="宋体" w:hint="default"/>
        </w:rPr>
        <w:t>0 %</w:t>
      </w:r>
      <w:r>
        <w:rPr/>
        <w:t>。</w:t>
      </w:r>
    </w:p>
    <w:p>
      <w:pPr>
        <w:pStyle w:val="BodyText"/>
        <w:spacing w:line="272" w:lineRule="exact" w:before="1"/>
        <w:ind w:right="205" w:firstLine="419"/>
        <w:jc w:val="left"/>
      </w:pPr>
      <w:r>
        <w:rPr/>
        <w:t>前五名供应商采购额</w:t>
      </w:r>
      <w:r>
        <w:rPr>
          <w:spacing w:val="-38"/>
        </w:rPr>
        <w:t> </w:t>
      </w:r>
      <w:r>
        <w:rPr>
          <w:rFonts w:ascii="宋体" w:hAnsi="宋体" w:cs="宋体" w:eastAsia="宋体" w:hint="default"/>
        </w:rPr>
        <w:t>7,353</w:t>
      </w:r>
      <w:r>
        <w:rPr>
          <w:rFonts w:ascii="宋体" w:hAnsi="宋体" w:cs="宋体" w:eastAsia="宋体" w:hint="default"/>
          <w:spacing w:val="-39"/>
        </w:rPr>
        <w:t> </w:t>
      </w:r>
      <w:r>
        <w:rPr>
          <w:spacing w:val="-4"/>
        </w:rPr>
        <w:t>万元，占年度采购总额</w:t>
      </w:r>
      <w:r>
        <w:rPr>
          <w:spacing w:val="-39"/>
        </w:rPr>
        <w:t> </w:t>
      </w:r>
      <w:r>
        <w:rPr>
          <w:rFonts w:ascii="宋体" w:hAnsi="宋体" w:cs="宋体" w:eastAsia="宋体" w:hint="default"/>
          <w:spacing w:val="-3"/>
        </w:rPr>
        <w:t>4.1%</w:t>
      </w:r>
      <w:r>
        <w:rPr>
          <w:spacing w:val="-3"/>
        </w:rPr>
        <w:t>；其中前五名供应商采购额中关联方</w:t>
      </w:r>
      <w:r>
        <w:rPr>
          <w:w w:val="100"/>
        </w:rPr>
        <w:t> </w:t>
      </w:r>
      <w:r>
        <w:rPr/>
        <w:t>采购额</w:t>
      </w:r>
      <w:r>
        <w:rPr>
          <w:spacing w:val="-54"/>
        </w:rPr>
        <w:t> </w:t>
      </w:r>
      <w:r>
        <w:rPr>
          <w:rFonts w:ascii="宋体" w:hAnsi="宋体" w:cs="宋体" w:eastAsia="宋体" w:hint="default"/>
        </w:rPr>
        <w:t>0</w:t>
      </w:r>
      <w:r>
        <w:rPr>
          <w:rFonts w:ascii="宋体" w:hAnsi="宋体" w:cs="宋体" w:eastAsia="宋体" w:hint="default"/>
          <w:spacing w:val="-54"/>
        </w:rPr>
        <w:t> </w:t>
      </w:r>
      <w:r>
        <w:rPr/>
        <w:t>万元，占年度采购总额</w:t>
      </w:r>
      <w:r>
        <w:rPr>
          <w:spacing w:val="-53"/>
        </w:rPr>
        <w:t> </w:t>
      </w:r>
      <w:r>
        <w:rPr>
          <w:rFonts w:ascii="宋体" w:hAnsi="宋体" w:cs="宋体" w:eastAsia="宋体" w:hint="default"/>
        </w:rPr>
        <w:t>0%</w:t>
      </w:r>
      <w:r>
        <w:rPr/>
        <w:t>。</w:t>
      </w:r>
    </w:p>
    <w:p>
      <w:pPr>
        <w:pStyle w:val="Heading3"/>
        <w:tabs>
          <w:tab w:pos="637" w:val="left" w:leader="none"/>
        </w:tabs>
        <w:spacing w:line="240" w:lineRule="auto" w:before="34"/>
        <w:ind w:right="852"/>
        <w:jc w:val="left"/>
        <w:rPr>
          <w:b w:val="0"/>
          <w:bCs w:val="0"/>
        </w:rPr>
      </w:pPr>
      <w:r>
        <w:rPr>
          <w:rFonts w:ascii="宋体" w:hAnsi="宋体" w:cs="宋体" w:eastAsia="宋体" w:hint="default"/>
          <w:w w:val="95"/>
        </w:rPr>
        <w:t>2.</w:t>
        <w:tab/>
      </w:r>
      <w:r>
        <w:rPr/>
        <w:t>费用</w:t>
      </w:r>
      <w:r>
        <w:rPr>
          <w:b w:val="0"/>
          <w:bCs w:val="0"/>
        </w:rPr>
      </w:r>
    </w:p>
    <w:p>
      <w:pPr>
        <w:pStyle w:val="BodyText"/>
        <w:spacing w:line="240" w:lineRule="auto" w:before="56"/>
        <w:ind w:right="852"/>
        <w:jc w:val="left"/>
      </w:pPr>
      <w:r>
        <w:rPr/>
        <w:t>√适用</w:t>
      </w:r>
      <w:r>
        <w:rPr>
          <w:spacing w:val="-1"/>
        </w:rPr>
        <w:t> </w:t>
      </w:r>
      <w:r>
        <w:rPr/>
        <w:t>□不适用</w:t>
      </w:r>
    </w:p>
    <w:p>
      <w:pPr>
        <w:spacing w:line="240" w:lineRule="auto" w:before="3"/>
        <w:rPr>
          <w:rFonts w:ascii="宋体" w:hAnsi="宋体" w:cs="宋体" w:eastAsia="宋体" w:hint="default"/>
          <w:sz w:val="23"/>
          <w:szCs w:val="23"/>
        </w:rPr>
      </w:pPr>
    </w:p>
    <w:tbl>
      <w:tblPr>
        <w:tblW w:w="0" w:type="auto"/>
        <w:jc w:val="left"/>
        <w:tblInd w:w="105" w:type="dxa"/>
        <w:tblLayout w:type="fixed"/>
        <w:tblCellMar>
          <w:top w:w="0" w:type="dxa"/>
          <w:left w:w="0" w:type="dxa"/>
          <w:bottom w:w="0" w:type="dxa"/>
          <w:right w:w="0" w:type="dxa"/>
        </w:tblCellMar>
        <w:tblLook w:val="01E0"/>
      </w:tblPr>
      <w:tblGrid>
        <w:gridCol w:w="2206"/>
        <w:gridCol w:w="2206"/>
        <w:gridCol w:w="2206"/>
        <w:gridCol w:w="2206"/>
      </w:tblGrid>
      <w:tr>
        <w:trPr>
          <w:trHeight w:val="283" w:hRule="exact"/>
        </w:trPr>
        <w:tc>
          <w:tcPr>
            <w:tcW w:w="2206" w:type="dxa"/>
            <w:tcBorders>
              <w:top w:val="single" w:sz="4" w:space="0" w:color="000000"/>
              <w:left w:val="single" w:sz="4" w:space="0" w:color="000000"/>
              <w:bottom w:val="single" w:sz="4" w:space="0" w:color="000000"/>
              <w:right w:val="single" w:sz="4" w:space="0" w:color="000000"/>
            </w:tcBorders>
          </w:tcPr>
          <w:p>
            <w:pP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本报告期</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上年同期</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变动比例（</w:t>
            </w:r>
            <w:r>
              <w:rPr>
                <w:rFonts w:ascii="宋体" w:hAnsi="宋体" w:cs="宋体" w:eastAsia="宋体" w:hint="default"/>
                <w:spacing w:val="2"/>
                <w:sz w:val="21"/>
                <w:szCs w:val="21"/>
              </w:rPr>
              <w:t> </w:t>
            </w:r>
            <w:r>
              <w:rPr>
                <w:rFonts w:ascii="宋体" w:hAnsi="宋体" w:cs="宋体" w:eastAsia="宋体" w:hint="default"/>
                <w:sz w:val="21"/>
                <w:szCs w:val="21"/>
              </w:rPr>
              <w:t>%</w:t>
            </w:r>
            <w:r>
              <w:rPr>
                <w:rFonts w:ascii="宋体" w:hAnsi="宋体" w:cs="宋体" w:eastAsia="宋体" w:hint="default"/>
                <w:sz w:val="21"/>
                <w:szCs w:val="21"/>
              </w:rPr>
              <w:t>）</w:t>
            </w:r>
          </w:p>
        </w:tc>
      </w:tr>
      <w:tr>
        <w:trPr>
          <w:trHeight w:val="281" w:hRule="exact"/>
        </w:trPr>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1,417,298,968</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1,313,070,973</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7.9</w:t>
            </w:r>
          </w:p>
        </w:tc>
      </w:tr>
      <w:tr>
        <w:trPr>
          <w:trHeight w:val="283" w:hRule="exact"/>
        </w:trPr>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2,334,184,078</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2,030,924,271</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14.9</w:t>
            </w:r>
          </w:p>
        </w:tc>
      </w:tr>
      <w:tr>
        <w:trPr>
          <w:trHeight w:val="283" w:hRule="exact"/>
        </w:trPr>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168,925,671</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76,147,791</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121.8</w:t>
            </w:r>
          </w:p>
        </w:tc>
      </w:tr>
    </w:tbl>
    <w:p>
      <w:pPr>
        <w:spacing w:line="240" w:lineRule="auto" w:before="12"/>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pgSz w:w="11910" w:h="16840"/>
          <w:pgMar w:header="855" w:footer="1195" w:top="1320" w:bottom="1380" w:left="1580" w:right="480"/>
        </w:sectPr>
      </w:pPr>
    </w:p>
    <w:p>
      <w:pPr>
        <w:pStyle w:val="Heading3"/>
        <w:tabs>
          <w:tab w:pos="637" w:val="left" w:leader="none"/>
        </w:tabs>
        <w:spacing w:line="290" w:lineRule="auto" w:before="36"/>
        <w:ind w:right="202"/>
        <w:jc w:val="left"/>
        <w:rPr>
          <w:b w:val="0"/>
          <w:bCs w:val="0"/>
        </w:rPr>
      </w:pPr>
      <w:r>
        <w:rPr>
          <w:rFonts w:ascii="宋体" w:hAnsi="宋体" w:cs="宋体" w:eastAsia="宋体" w:hint="default"/>
          <w:w w:val="95"/>
        </w:rPr>
        <w:t>3.</w:t>
        <w:tab/>
      </w:r>
      <w:r>
        <w:rPr/>
        <w:t>研发投入</w:t>
      </w:r>
      <w:r>
        <w:rPr>
          <w:w w:val="100"/>
        </w:rPr>
        <w:t> </w:t>
      </w:r>
      <w:r>
        <w:rPr/>
        <w:t>研发投入情况表</w:t>
      </w:r>
      <w:r>
        <w:rPr>
          <w:b w:val="0"/>
          <w:bCs w:val="0"/>
        </w:rPr>
      </w:r>
    </w:p>
    <w:p>
      <w:pPr>
        <w:pStyle w:val="BodyText"/>
        <w:tabs>
          <w:tab w:pos="1060" w:val="left" w:leader="none"/>
        </w:tabs>
        <w:spacing w:line="240" w:lineRule="auto" w:before="12"/>
        <w:ind w:right="-12"/>
        <w:jc w:val="left"/>
      </w:pPr>
      <w:r>
        <w:rPr>
          <w:spacing w:val="-1"/>
        </w:rPr>
        <w:t>√适用</w:t>
        <w:tab/>
      </w:r>
      <w:r>
        <w:rPr>
          <w:spacing w:val="-2"/>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BodyText"/>
        <w:spacing w:line="240" w:lineRule="auto"/>
        <w:ind w:right="0"/>
        <w:jc w:val="left"/>
      </w:pPr>
      <w:r>
        <w:rPr/>
        <w:t>单位：元</w:t>
      </w:r>
    </w:p>
    <w:p>
      <w:pPr>
        <w:spacing w:after="0" w:line="240" w:lineRule="auto"/>
        <w:jc w:val="left"/>
        <w:sectPr>
          <w:type w:val="continuous"/>
          <w:pgSz w:w="11910" w:h="16840"/>
          <w:pgMar w:top="1320" w:bottom="1380" w:left="1580" w:right="480"/>
          <w:cols w:num="2" w:equalWidth="0">
            <w:col w:w="1901" w:space="6093"/>
            <w:col w:w="1856"/>
          </w:cols>
        </w:sectPr>
      </w:pPr>
    </w:p>
    <w:p>
      <w:pPr>
        <w:spacing w:line="240" w:lineRule="auto" w:before="5"/>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701"/>
        <w:gridCol w:w="5123"/>
      </w:tblGrid>
      <w:tr>
        <w:trPr>
          <w:trHeight w:val="283"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本期费用化研发投入</w:t>
            </w:r>
          </w:p>
        </w:tc>
        <w:tc>
          <w:tcPr>
            <w:tcW w:w="51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1,109,753,538</w:t>
            </w:r>
          </w:p>
        </w:tc>
      </w:tr>
      <w:tr>
        <w:trPr>
          <w:trHeight w:val="28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本期资本化研发投入</w:t>
            </w:r>
          </w:p>
        </w:tc>
        <w:tc>
          <w:tcPr>
            <w:tcW w:w="51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187,568,625</w:t>
            </w:r>
          </w:p>
        </w:tc>
      </w:tr>
      <w:tr>
        <w:trPr>
          <w:trHeight w:val="283"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研发投入合计</w:t>
            </w:r>
          </w:p>
        </w:tc>
        <w:tc>
          <w:tcPr>
            <w:tcW w:w="512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1,297,322,163</w:t>
            </w:r>
          </w:p>
        </w:tc>
      </w:tr>
      <w:tr>
        <w:trPr>
          <w:trHeight w:val="283"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研发投入总额占营业收入比例（</w:t>
            </w:r>
            <w:r>
              <w:rPr>
                <w:rFonts w:ascii="宋体" w:hAnsi="宋体" w:cs="宋体" w:eastAsia="宋体" w:hint="default"/>
                <w:sz w:val="21"/>
                <w:szCs w:val="21"/>
              </w:rPr>
              <w:t>%</w:t>
            </w:r>
            <w:r>
              <w:rPr>
                <w:rFonts w:ascii="宋体" w:hAnsi="宋体" w:cs="宋体" w:eastAsia="宋体" w:hint="default"/>
                <w:sz w:val="21"/>
                <w:szCs w:val="21"/>
              </w:rPr>
              <w:t>）</w:t>
            </w:r>
          </w:p>
        </w:tc>
        <w:tc>
          <w:tcPr>
            <w:tcW w:w="51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20.5</w:t>
            </w:r>
          </w:p>
        </w:tc>
      </w:tr>
      <w:tr>
        <w:trPr>
          <w:trHeight w:val="28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公司研发人员的数量</w:t>
            </w:r>
          </w:p>
        </w:tc>
        <w:tc>
          <w:tcPr>
            <w:tcW w:w="51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4,995</w:t>
            </w:r>
          </w:p>
        </w:tc>
      </w:tr>
      <w:tr>
        <w:trPr>
          <w:trHeight w:val="283"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5"/>
              <w:jc w:val="left"/>
              <w:rPr>
                <w:rFonts w:ascii="宋体" w:hAnsi="宋体" w:cs="宋体" w:eastAsia="宋体" w:hint="default"/>
                <w:sz w:val="21"/>
                <w:szCs w:val="21"/>
              </w:rPr>
            </w:pPr>
            <w:r>
              <w:rPr>
                <w:rFonts w:ascii="宋体" w:hAnsi="宋体" w:cs="宋体" w:eastAsia="宋体" w:hint="default"/>
                <w:w w:val="100"/>
                <w:sz w:val="21"/>
                <w:szCs w:val="21"/>
              </w:rPr>
              <w:t>研发</w:t>
            </w:r>
            <w:r>
              <w:rPr>
                <w:rFonts w:ascii="宋体" w:hAnsi="宋体" w:cs="宋体" w:eastAsia="宋体" w:hint="default"/>
                <w:spacing w:val="-3"/>
                <w:w w:val="100"/>
                <w:sz w:val="21"/>
                <w:szCs w:val="21"/>
              </w:rPr>
              <w:t>人</w:t>
            </w:r>
            <w:r>
              <w:rPr>
                <w:rFonts w:ascii="宋体" w:hAnsi="宋体" w:cs="宋体" w:eastAsia="宋体" w:hint="default"/>
                <w:w w:val="100"/>
                <w:sz w:val="21"/>
                <w:szCs w:val="21"/>
              </w:rPr>
              <w:t>员</w:t>
            </w:r>
            <w:r>
              <w:rPr>
                <w:rFonts w:ascii="宋体" w:hAnsi="宋体" w:cs="宋体" w:eastAsia="宋体" w:hint="default"/>
                <w:spacing w:val="-3"/>
                <w:w w:val="100"/>
                <w:sz w:val="21"/>
                <w:szCs w:val="21"/>
              </w:rPr>
              <w:t>数</w:t>
            </w:r>
            <w:r>
              <w:rPr>
                <w:rFonts w:ascii="宋体" w:hAnsi="宋体" w:cs="宋体" w:eastAsia="宋体" w:hint="default"/>
                <w:w w:val="100"/>
                <w:sz w:val="21"/>
                <w:szCs w:val="21"/>
              </w:rPr>
              <w:t>量</w:t>
            </w:r>
            <w:r>
              <w:rPr>
                <w:rFonts w:ascii="宋体" w:hAnsi="宋体" w:cs="宋体" w:eastAsia="宋体" w:hint="default"/>
                <w:spacing w:val="-3"/>
                <w:w w:val="100"/>
                <w:sz w:val="21"/>
                <w:szCs w:val="21"/>
              </w:rPr>
              <w:t>占</w:t>
            </w:r>
            <w:r>
              <w:rPr>
                <w:rFonts w:ascii="宋体" w:hAnsi="宋体" w:cs="宋体" w:eastAsia="宋体" w:hint="default"/>
                <w:w w:val="100"/>
                <w:sz w:val="21"/>
                <w:szCs w:val="21"/>
              </w:rPr>
              <w:t>公</w:t>
            </w:r>
            <w:r>
              <w:rPr>
                <w:rFonts w:ascii="宋体" w:hAnsi="宋体" w:cs="宋体" w:eastAsia="宋体" w:hint="default"/>
                <w:spacing w:val="-3"/>
                <w:w w:val="100"/>
                <w:sz w:val="21"/>
                <w:szCs w:val="21"/>
              </w:rPr>
              <w:t>司</w:t>
            </w:r>
            <w:r>
              <w:rPr>
                <w:rFonts w:ascii="宋体" w:hAnsi="宋体" w:cs="宋体" w:eastAsia="宋体" w:hint="default"/>
                <w:w w:val="100"/>
                <w:sz w:val="21"/>
                <w:szCs w:val="21"/>
              </w:rPr>
              <w:t>总</w:t>
            </w:r>
            <w:r>
              <w:rPr>
                <w:rFonts w:ascii="宋体" w:hAnsi="宋体" w:cs="宋体" w:eastAsia="宋体" w:hint="default"/>
                <w:spacing w:val="-3"/>
                <w:w w:val="100"/>
                <w:sz w:val="21"/>
                <w:szCs w:val="21"/>
              </w:rPr>
              <w:t>人</w:t>
            </w:r>
            <w:r>
              <w:rPr>
                <w:rFonts w:ascii="宋体" w:hAnsi="宋体" w:cs="宋体" w:eastAsia="宋体" w:hint="default"/>
                <w:w w:val="100"/>
                <w:sz w:val="21"/>
                <w:szCs w:val="21"/>
              </w:rPr>
              <w:t>数的</w:t>
            </w:r>
            <w:r>
              <w:rPr>
                <w:rFonts w:ascii="宋体" w:hAnsi="宋体" w:cs="宋体" w:eastAsia="宋体" w:hint="default"/>
                <w:spacing w:val="-3"/>
                <w:w w:val="100"/>
                <w:sz w:val="21"/>
                <w:szCs w:val="21"/>
              </w:rPr>
              <w:t>比</w:t>
            </w:r>
            <w:r>
              <w:rPr>
                <w:rFonts w:ascii="宋体" w:hAnsi="宋体" w:cs="宋体" w:eastAsia="宋体" w:hint="default"/>
                <w:spacing w:val="-87"/>
                <w:w w:val="100"/>
                <w:sz w:val="21"/>
                <w:szCs w:val="21"/>
              </w:rPr>
              <w:t>例</w:t>
            </w:r>
            <w:r>
              <w:rPr>
                <w:rFonts w:ascii="宋体" w:hAnsi="宋体" w:cs="宋体" w:eastAsia="宋体" w:hint="default"/>
                <w:spacing w:val="-3"/>
                <w:w w:val="100"/>
                <w:sz w:val="21"/>
                <w:szCs w:val="21"/>
              </w:rPr>
              <w:t>（</w:t>
            </w:r>
            <w:r>
              <w:rPr>
                <w:rFonts w:ascii="宋体" w:hAnsi="宋体" w:cs="宋体" w:eastAsia="宋体" w:hint="default"/>
                <w:w w:val="100"/>
                <w:sz w:val="21"/>
                <w:szCs w:val="21"/>
              </w:rPr>
              <w:t>%</w:t>
            </w:r>
            <w:r>
              <w:rPr>
                <w:rFonts w:ascii="宋体" w:hAnsi="宋体" w:cs="宋体" w:eastAsia="宋体" w:hint="default"/>
                <w:w w:val="100"/>
                <w:sz w:val="21"/>
                <w:szCs w:val="21"/>
              </w:rPr>
              <w:t>）</w:t>
            </w:r>
          </w:p>
        </w:tc>
        <w:tc>
          <w:tcPr>
            <w:tcW w:w="512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32.87%</w:t>
            </w:r>
          </w:p>
        </w:tc>
      </w:tr>
      <w:tr>
        <w:trPr>
          <w:trHeight w:val="283"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研发投入资本化的比重（</w:t>
            </w:r>
            <w:r>
              <w:rPr>
                <w:rFonts w:ascii="宋体" w:hAnsi="宋体" w:cs="宋体" w:eastAsia="宋体" w:hint="default"/>
                <w:sz w:val="21"/>
                <w:szCs w:val="21"/>
              </w:rPr>
              <w:t>%</w:t>
            </w:r>
            <w:r>
              <w:rPr>
                <w:rFonts w:ascii="宋体" w:hAnsi="宋体" w:cs="宋体" w:eastAsia="宋体" w:hint="default"/>
                <w:sz w:val="21"/>
                <w:szCs w:val="21"/>
              </w:rPr>
              <w:t>）</w:t>
            </w:r>
          </w:p>
        </w:tc>
        <w:tc>
          <w:tcPr>
            <w:tcW w:w="51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14.5</w:t>
            </w:r>
          </w:p>
        </w:tc>
      </w:tr>
    </w:tbl>
    <w:p>
      <w:pPr>
        <w:spacing w:line="240" w:lineRule="auto" w:before="12"/>
        <w:rPr>
          <w:rFonts w:ascii="宋体" w:hAnsi="宋体" w:cs="宋体" w:eastAsia="宋体" w:hint="default"/>
          <w:sz w:val="19"/>
          <w:szCs w:val="19"/>
        </w:rPr>
      </w:pPr>
    </w:p>
    <w:p>
      <w:pPr>
        <w:pStyle w:val="Heading3"/>
        <w:spacing w:line="240" w:lineRule="auto" w:before="36"/>
        <w:ind w:right="0"/>
        <w:jc w:val="both"/>
        <w:rPr>
          <w:b w:val="0"/>
          <w:bCs w:val="0"/>
        </w:rPr>
      </w:pPr>
      <w:r>
        <w:rPr/>
        <w:t>情况说明</w:t>
      </w:r>
      <w:r>
        <w:rPr>
          <w:b w:val="0"/>
          <w:bCs w:val="0"/>
        </w:rPr>
      </w:r>
    </w:p>
    <w:p>
      <w:pPr>
        <w:pStyle w:val="BodyText"/>
        <w:spacing w:line="240" w:lineRule="auto" w:before="58"/>
        <w:ind w:right="0"/>
        <w:jc w:val="both"/>
      </w:pPr>
      <w:r>
        <w:rPr/>
        <w:t>√适用</w:t>
      </w:r>
      <w:r>
        <w:rPr>
          <w:spacing w:val="-1"/>
        </w:rPr>
        <w:t> </w:t>
      </w:r>
      <w:r>
        <w:rPr/>
        <w:t>□不适用</w:t>
      </w:r>
    </w:p>
    <w:p>
      <w:pPr>
        <w:pStyle w:val="BodyText"/>
        <w:spacing w:line="237" w:lineRule="auto" w:before="59"/>
        <w:ind w:right="788"/>
        <w:jc w:val="both"/>
      </w:pPr>
      <w:r>
        <w:rPr>
          <w:spacing w:val="2"/>
        </w:rPr>
        <w:t>报告期内，公司继续加大对云服务和金融服务的研发投入，整体研发支出较</w:t>
      </w:r>
      <w:r>
        <w:rPr>
          <w:spacing w:val="53"/>
        </w:rPr>
        <w:t> </w:t>
      </w:r>
      <w:r>
        <w:rPr>
          <w:rFonts w:ascii="宋体" w:hAnsi="宋体" w:cs="宋体" w:eastAsia="宋体" w:hint="default"/>
        </w:rPr>
        <w:t>2016</w:t>
      </w:r>
      <w:r>
        <w:rPr>
          <w:rFonts w:ascii="宋体" w:hAnsi="宋体" w:cs="宋体" w:eastAsia="宋体" w:hint="default"/>
          <w:spacing w:val="51"/>
        </w:rPr>
        <w:t> </w:t>
      </w:r>
      <w:r>
        <w:rPr>
          <w:spacing w:val="2"/>
        </w:rPr>
        <w:t>年度增长了</w:t>
      </w:r>
      <w:r>
        <w:rPr>
          <w:spacing w:val="-90"/>
        </w:rPr>
        <w:t> </w:t>
      </w:r>
      <w:r>
        <w:rPr>
          <w:spacing w:val="-90"/>
        </w:rPr>
      </w:r>
      <w:r>
        <w:rPr>
          <w:rFonts w:ascii="宋体" w:hAnsi="宋体" w:cs="宋体" w:eastAsia="宋体" w:hint="default"/>
          <w:spacing w:val="-4"/>
          <w:w w:val="100"/>
        </w:rPr>
        <w:t>21.0%</w:t>
      </w:r>
      <w:r>
        <w:rPr>
          <w:spacing w:val="-4"/>
          <w:w w:val="100"/>
        </w:rPr>
        <w:t>。公司对符合资本化条件在中长期产生效益的全新形态的产品与技术研发项目进行了研发支</w:t>
      </w:r>
      <w:r>
        <w:rPr>
          <w:spacing w:val="-78"/>
          <w:w w:val="100"/>
        </w:rPr>
        <w:t> </w:t>
      </w:r>
      <w:r>
        <w:rPr>
          <w:spacing w:val="-78"/>
          <w:w w:val="100"/>
        </w:rPr>
      </w:r>
      <w:r>
        <w:rPr/>
        <w:t>出资本化，资本化研发支出金额占当期研发总支出的</w:t>
      </w:r>
      <w:r>
        <w:rPr>
          <w:spacing w:val="-3"/>
        </w:rPr>
        <w:t> </w:t>
      </w:r>
      <w:r>
        <w:rPr>
          <w:rFonts w:ascii="宋体" w:hAnsi="宋体" w:cs="宋体" w:eastAsia="宋体" w:hint="default"/>
        </w:rPr>
        <w:t>14.5%</w:t>
      </w:r>
      <w:r>
        <w:rPr/>
        <w:t>。</w:t>
      </w:r>
    </w:p>
    <w:p>
      <w:pPr>
        <w:spacing w:after="0" w:line="237" w:lineRule="auto"/>
        <w:jc w:val="both"/>
        <w:sectPr>
          <w:type w:val="continuous"/>
          <w:pgSz w:w="11910" w:h="16840"/>
          <w:pgMar w:top="1320" w:bottom="1380" w:left="1580" w:right="48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pStyle w:val="Heading3"/>
        <w:tabs>
          <w:tab w:pos="637" w:val="left" w:leader="none"/>
        </w:tabs>
        <w:spacing w:line="240" w:lineRule="auto" w:before="36"/>
        <w:ind w:right="0"/>
        <w:jc w:val="left"/>
        <w:rPr>
          <w:b w:val="0"/>
          <w:bCs w:val="0"/>
        </w:rPr>
      </w:pPr>
      <w:r>
        <w:rPr>
          <w:rFonts w:ascii="宋体" w:hAnsi="宋体" w:cs="宋体" w:eastAsia="宋体" w:hint="default"/>
          <w:w w:val="95"/>
        </w:rPr>
        <w:t>4.</w:t>
        <w:tab/>
      </w:r>
      <w:r>
        <w:rPr/>
        <w:t>现金流</w:t>
      </w:r>
      <w:r>
        <w:rPr>
          <w:b w:val="0"/>
          <w:bCs w:val="0"/>
        </w:rPr>
      </w:r>
    </w:p>
    <w:p>
      <w:pPr>
        <w:pStyle w:val="BodyText"/>
        <w:spacing w:line="240" w:lineRule="auto" w:before="56"/>
        <w:ind w:right="0"/>
        <w:jc w:val="left"/>
      </w:pPr>
      <w:r>
        <w:rPr/>
        <w:t>√适用</w:t>
      </w:r>
      <w:r>
        <w:rPr>
          <w:spacing w:val="-1"/>
        </w:rPr>
        <w:t> </w:t>
      </w:r>
      <w:r>
        <w:rPr/>
        <w:t>□不适用</w:t>
      </w:r>
    </w:p>
    <w:p>
      <w:pPr>
        <w:spacing w:line="240" w:lineRule="auto" w:before="3"/>
        <w:rPr>
          <w:rFonts w:ascii="宋体" w:hAnsi="宋体" w:cs="宋体" w:eastAsia="宋体" w:hint="default"/>
          <w:sz w:val="23"/>
          <w:szCs w:val="23"/>
        </w:rPr>
      </w:pPr>
    </w:p>
    <w:tbl>
      <w:tblPr>
        <w:tblW w:w="0" w:type="auto"/>
        <w:jc w:val="left"/>
        <w:tblInd w:w="105" w:type="dxa"/>
        <w:tblLayout w:type="fixed"/>
        <w:tblCellMar>
          <w:top w:w="0" w:type="dxa"/>
          <w:left w:w="0" w:type="dxa"/>
          <w:bottom w:w="0" w:type="dxa"/>
          <w:right w:w="0" w:type="dxa"/>
        </w:tblCellMar>
        <w:tblLook w:val="01E0"/>
      </w:tblPr>
      <w:tblGrid>
        <w:gridCol w:w="2206"/>
        <w:gridCol w:w="2206"/>
        <w:gridCol w:w="2206"/>
        <w:gridCol w:w="2206"/>
      </w:tblGrid>
      <w:tr>
        <w:trPr>
          <w:trHeight w:val="283" w:hRule="exact"/>
        </w:trPr>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科目</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本期数</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上年同期数</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变动比例（</w:t>
            </w:r>
            <w:r>
              <w:rPr>
                <w:rFonts w:ascii="宋体" w:hAnsi="宋体" w:cs="宋体" w:eastAsia="宋体" w:hint="default"/>
                <w:spacing w:val="2"/>
                <w:sz w:val="21"/>
                <w:szCs w:val="21"/>
              </w:rPr>
              <w:t> </w:t>
            </w:r>
            <w:r>
              <w:rPr>
                <w:rFonts w:ascii="宋体" w:hAnsi="宋体" w:cs="宋体" w:eastAsia="宋体" w:hint="default"/>
                <w:sz w:val="21"/>
                <w:szCs w:val="21"/>
              </w:rPr>
              <w:t>%</w:t>
            </w:r>
            <w:r>
              <w:rPr>
                <w:rFonts w:ascii="宋体" w:hAnsi="宋体" w:cs="宋体" w:eastAsia="宋体" w:hint="default"/>
                <w:sz w:val="21"/>
                <w:szCs w:val="21"/>
              </w:rPr>
              <w:t>）</w:t>
            </w:r>
          </w:p>
        </w:tc>
      </w:tr>
      <w:tr>
        <w:trPr>
          <w:trHeight w:val="554" w:hRule="exact"/>
        </w:trPr>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8"/>
                <w:sz w:val="21"/>
                <w:szCs w:val="21"/>
              </w:rPr>
              <w:t>经营活动产生的现金</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流量净额</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pacing w:val="-1"/>
                <w:sz w:val="21"/>
              </w:rPr>
              <w:t>1,430,325,852</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pacing w:val="-1"/>
                <w:sz w:val="21"/>
              </w:rPr>
              <w:t>887,081,189</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z w:val="21"/>
              </w:rPr>
              <w:t>61.2</w:t>
            </w:r>
          </w:p>
        </w:tc>
      </w:tr>
      <w:tr>
        <w:trPr>
          <w:trHeight w:val="554" w:hRule="exact"/>
        </w:trPr>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8"/>
                <w:sz w:val="21"/>
                <w:szCs w:val="21"/>
              </w:rPr>
              <w:t>投资活动产生的现金</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流量净额</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pacing w:val="-1"/>
                <w:sz w:val="21"/>
              </w:rPr>
              <w:t>-2,740,368,151</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pacing w:val="-1"/>
                <w:sz w:val="21"/>
              </w:rPr>
              <w:t>-531,009,094</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hAnsi="宋体" w:cs="宋体" w:eastAsia="宋体" w:hint="default"/>
                <w:sz w:val="21"/>
                <w:szCs w:val="21"/>
              </w:rPr>
              <w:t>不适用</w:t>
            </w:r>
          </w:p>
        </w:tc>
      </w:tr>
      <w:tr>
        <w:trPr>
          <w:trHeight w:val="554" w:hRule="exact"/>
        </w:trPr>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8"/>
                <w:sz w:val="21"/>
                <w:szCs w:val="21"/>
              </w:rPr>
              <w:t>筹资活动产生的现金</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流量净额</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pacing w:val="-1"/>
                <w:sz w:val="21"/>
              </w:rPr>
              <w:t>569,348,811</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pacing w:val="-1"/>
                <w:sz w:val="21"/>
              </w:rPr>
              <w:t>-22,021,738</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hAnsi="宋体" w:cs="宋体" w:eastAsia="宋体" w:hint="default"/>
                <w:sz w:val="21"/>
                <w:szCs w:val="21"/>
              </w:rPr>
              <w:t>不适用</w:t>
            </w:r>
          </w:p>
        </w:tc>
      </w:tr>
    </w:tbl>
    <w:p>
      <w:pPr>
        <w:spacing w:line="240" w:lineRule="auto" w:before="2"/>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55" w:footer="1195" w:top="1320" w:bottom="1380" w:left="1580" w:right="1020"/>
        </w:sectPr>
      </w:pPr>
    </w:p>
    <w:p>
      <w:pPr>
        <w:pStyle w:val="Heading3"/>
        <w:tabs>
          <w:tab w:pos="1057" w:val="left" w:leader="none"/>
        </w:tabs>
        <w:spacing w:line="240" w:lineRule="auto" w:before="36"/>
        <w:ind w:right="-2"/>
        <w:jc w:val="left"/>
        <w:rPr>
          <w:b w:val="0"/>
          <w:bCs w:val="0"/>
        </w:rPr>
      </w:pPr>
      <w:r>
        <w:rPr>
          <w:rFonts w:ascii="宋体" w:hAnsi="宋体" w:cs="宋体" w:eastAsia="宋体" w:hint="default"/>
          <w:spacing w:val="-1"/>
        </w:rPr>
        <w:t>(</w:t>
      </w:r>
      <w:r>
        <w:rPr>
          <w:spacing w:val="-1"/>
        </w:rPr>
        <w:t>二</w:t>
      </w:r>
      <w:r>
        <w:rPr>
          <w:rFonts w:ascii="宋体" w:hAnsi="宋体" w:cs="宋体" w:eastAsia="宋体" w:hint="default"/>
          <w:spacing w:val="-1"/>
        </w:rPr>
        <w:t>)</w:t>
        <w:tab/>
      </w:r>
      <w:r>
        <w:rPr>
          <w:spacing w:val="-1"/>
        </w:rPr>
        <w:t>非主营业务导致利润重大变化的说明</w:t>
      </w:r>
      <w:r>
        <w:rPr>
          <w:b w:val="0"/>
          <w:bCs w:val="0"/>
          <w:spacing w:val="-1"/>
        </w:rPr>
      </w:r>
    </w:p>
    <w:p>
      <w:pPr>
        <w:pStyle w:val="BodyText"/>
        <w:spacing w:line="240" w:lineRule="auto" w:before="56"/>
        <w:ind w:right="-2"/>
        <w:jc w:val="left"/>
      </w:pPr>
      <w:r>
        <w:rPr/>
        <w:t>□适用</w:t>
      </w:r>
      <w:r>
        <w:rPr>
          <w:spacing w:val="-1"/>
        </w:rPr>
        <w:t> </w:t>
      </w:r>
      <w:r>
        <w:rPr/>
        <w:t>√不适用</w:t>
      </w:r>
    </w:p>
    <w:p>
      <w:pPr>
        <w:pStyle w:val="Heading3"/>
        <w:tabs>
          <w:tab w:pos="1057" w:val="left" w:leader="none"/>
        </w:tabs>
        <w:spacing w:line="240" w:lineRule="auto" w:before="58"/>
        <w:ind w:right="-2"/>
        <w:jc w:val="left"/>
        <w:rPr>
          <w:b w:val="0"/>
          <w:bCs w:val="0"/>
        </w:rPr>
      </w:pPr>
      <w:r>
        <w:rPr>
          <w:rFonts w:ascii="宋体" w:hAnsi="宋体" w:cs="宋体" w:eastAsia="宋体" w:hint="default"/>
          <w:spacing w:val="-1"/>
        </w:rPr>
        <w:t>(</w:t>
      </w:r>
      <w:r>
        <w:rPr>
          <w:spacing w:val="-1"/>
        </w:rPr>
        <w:t>三</w:t>
      </w:r>
      <w:r>
        <w:rPr>
          <w:rFonts w:ascii="宋体" w:hAnsi="宋体" w:cs="宋体" w:eastAsia="宋体" w:hint="default"/>
          <w:spacing w:val="-1"/>
        </w:rPr>
        <w:t>)</w:t>
        <w:tab/>
      </w:r>
      <w:r>
        <w:rPr/>
        <w:t>资产、负债情况分析</w:t>
      </w:r>
      <w:r>
        <w:rPr>
          <w:b w:val="0"/>
          <w:bCs w:val="0"/>
        </w:rPr>
      </w:r>
    </w:p>
    <w:p>
      <w:pPr>
        <w:pStyle w:val="BodyText"/>
        <w:tabs>
          <w:tab w:pos="1060" w:val="left" w:leader="none"/>
        </w:tabs>
        <w:spacing w:line="240" w:lineRule="auto" w:before="56"/>
        <w:ind w:right="-2"/>
        <w:jc w:val="left"/>
      </w:pPr>
      <w:r>
        <w:rPr>
          <w:spacing w:val="-1"/>
        </w:rPr>
        <w:t>√适用</w:t>
        <w:tab/>
      </w:r>
      <w:r>
        <w:rPr>
          <w:spacing w:val="-2"/>
        </w:rPr>
        <w:t>□不适用</w:t>
      </w:r>
    </w:p>
    <w:p>
      <w:pPr>
        <w:pStyle w:val="Heading3"/>
        <w:tabs>
          <w:tab w:pos="642" w:val="left" w:leader="none"/>
        </w:tabs>
        <w:spacing w:line="240" w:lineRule="auto" w:before="58"/>
        <w:ind w:right="-2"/>
        <w:jc w:val="left"/>
        <w:rPr>
          <w:b w:val="0"/>
          <w:bCs w:val="0"/>
        </w:rPr>
      </w:pPr>
      <w:r>
        <w:rPr>
          <w:rFonts w:ascii="宋体" w:hAnsi="宋体" w:cs="宋体" w:eastAsia="宋体" w:hint="default"/>
          <w:w w:val="95"/>
        </w:rPr>
        <w:t>1.</w:t>
        <w:tab/>
      </w:r>
      <w:r>
        <w:rPr/>
        <w:t>资产及负债状况</w:t>
      </w:r>
      <w:r>
        <w:rPr>
          <w:b w:val="0"/>
          <w:bCs w:val="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9"/>
          <w:szCs w:val="29"/>
        </w:rPr>
      </w:pPr>
    </w:p>
    <w:p>
      <w:pPr>
        <w:pStyle w:val="BodyText"/>
        <w:spacing w:line="240" w:lineRule="auto"/>
        <w:ind w:right="0"/>
        <w:jc w:val="left"/>
      </w:pPr>
      <w:r>
        <w:rPr/>
        <w:t>单位：元</w:t>
      </w:r>
    </w:p>
    <w:p>
      <w:pPr>
        <w:spacing w:after="0" w:line="240" w:lineRule="auto"/>
        <w:jc w:val="left"/>
        <w:sectPr>
          <w:type w:val="continuous"/>
          <w:pgSz w:w="11910" w:h="16840"/>
          <w:pgMar w:top="1320" w:bottom="1380" w:left="1580" w:right="1020"/>
          <w:cols w:num="2" w:equalWidth="0">
            <w:col w:w="4433" w:space="3560"/>
            <w:col w:w="1317"/>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128"/>
        <w:gridCol w:w="1520"/>
        <w:gridCol w:w="1034"/>
        <w:gridCol w:w="1702"/>
        <w:gridCol w:w="991"/>
        <w:gridCol w:w="992"/>
        <w:gridCol w:w="1702"/>
      </w:tblGrid>
      <w:tr>
        <w:trPr>
          <w:trHeight w:val="1565"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7"/>
                <w:szCs w:val="27"/>
              </w:rPr>
            </w:pPr>
          </w:p>
          <w:p>
            <w:pPr>
              <w:pStyle w:val="TableParagraph"/>
              <w:spacing w:line="240" w:lineRule="auto"/>
              <w:ind w:left="158" w:right="0"/>
              <w:jc w:val="left"/>
              <w:rPr>
                <w:rFonts w:ascii="宋体" w:hAnsi="宋体" w:cs="宋体" w:eastAsia="宋体" w:hint="default"/>
                <w:sz w:val="20"/>
                <w:szCs w:val="20"/>
              </w:rPr>
            </w:pPr>
            <w:r>
              <w:rPr>
                <w:rFonts w:ascii="宋体" w:hAnsi="宋体" w:cs="宋体" w:eastAsia="宋体" w:hint="default"/>
                <w:sz w:val="20"/>
                <w:szCs w:val="20"/>
              </w:rPr>
              <w:t>项目名称</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7"/>
                <w:szCs w:val="27"/>
              </w:rPr>
            </w:pPr>
          </w:p>
          <w:p>
            <w:pPr>
              <w:pStyle w:val="TableParagraph"/>
              <w:spacing w:line="240" w:lineRule="auto"/>
              <w:ind w:left="252" w:right="0"/>
              <w:jc w:val="left"/>
              <w:rPr>
                <w:rFonts w:ascii="宋体" w:hAnsi="宋体" w:cs="宋体" w:eastAsia="宋体" w:hint="default"/>
                <w:sz w:val="20"/>
                <w:szCs w:val="20"/>
              </w:rPr>
            </w:pPr>
            <w:r>
              <w:rPr>
                <w:rFonts w:ascii="宋体" w:hAnsi="宋体" w:cs="宋体" w:eastAsia="宋体" w:hint="default"/>
                <w:sz w:val="20"/>
                <w:szCs w:val="20"/>
              </w:rPr>
              <w:t>本期期末数</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60" w:lineRule="exact"/>
              <w:ind w:left="110" w:right="115"/>
              <w:jc w:val="both"/>
              <w:rPr>
                <w:rFonts w:ascii="宋体" w:hAnsi="宋体" w:cs="宋体" w:eastAsia="宋体" w:hint="default"/>
                <w:sz w:val="20"/>
                <w:szCs w:val="20"/>
              </w:rPr>
            </w:pPr>
            <w:r>
              <w:rPr>
                <w:rFonts w:ascii="宋体" w:hAnsi="宋体" w:cs="宋体" w:eastAsia="宋体" w:hint="default"/>
                <w:sz w:val="20"/>
                <w:szCs w:val="20"/>
              </w:rPr>
              <w:t>本期期末</w:t>
            </w:r>
            <w:r>
              <w:rPr>
                <w:rFonts w:ascii="宋体" w:hAnsi="宋体" w:cs="宋体" w:eastAsia="宋体" w:hint="default"/>
                <w:w w:val="99"/>
                <w:sz w:val="20"/>
                <w:szCs w:val="20"/>
              </w:rPr>
              <w:t> </w:t>
            </w:r>
            <w:r>
              <w:rPr>
                <w:rFonts w:ascii="宋体" w:hAnsi="宋体" w:cs="宋体" w:eastAsia="宋体" w:hint="default"/>
                <w:sz w:val="20"/>
                <w:szCs w:val="20"/>
              </w:rPr>
              <w:t>数占总资</w:t>
            </w:r>
            <w:r>
              <w:rPr>
                <w:rFonts w:ascii="宋体" w:hAnsi="宋体" w:cs="宋体" w:eastAsia="宋体" w:hint="default"/>
                <w:w w:val="99"/>
                <w:sz w:val="20"/>
                <w:szCs w:val="20"/>
              </w:rPr>
              <w:t> </w:t>
            </w:r>
            <w:r>
              <w:rPr>
                <w:rFonts w:ascii="宋体" w:hAnsi="宋体" w:cs="宋体" w:eastAsia="宋体" w:hint="default"/>
                <w:sz w:val="20"/>
                <w:szCs w:val="20"/>
              </w:rPr>
              <w:t>产的比例</w:t>
            </w:r>
          </w:p>
          <w:p>
            <w:pPr>
              <w:pStyle w:val="TableParagraph"/>
              <w:spacing w:line="236" w:lineRule="exact"/>
              <w:ind w:left="259" w:right="0"/>
              <w:jc w:val="left"/>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0"/>
                <w:szCs w:val="20"/>
              </w:rPr>
              <w:t>%</w:t>
            </w:r>
            <w:r>
              <w:rPr>
                <w:rFonts w:ascii="宋体" w:hAnsi="宋体" w:cs="宋体" w:eastAsia="宋体" w:hint="default"/>
                <w:sz w:val="20"/>
                <w:szCs w:val="20"/>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7"/>
                <w:szCs w:val="27"/>
              </w:rPr>
            </w:pPr>
          </w:p>
          <w:p>
            <w:pPr>
              <w:pStyle w:val="TableParagraph"/>
              <w:spacing w:line="240" w:lineRule="auto"/>
              <w:ind w:left="343" w:right="0"/>
              <w:jc w:val="left"/>
              <w:rPr>
                <w:rFonts w:ascii="宋体" w:hAnsi="宋体" w:cs="宋体" w:eastAsia="宋体" w:hint="default"/>
                <w:sz w:val="20"/>
                <w:szCs w:val="20"/>
              </w:rPr>
            </w:pPr>
            <w:r>
              <w:rPr>
                <w:rFonts w:ascii="宋体" w:hAnsi="宋体" w:cs="宋体" w:eastAsia="宋体" w:hint="default"/>
                <w:sz w:val="20"/>
                <w:szCs w:val="20"/>
              </w:rPr>
              <w:t>上期期末数</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3"/>
              <w:ind w:left="187" w:right="194"/>
              <w:jc w:val="both"/>
              <w:rPr>
                <w:rFonts w:ascii="宋体" w:hAnsi="宋体" w:cs="宋体" w:eastAsia="宋体" w:hint="default"/>
                <w:sz w:val="20"/>
                <w:szCs w:val="20"/>
              </w:rPr>
            </w:pPr>
            <w:r>
              <w:rPr>
                <w:rFonts w:ascii="宋体" w:hAnsi="宋体" w:cs="宋体" w:eastAsia="宋体" w:hint="default"/>
                <w:sz w:val="20"/>
                <w:szCs w:val="20"/>
              </w:rPr>
              <w:t>上期期</w:t>
            </w:r>
            <w:r>
              <w:rPr>
                <w:rFonts w:ascii="宋体" w:hAnsi="宋体" w:cs="宋体" w:eastAsia="宋体" w:hint="default"/>
                <w:w w:val="99"/>
                <w:sz w:val="20"/>
                <w:szCs w:val="20"/>
              </w:rPr>
              <w:t> </w:t>
            </w:r>
            <w:r>
              <w:rPr>
                <w:rFonts w:ascii="宋体" w:hAnsi="宋体" w:cs="宋体" w:eastAsia="宋体" w:hint="default"/>
                <w:sz w:val="20"/>
                <w:szCs w:val="20"/>
              </w:rPr>
              <w:t>末数占</w:t>
            </w:r>
            <w:r>
              <w:rPr>
                <w:rFonts w:ascii="宋体" w:hAnsi="宋体" w:cs="宋体" w:eastAsia="宋体" w:hint="default"/>
                <w:w w:val="99"/>
                <w:sz w:val="20"/>
                <w:szCs w:val="20"/>
              </w:rPr>
              <w:t> </w:t>
            </w:r>
            <w:r>
              <w:rPr>
                <w:rFonts w:ascii="宋体" w:hAnsi="宋体" w:cs="宋体" w:eastAsia="宋体" w:hint="default"/>
                <w:sz w:val="20"/>
                <w:szCs w:val="20"/>
              </w:rPr>
              <w:t>总资产</w:t>
            </w:r>
            <w:r>
              <w:rPr>
                <w:rFonts w:ascii="宋体" w:hAnsi="宋体" w:cs="宋体" w:eastAsia="宋体" w:hint="default"/>
                <w:w w:val="99"/>
                <w:sz w:val="20"/>
                <w:szCs w:val="20"/>
              </w:rPr>
              <w:t> </w:t>
            </w:r>
            <w:r>
              <w:rPr>
                <w:rFonts w:ascii="宋体" w:hAnsi="宋体" w:cs="宋体" w:eastAsia="宋体" w:hint="default"/>
                <w:sz w:val="20"/>
                <w:szCs w:val="20"/>
              </w:rPr>
              <w:t>的比例</w:t>
            </w:r>
          </w:p>
          <w:p>
            <w:pPr>
              <w:pStyle w:val="TableParagraph"/>
              <w:spacing w:line="236" w:lineRule="exact"/>
              <w:ind w:left="237" w:right="0"/>
              <w:jc w:val="both"/>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0"/>
                <w:szCs w:val="20"/>
              </w:rPr>
              <w:t>%</w:t>
            </w:r>
            <w:r>
              <w:rPr>
                <w:rFonts w:ascii="宋体" w:hAnsi="宋体" w:cs="宋体" w:eastAsia="宋体" w:hint="default"/>
                <w:sz w:val="20"/>
                <w:szCs w:val="20"/>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89" w:right="0"/>
              <w:jc w:val="both"/>
              <w:rPr>
                <w:rFonts w:ascii="宋体" w:hAnsi="宋体" w:cs="宋体" w:eastAsia="宋体" w:hint="default"/>
                <w:sz w:val="20"/>
                <w:szCs w:val="20"/>
              </w:rPr>
            </w:pPr>
            <w:r>
              <w:rPr>
                <w:rFonts w:ascii="宋体" w:hAnsi="宋体" w:cs="宋体" w:eastAsia="宋体" w:hint="default"/>
                <w:sz w:val="20"/>
                <w:szCs w:val="20"/>
              </w:rPr>
              <w:t>本期期</w:t>
            </w:r>
          </w:p>
          <w:p>
            <w:pPr>
              <w:pStyle w:val="TableParagraph"/>
              <w:spacing w:line="237" w:lineRule="auto" w:before="1"/>
              <w:ind w:left="189" w:right="194"/>
              <w:jc w:val="both"/>
              <w:rPr>
                <w:rFonts w:ascii="宋体" w:hAnsi="宋体" w:cs="宋体" w:eastAsia="宋体" w:hint="default"/>
                <w:sz w:val="20"/>
                <w:szCs w:val="20"/>
              </w:rPr>
            </w:pPr>
            <w:r>
              <w:rPr>
                <w:rFonts w:ascii="宋体" w:hAnsi="宋体" w:cs="宋体" w:eastAsia="宋体" w:hint="default"/>
                <w:sz w:val="20"/>
                <w:szCs w:val="20"/>
              </w:rPr>
              <w:t>末金额</w:t>
            </w:r>
            <w:r>
              <w:rPr>
                <w:rFonts w:ascii="宋体" w:hAnsi="宋体" w:cs="宋体" w:eastAsia="宋体" w:hint="default"/>
                <w:w w:val="99"/>
                <w:sz w:val="20"/>
                <w:szCs w:val="20"/>
              </w:rPr>
              <w:t> </w:t>
            </w:r>
            <w:r>
              <w:rPr>
                <w:rFonts w:ascii="宋体" w:hAnsi="宋体" w:cs="宋体" w:eastAsia="宋体" w:hint="default"/>
                <w:sz w:val="20"/>
                <w:szCs w:val="20"/>
              </w:rPr>
              <w:t>较上期</w:t>
            </w:r>
            <w:r>
              <w:rPr>
                <w:rFonts w:ascii="宋体" w:hAnsi="宋体" w:cs="宋体" w:eastAsia="宋体" w:hint="default"/>
                <w:w w:val="99"/>
                <w:sz w:val="20"/>
                <w:szCs w:val="20"/>
              </w:rPr>
              <w:t> </w:t>
            </w:r>
            <w:r>
              <w:rPr>
                <w:rFonts w:ascii="宋体" w:hAnsi="宋体" w:cs="宋体" w:eastAsia="宋体" w:hint="default"/>
                <w:sz w:val="20"/>
                <w:szCs w:val="20"/>
              </w:rPr>
              <w:t>期末变</w:t>
            </w:r>
            <w:r>
              <w:rPr>
                <w:rFonts w:ascii="宋体" w:hAnsi="宋体" w:cs="宋体" w:eastAsia="宋体" w:hint="default"/>
                <w:w w:val="99"/>
                <w:sz w:val="20"/>
                <w:szCs w:val="20"/>
              </w:rPr>
              <w:t> </w:t>
            </w:r>
            <w:r>
              <w:rPr>
                <w:rFonts w:ascii="宋体" w:hAnsi="宋体" w:cs="宋体" w:eastAsia="宋体" w:hint="default"/>
                <w:sz w:val="20"/>
                <w:szCs w:val="20"/>
              </w:rPr>
              <w:t>动比例</w:t>
            </w:r>
          </w:p>
          <w:p>
            <w:pPr>
              <w:pStyle w:val="TableParagraph"/>
              <w:spacing w:line="259" w:lineRule="exact"/>
              <w:ind w:left="240" w:right="0"/>
              <w:jc w:val="both"/>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0"/>
                <w:szCs w:val="20"/>
              </w:rPr>
              <w:t>%</w:t>
            </w:r>
            <w:r>
              <w:rPr>
                <w:rFonts w:ascii="宋体" w:hAnsi="宋体" w:cs="宋体" w:eastAsia="宋体" w:hint="default"/>
                <w:sz w:val="20"/>
                <w:szCs w:val="20"/>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7"/>
                <w:szCs w:val="27"/>
              </w:rPr>
            </w:pPr>
          </w:p>
          <w:p>
            <w:pPr>
              <w:pStyle w:val="TableParagraph"/>
              <w:spacing w:line="240" w:lineRule="auto"/>
              <w:ind w:left="446" w:right="0"/>
              <w:jc w:val="left"/>
              <w:rPr>
                <w:rFonts w:ascii="宋体" w:hAnsi="宋体" w:cs="宋体" w:eastAsia="宋体" w:hint="default"/>
                <w:sz w:val="20"/>
                <w:szCs w:val="20"/>
              </w:rPr>
            </w:pPr>
            <w:r>
              <w:rPr>
                <w:rFonts w:ascii="宋体" w:hAnsi="宋体" w:cs="宋体" w:eastAsia="宋体" w:hint="default"/>
                <w:sz w:val="20"/>
                <w:szCs w:val="20"/>
              </w:rPr>
              <w:t>情况说明</w:t>
            </w:r>
          </w:p>
        </w:tc>
      </w:tr>
      <w:tr>
        <w:trPr>
          <w:trHeight w:val="1308"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20"/>
                <w:szCs w:val="20"/>
              </w:rPr>
            </w:pPr>
            <w:r>
              <w:rPr>
                <w:rFonts w:ascii="宋体" w:hAnsi="宋体" w:cs="宋体" w:eastAsia="宋体" w:hint="default"/>
                <w:sz w:val="20"/>
                <w:szCs w:val="20"/>
              </w:rPr>
              <w:t>货币资金</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4"/>
              <w:jc w:val="right"/>
              <w:rPr>
                <w:rFonts w:ascii="宋体" w:hAnsi="宋体" w:cs="宋体" w:eastAsia="宋体" w:hint="default"/>
                <w:sz w:val="20"/>
                <w:szCs w:val="20"/>
              </w:rPr>
            </w:pPr>
            <w:r>
              <w:rPr>
                <w:rFonts w:ascii="宋体"/>
                <w:w w:val="95"/>
                <w:sz w:val="20"/>
              </w:rPr>
              <w:t>4,022,148,465</w:t>
            </w:r>
            <w:r>
              <w:rPr>
                <w:rFonts w:ascii="宋体"/>
                <w:sz w:val="20"/>
              </w:rPr>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3"/>
              <w:jc w:val="right"/>
              <w:rPr>
                <w:rFonts w:ascii="宋体" w:hAnsi="宋体" w:cs="宋体" w:eastAsia="宋体" w:hint="default"/>
                <w:sz w:val="20"/>
                <w:szCs w:val="20"/>
              </w:rPr>
            </w:pPr>
            <w:r>
              <w:rPr>
                <w:rFonts w:ascii="宋体"/>
                <w:w w:val="95"/>
                <w:sz w:val="20"/>
              </w:rPr>
              <w:t>28.7%</w:t>
            </w:r>
            <w:r>
              <w:rPr>
                <w:rFonts w:ascii="宋体"/>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4"/>
              <w:jc w:val="right"/>
              <w:rPr>
                <w:rFonts w:ascii="宋体" w:hAnsi="宋体" w:cs="宋体" w:eastAsia="宋体" w:hint="default"/>
                <w:sz w:val="20"/>
                <w:szCs w:val="20"/>
              </w:rPr>
            </w:pPr>
            <w:r>
              <w:rPr>
                <w:rFonts w:ascii="宋体"/>
                <w:w w:val="95"/>
                <w:sz w:val="20"/>
              </w:rPr>
              <w:t>4,545,989,288</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3"/>
              <w:jc w:val="right"/>
              <w:rPr>
                <w:rFonts w:ascii="宋体" w:hAnsi="宋体" w:cs="宋体" w:eastAsia="宋体" w:hint="default"/>
                <w:sz w:val="20"/>
                <w:szCs w:val="20"/>
              </w:rPr>
            </w:pPr>
            <w:r>
              <w:rPr>
                <w:rFonts w:ascii="宋体"/>
                <w:w w:val="95"/>
                <w:sz w:val="20"/>
              </w:rPr>
              <w:t>37.4%</w:t>
            </w:r>
            <w:r>
              <w:rPr>
                <w:rFonts w:ascii="宋体"/>
                <w:sz w:val="20"/>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1"/>
              <w:jc w:val="right"/>
              <w:rPr>
                <w:rFonts w:ascii="宋体" w:hAnsi="宋体" w:cs="宋体" w:eastAsia="宋体" w:hint="default"/>
                <w:sz w:val="20"/>
                <w:szCs w:val="20"/>
              </w:rPr>
            </w:pPr>
            <w:r>
              <w:rPr>
                <w:rFonts w:ascii="宋体"/>
                <w:w w:val="95"/>
                <w:sz w:val="20"/>
              </w:rPr>
              <w:t>-11.5%</w:t>
            </w:r>
            <w:r>
              <w:rPr>
                <w:rFonts w:ascii="宋体"/>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03" w:right="0"/>
              <w:jc w:val="both"/>
              <w:rPr>
                <w:rFonts w:ascii="宋体" w:hAnsi="宋体" w:cs="宋体" w:eastAsia="宋体" w:hint="default"/>
                <w:sz w:val="20"/>
                <w:szCs w:val="20"/>
              </w:rPr>
            </w:pPr>
            <w:r>
              <w:rPr>
                <w:rFonts w:ascii="宋体" w:hAnsi="宋体" w:cs="宋体" w:eastAsia="宋体" w:hint="default"/>
                <w:spacing w:val="12"/>
                <w:sz w:val="20"/>
                <w:szCs w:val="20"/>
              </w:rPr>
              <w:t>主要由于报告期</w:t>
            </w:r>
          </w:p>
          <w:p>
            <w:pPr>
              <w:pStyle w:val="TableParagraph"/>
              <w:spacing w:line="260" w:lineRule="exact" w:before="24"/>
              <w:ind w:left="103" w:right="105"/>
              <w:jc w:val="both"/>
              <w:rPr>
                <w:rFonts w:ascii="宋体" w:hAnsi="宋体" w:cs="宋体" w:eastAsia="宋体" w:hint="default"/>
                <w:sz w:val="20"/>
                <w:szCs w:val="20"/>
              </w:rPr>
            </w:pPr>
            <w:r>
              <w:rPr>
                <w:rFonts w:ascii="宋体" w:hAnsi="宋体" w:cs="宋体" w:eastAsia="宋体" w:hint="default"/>
                <w:spacing w:val="12"/>
                <w:sz w:val="20"/>
                <w:szCs w:val="20"/>
              </w:rPr>
              <w:t>股权投资增加以</w:t>
            </w:r>
            <w:r>
              <w:rPr>
                <w:rFonts w:ascii="宋体" w:hAnsi="宋体" w:cs="宋体" w:eastAsia="宋体" w:hint="default"/>
                <w:w w:val="99"/>
                <w:sz w:val="20"/>
                <w:szCs w:val="20"/>
              </w:rPr>
              <w:t> </w:t>
            </w:r>
            <w:r>
              <w:rPr>
                <w:rFonts w:ascii="宋体" w:hAnsi="宋体" w:cs="宋体" w:eastAsia="宋体" w:hint="default"/>
                <w:spacing w:val="12"/>
                <w:sz w:val="20"/>
                <w:szCs w:val="20"/>
              </w:rPr>
              <w:t>及为实行员工股</w:t>
            </w:r>
            <w:r>
              <w:rPr>
                <w:rFonts w:ascii="宋体" w:hAnsi="宋体" w:cs="宋体" w:eastAsia="宋体" w:hint="default"/>
                <w:w w:val="99"/>
                <w:sz w:val="20"/>
                <w:szCs w:val="20"/>
              </w:rPr>
              <w:t> </w:t>
            </w:r>
            <w:r>
              <w:rPr>
                <w:rFonts w:ascii="宋体" w:hAnsi="宋体" w:cs="宋体" w:eastAsia="宋体" w:hint="default"/>
                <w:spacing w:val="12"/>
                <w:sz w:val="20"/>
                <w:szCs w:val="20"/>
              </w:rPr>
              <w:t>权激励回购股票</w:t>
            </w:r>
            <w:r>
              <w:rPr>
                <w:rFonts w:ascii="宋体" w:hAnsi="宋体" w:cs="宋体" w:eastAsia="宋体" w:hint="default"/>
                <w:w w:val="99"/>
                <w:sz w:val="20"/>
                <w:szCs w:val="20"/>
              </w:rPr>
              <w:t> </w:t>
            </w:r>
            <w:r>
              <w:rPr>
                <w:rFonts w:ascii="宋体" w:hAnsi="宋体" w:cs="宋体" w:eastAsia="宋体" w:hint="default"/>
                <w:sz w:val="20"/>
                <w:szCs w:val="20"/>
              </w:rPr>
              <w:t>综合所致</w:t>
            </w:r>
          </w:p>
        </w:tc>
      </w:tr>
      <w:tr>
        <w:trPr>
          <w:trHeight w:val="1046"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z w:val="20"/>
                <w:szCs w:val="20"/>
              </w:rPr>
              <w:t>应收票据</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4"/>
              <w:jc w:val="right"/>
              <w:rPr>
                <w:rFonts w:ascii="宋体" w:hAnsi="宋体" w:cs="宋体" w:eastAsia="宋体" w:hint="default"/>
                <w:sz w:val="20"/>
                <w:szCs w:val="20"/>
              </w:rPr>
            </w:pPr>
            <w:r>
              <w:rPr>
                <w:rFonts w:ascii="宋体"/>
                <w:w w:val="95"/>
                <w:sz w:val="20"/>
              </w:rPr>
              <w:t>123,939,211</w:t>
            </w:r>
            <w:r>
              <w:rPr>
                <w:rFonts w:ascii="宋体"/>
                <w:sz w:val="20"/>
              </w:rPr>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sz w:val="20"/>
              </w:rPr>
              <w:t>0.9%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4"/>
              <w:jc w:val="right"/>
              <w:rPr>
                <w:rFonts w:ascii="宋体" w:hAnsi="宋体" w:cs="宋体" w:eastAsia="宋体" w:hint="default"/>
                <w:sz w:val="20"/>
                <w:szCs w:val="20"/>
              </w:rPr>
            </w:pPr>
            <w:r>
              <w:rPr>
                <w:rFonts w:ascii="宋体"/>
                <w:w w:val="95"/>
                <w:sz w:val="20"/>
              </w:rPr>
              <w:t>71,473,083</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sz w:val="20"/>
              </w:rPr>
              <w:t>0.6%</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w w:val="95"/>
                <w:sz w:val="20"/>
              </w:rPr>
              <w:t>73.4%</w:t>
            </w:r>
            <w:r>
              <w:rPr>
                <w:rFonts w:ascii="宋体"/>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both"/>
              <w:rPr>
                <w:rFonts w:ascii="宋体" w:hAnsi="宋体" w:cs="宋体" w:eastAsia="宋体" w:hint="default"/>
                <w:sz w:val="20"/>
                <w:szCs w:val="20"/>
              </w:rPr>
            </w:pPr>
            <w:r>
              <w:rPr>
                <w:rFonts w:ascii="宋体" w:hAnsi="宋体" w:cs="宋体" w:eastAsia="宋体" w:hint="default"/>
                <w:spacing w:val="12"/>
                <w:sz w:val="20"/>
                <w:szCs w:val="20"/>
              </w:rPr>
              <w:t>主要由于报告期</w:t>
            </w:r>
          </w:p>
          <w:p>
            <w:pPr>
              <w:pStyle w:val="TableParagraph"/>
              <w:spacing w:line="260" w:lineRule="exact" w:before="24"/>
              <w:ind w:left="103" w:right="86"/>
              <w:jc w:val="both"/>
              <w:rPr>
                <w:rFonts w:ascii="宋体" w:hAnsi="宋体" w:cs="宋体" w:eastAsia="宋体" w:hint="default"/>
                <w:sz w:val="20"/>
                <w:szCs w:val="20"/>
              </w:rPr>
            </w:pPr>
            <w:r>
              <w:rPr>
                <w:rFonts w:ascii="宋体" w:hAnsi="宋体" w:cs="宋体" w:eastAsia="宋体" w:hint="default"/>
                <w:spacing w:val="14"/>
                <w:sz w:val="20"/>
                <w:szCs w:val="20"/>
              </w:rPr>
              <w:t>内客户采用票据</w:t>
            </w:r>
            <w:r>
              <w:rPr>
                <w:rFonts w:ascii="宋体" w:hAnsi="宋体" w:cs="宋体" w:eastAsia="宋体" w:hint="default"/>
                <w:spacing w:val="16"/>
                <w:w w:val="99"/>
                <w:sz w:val="20"/>
                <w:szCs w:val="20"/>
              </w:rPr>
              <w:t> </w:t>
            </w:r>
            <w:r>
              <w:rPr>
                <w:rFonts w:ascii="宋体" w:hAnsi="宋体" w:cs="宋体" w:eastAsia="宋体" w:hint="default"/>
                <w:spacing w:val="12"/>
                <w:sz w:val="20"/>
                <w:szCs w:val="20"/>
              </w:rPr>
              <w:t>付款方式的增多</w:t>
            </w:r>
            <w:r>
              <w:rPr>
                <w:rFonts w:ascii="宋体" w:hAnsi="宋体" w:cs="宋体" w:eastAsia="宋体" w:hint="default"/>
                <w:w w:val="99"/>
                <w:sz w:val="20"/>
                <w:szCs w:val="20"/>
              </w:rPr>
              <w:t> </w:t>
            </w:r>
            <w:r>
              <w:rPr>
                <w:rFonts w:ascii="宋体" w:hAnsi="宋体" w:cs="宋体" w:eastAsia="宋体" w:hint="default"/>
                <w:sz w:val="20"/>
                <w:szCs w:val="20"/>
              </w:rPr>
              <w:t>所致</w:t>
            </w:r>
          </w:p>
        </w:tc>
      </w:tr>
      <w:tr>
        <w:trPr>
          <w:trHeight w:val="1049"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03" w:right="0"/>
              <w:jc w:val="left"/>
              <w:rPr>
                <w:rFonts w:ascii="宋体" w:hAnsi="宋体" w:cs="宋体" w:eastAsia="宋体" w:hint="default"/>
                <w:sz w:val="20"/>
                <w:szCs w:val="20"/>
              </w:rPr>
            </w:pPr>
            <w:r>
              <w:rPr>
                <w:rFonts w:ascii="宋体" w:hAnsi="宋体" w:cs="宋体" w:eastAsia="宋体" w:hint="default"/>
                <w:spacing w:val="28"/>
                <w:sz w:val="20"/>
                <w:szCs w:val="20"/>
              </w:rPr>
              <w:t>其他应收</w:t>
            </w:r>
            <w:r>
              <w:rPr>
                <w:rFonts w:ascii="宋体" w:hAnsi="宋体" w:cs="宋体" w:eastAsia="宋体" w:hint="default"/>
                <w:spacing w:val="-62"/>
                <w:sz w:val="20"/>
                <w:szCs w:val="20"/>
              </w:rPr>
              <w:t> </w:t>
            </w:r>
            <w:r>
              <w:rPr>
                <w:rFonts w:ascii="宋体" w:hAnsi="宋体" w:cs="宋体" w:eastAsia="宋体" w:hint="default"/>
                <w:sz w:val="20"/>
                <w:szCs w:val="20"/>
              </w:rPr>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款</w:t>
            </w:r>
            <w:r>
              <w:rPr>
                <w:rFonts w:ascii="宋体" w:hAnsi="宋体" w:cs="宋体" w:eastAsia="宋体" w:hint="default"/>
                <w:sz w:val="20"/>
                <w:szCs w:val="20"/>
              </w:rPr>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4"/>
              <w:jc w:val="right"/>
              <w:rPr>
                <w:rFonts w:ascii="宋体" w:hAnsi="宋体" w:cs="宋体" w:eastAsia="宋体" w:hint="default"/>
                <w:sz w:val="20"/>
                <w:szCs w:val="20"/>
              </w:rPr>
            </w:pPr>
            <w:r>
              <w:rPr>
                <w:rFonts w:ascii="宋体"/>
                <w:w w:val="95"/>
                <w:sz w:val="20"/>
              </w:rPr>
              <w:t>237,073,553</w:t>
            </w:r>
            <w:r>
              <w:rPr>
                <w:rFonts w:ascii="宋体"/>
                <w:sz w:val="20"/>
              </w:rPr>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2"/>
              <w:jc w:val="right"/>
              <w:rPr>
                <w:rFonts w:ascii="宋体" w:hAnsi="宋体" w:cs="宋体" w:eastAsia="宋体" w:hint="default"/>
                <w:sz w:val="20"/>
                <w:szCs w:val="20"/>
              </w:rPr>
            </w:pPr>
            <w:r>
              <w:rPr>
                <w:rFonts w:ascii="宋体"/>
                <w:sz w:val="20"/>
              </w:rPr>
              <w:t>1.7%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4"/>
              <w:jc w:val="right"/>
              <w:rPr>
                <w:rFonts w:ascii="宋体" w:hAnsi="宋体" w:cs="宋体" w:eastAsia="宋体" w:hint="default"/>
                <w:sz w:val="20"/>
                <w:szCs w:val="20"/>
              </w:rPr>
            </w:pPr>
            <w:r>
              <w:rPr>
                <w:rFonts w:ascii="宋体"/>
                <w:w w:val="95"/>
                <w:sz w:val="20"/>
              </w:rPr>
              <w:t>142,758,718</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2"/>
              <w:jc w:val="right"/>
              <w:rPr>
                <w:rFonts w:ascii="宋体" w:hAnsi="宋体" w:cs="宋体" w:eastAsia="宋体" w:hint="default"/>
                <w:sz w:val="20"/>
                <w:szCs w:val="20"/>
              </w:rPr>
            </w:pPr>
            <w:r>
              <w:rPr>
                <w:rFonts w:ascii="宋体"/>
                <w:sz w:val="20"/>
              </w:rPr>
              <w:t>1.2%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0"/>
              <w:jc w:val="right"/>
              <w:rPr>
                <w:rFonts w:ascii="宋体" w:hAnsi="宋体" w:cs="宋体" w:eastAsia="宋体" w:hint="default"/>
                <w:sz w:val="20"/>
                <w:szCs w:val="20"/>
              </w:rPr>
            </w:pPr>
            <w:r>
              <w:rPr>
                <w:rFonts w:ascii="宋体"/>
                <w:w w:val="95"/>
                <w:sz w:val="20"/>
              </w:rPr>
              <w:t>66.1%</w:t>
            </w:r>
            <w:r>
              <w:rPr>
                <w:rFonts w:ascii="宋体"/>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03" w:right="0"/>
              <w:jc w:val="both"/>
              <w:rPr>
                <w:rFonts w:ascii="宋体" w:hAnsi="宋体" w:cs="宋体" w:eastAsia="宋体" w:hint="default"/>
                <w:sz w:val="20"/>
                <w:szCs w:val="20"/>
              </w:rPr>
            </w:pPr>
            <w:r>
              <w:rPr>
                <w:rFonts w:ascii="宋体" w:hAnsi="宋体" w:cs="宋体" w:eastAsia="宋体" w:hint="default"/>
                <w:sz w:val="20"/>
                <w:szCs w:val="20"/>
              </w:rPr>
              <w:t>主要由于</w:t>
            </w:r>
            <w:r>
              <w:rPr>
                <w:rFonts w:ascii="宋体" w:hAnsi="宋体" w:cs="宋体" w:eastAsia="宋体" w:hint="default"/>
                <w:spacing w:val="-59"/>
                <w:sz w:val="20"/>
                <w:szCs w:val="20"/>
              </w:rPr>
              <w:t> </w:t>
            </w:r>
            <w:r>
              <w:rPr>
                <w:rFonts w:ascii="宋体" w:hAnsi="宋体" w:cs="宋体" w:eastAsia="宋体" w:hint="default"/>
                <w:sz w:val="20"/>
                <w:szCs w:val="20"/>
              </w:rPr>
              <w:t>2017</w:t>
            </w:r>
            <w:r>
              <w:rPr>
                <w:rFonts w:ascii="宋体" w:hAnsi="宋体" w:cs="宋体" w:eastAsia="宋体" w:hint="default"/>
                <w:spacing w:val="-58"/>
                <w:sz w:val="20"/>
                <w:szCs w:val="20"/>
              </w:rPr>
              <w:t> </w:t>
            </w:r>
            <w:r>
              <w:rPr>
                <w:rFonts w:ascii="宋体" w:hAnsi="宋体" w:cs="宋体" w:eastAsia="宋体" w:hint="default"/>
                <w:sz w:val="20"/>
                <w:szCs w:val="20"/>
              </w:rPr>
              <w:t>年</w:t>
            </w:r>
          </w:p>
          <w:p>
            <w:pPr>
              <w:pStyle w:val="TableParagraph"/>
              <w:spacing w:line="237" w:lineRule="auto" w:before="1"/>
              <w:ind w:left="103" w:right="105"/>
              <w:jc w:val="both"/>
              <w:rPr>
                <w:rFonts w:ascii="宋体" w:hAnsi="宋体" w:cs="宋体" w:eastAsia="宋体" w:hint="default"/>
                <w:sz w:val="20"/>
                <w:szCs w:val="20"/>
              </w:rPr>
            </w:pPr>
            <w:r>
              <w:rPr>
                <w:rFonts w:ascii="宋体" w:hAnsi="宋体" w:cs="宋体" w:eastAsia="宋体" w:hint="default"/>
                <w:spacing w:val="12"/>
                <w:sz w:val="20"/>
                <w:szCs w:val="20"/>
              </w:rPr>
              <w:t>应收押金款和第</w:t>
            </w:r>
            <w:r>
              <w:rPr>
                <w:rFonts w:ascii="宋体" w:hAnsi="宋体" w:cs="宋体" w:eastAsia="宋体" w:hint="default"/>
                <w:w w:val="99"/>
                <w:sz w:val="20"/>
                <w:szCs w:val="20"/>
              </w:rPr>
              <w:t> </w:t>
            </w:r>
            <w:r>
              <w:rPr>
                <w:rFonts w:ascii="宋体" w:hAnsi="宋体" w:cs="宋体" w:eastAsia="宋体" w:hint="default"/>
                <w:spacing w:val="12"/>
                <w:sz w:val="20"/>
                <w:szCs w:val="20"/>
              </w:rPr>
              <w:t>三方支付平台款</w:t>
            </w:r>
            <w:r>
              <w:rPr>
                <w:rFonts w:ascii="宋体" w:hAnsi="宋体" w:cs="宋体" w:eastAsia="宋体" w:hint="default"/>
                <w:w w:val="99"/>
                <w:sz w:val="20"/>
                <w:szCs w:val="20"/>
              </w:rPr>
              <w:t> </w:t>
            </w:r>
            <w:r>
              <w:rPr>
                <w:rFonts w:ascii="宋体" w:hAnsi="宋体" w:cs="宋体" w:eastAsia="宋体" w:hint="default"/>
                <w:sz w:val="20"/>
                <w:szCs w:val="20"/>
              </w:rPr>
              <w:t>增加所致</w:t>
            </w:r>
          </w:p>
        </w:tc>
      </w:tr>
      <w:tr>
        <w:trPr>
          <w:trHeight w:val="787"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pacing w:val="28"/>
                <w:sz w:val="20"/>
                <w:szCs w:val="20"/>
              </w:rPr>
              <w:t>其他流动</w:t>
            </w:r>
            <w:r>
              <w:rPr>
                <w:rFonts w:ascii="宋体" w:hAnsi="宋体" w:cs="宋体" w:eastAsia="宋体" w:hint="default"/>
                <w:spacing w:val="-62"/>
                <w:sz w:val="20"/>
                <w:szCs w:val="20"/>
              </w:rPr>
              <w:t> </w:t>
            </w:r>
            <w:r>
              <w:rPr>
                <w:rFonts w:ascii="宋体" w:hAnsi="宋体" w:cs="宋体" w:eastAsia="宋体" w:hint="default"/>
                <w:sz w:val="20"/>
                <w:szCs w:val="20"/>
              </w:rPr>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资产</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4"/>
              <w:jc w:val="right"/>
              <w:rPr>
                <w:rFonts w:ascii="宋体" w:hAnsi="宋体" w:cs="宋体" w:eastAsia="宋体" w:hint="default"/>
                <w:sz w:val="20"/>
                <w:szCs w:val="20"/>
              </w:rPr>
            </w:pPr>
            <w:r>
              <w:rPr>
                <w:rFonts w:ascii="宋体"/>
                <w:w w:val="95"/>
                <w:sz w:val="20"/>
              </w:rPr>
              <w:t>1,307,828,081</w:t>
            </w:r>
            <w:r>
              <w:rPr>
                <w:rFonts w:ascii="宋体"/>
                <w:sz w:val="20"/>
              </w:rPr>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sz w:val="20"/>
              </w:rPr>
              <w:t>9.3%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4"/>
              <w:jc w:val="right"/>
              <w:rPr>
                <w:rFonts w:ascii="宋体" w:hAnsi="宋体" w:cs="宋体" w:eastAsia="宋体" w:hint="default"/>
                <w:sz w:val="20"/>
                <w:szCs w:val="20"/>
              </w:rPr>
            </w:pPr>
            <w:r>
              <w:rPr>
                <w:rFonts w:ascii="宋体"/>
                <w:w w:val="95"/>
                <w:sz w:val="20"/>
              </w:rPr>
              <w:t>996,729,784</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sz w:val="20"/>
              </w:rPr>
              <w:t>8.2%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w w:val="95"/>
                <w:sz w:val="20"/>
              </w:rPr>
              <w:t>31.2%</w:t>
            </w:r>
            <w:r>
              <w:rPr>
                <w:rFonts w:ascii="宋体"/>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pacing w:val="12"/>
                <w:sz w:val="20"/>
                <w:szCs w:val="20"/>
              </w:rPr>
              <w:t>主要由于报告期</w:t>
            </w:r>
          </w:p>
          <w:p>
            <w:pPr>
              <w:pStyle w:val="TableParagraph"/>
              <w:spacing w:line="260" w:lineRule="exact" w:before="24"/>
              <w:ind w:left="103" w:right="105"/>
              <w:jc w:val="left"/>
              <w:rPr>
                <w:rFonts w:ascii="宋体" w:hAnsi="宋体" w:cs="宋体" w:eastAsia="宋体" w:hint="default"/>
                <w:sz w:val="20"/>
                <w:szCs w:val="20"/>
              </w:rPr>
            </w:pPr>
            <w:r>
              <w:rPr>
                <w:rFonts w:ascii="宋体" w:hAnsi="宋体" w:cs="宋体" w:eastAsia="宋体" w:hint="default"/>
                <w:spacing w:val="12"/>
                <w:sz w:val="20"/>
                <w:szCs w:val="20"/>
              </w:rPr>
              <w:t>内理财产品增加</w:t>
            </w:r>
            <w:r>
              <w:rPr>
                <w:rFonts w:ascii="宋体" w:hAnsi="宋体" w:cs="宋体" w:eastAsia="宋体" w:hint="default"/>
                <w:w w:val="99"/>
                <w:sz w:val="20"/>
                <w:szCs w:val="20"/>
              </w:rPr>
              <w:t> </w:t>
            </w:r>
            <w:r>
              <w:rPr>
                <w:rFonts w:ascii="宋体" w:hAnsi="宋体" w:cs="宋体" w:eastAsia="宋体" w:hint="default"/>
                <w:sz w:val="20"/>
                <w:szCs w:val="20"/>
              </w:rPr>
              <w:t>所致</w:t>
            </w:r>
          </w:p>
        </w:tc>
      </w:tr>
      <w:tr>
        <w:trPr>
          <w:trHeight w:val="1308"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pacing w:val="28"/>
                <w:sz w:val="20"/>
                <w:szCs w:val="20"/>
              </w:rPr>
              <w:t>可供出售</w:t>
            </w:r>
            <w:r>
              <w:rPr>
                <w:rFonts w:ascii="宋体" w:hAnsi="宋体" w:cs="宋体" w:eastAsia="宋体" w:hint="default"/>
                <w:spacing w:val="-62"/>
                <w:sz w:val="20"/>
                <w:szCs w:val="20"/>
              </w:rPr>
              <w:t> </w:t>
            </w:r>
            <w:r>
              <w:rPr>
                <w:rFonts w:ascii="宋体" w:hAnsi="宋体" w:cs="宋体" w:eastAsia="宋体" w:hint="default"/>
                <w:sz w:val="20"/>
                <w:szCs w:val="20"/>
              </w:rPr>
            </w: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金融资产</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4"/>
              <w:jc w:val="right"/>
              <w:rPr>
                <w:rFonts w:ascii="宋体" w:hAnsi="宋体" w:cs="宋体" w:eastAsia="宋体" w:hint="default"/>
                <w:sz w:val="20"/>
                <w:szCs w:val="20"/>
              </w:rPr>
            </w:pPr>
            <w:r>
              <w:rPr>
                <w:rFonts w:ascii="宋体"/>
                <w:w w:val="95"/>
                <w:sz w:val="20"/>
              </w:rPr>
              <w:t>764,088,138</w:t>
            </w:r>
            <w:r>
              <w:rPr>
                <w:rFonts w:ascii="宋体"/>
                <w:sz w:val="20"/>
              </w:rPr>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sz w:val="20"/>
              </w:rPr>
              <w:t>5.4%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4"/>
              <w:jc w:val="right"/>
              <w:rPr>
                <w:rFonts w:ascii="宋体" w:hAnsi="宋体" w:cs="宋体" w:eastAsia="宋体" w:hint="default"/>
                <w:sz w:val="20"/>
                <w:szCs w:val="20"/>
              </w:rPr>
            </w:pPr>
            <w:r>
              <w:rPr>
                <w:rFonts w:ascii="宋体"/>
                <w:w w:val="95"/>
                <w:sz w:val="20"/>
              </w:rPr>
              <w:t>466,921,112</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sz w:val="20"/>
              </w:rPr>
              <w:t>3.8%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w w:val="95"/>
                <w:sz w:val="20"/>
              </w:rPr>
              <w:t>63.6%</w:t>
            </w:r>
            <w:r>
              <w:rPr>
                <w:rFonts w:ascii="宋体"/>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both"/>
              <w:rPr>
                <w:rFonts w:ascii="宋体" w:hAnsi="宋体" w:cs="宋体" w:eastAsia="宋体" w:hint="default"/>
                <w:sz w:val="20"/>
                <w:szCs w:val="20"/>
              </w:rPr>
            </w:pPr>
            <w:r>
              <w:rPr>
                <w:rFonts w:ascii="宋体" w:hAnsi="宋体" w:cs="宋体" w:eastAsia="宋体" w:hint="default"/>
                <w:spacing w:val="12"/>
                <w:sz w:val="20"/>
                <w:szCs w:val="20"/>
              </w:rPr>
              <w:t>主要由于报告期</w:t>
            </w:r>
          </w:p>
          <w:p>
            <w:pPr>
              <w:pStyle w:val="TableParagraph"/>
              <w:spacing w:line="260" w:lineRule="exact" w:before="25"/>
              <w:ind w:left="103" w:right="105"/>
              <w:jc w:val="both"/>
              <w:rPr>
                <w:rFonts w:ascii="宋体" w:hAnsi="宋体" w:cs="宋体" w:eastAsia="宋体" w:hint="default"/>
                <w:sz w:val="20"/>
                <w:szCs w:val="20"/>
              </w:rPr>
            </w:pPr>
            <w:r>
              <w:rPr>
                <w:rFonts w:ascii="宋体" w:hAnsi="宋体" w:cs="宋体" w:eastAsia="宋体" w:hint="default"/>
                <w:spacing w:val="12"/>
                <w:sz w:val="20"/>
                <w:szCs w:val="20"/>
              </w:rPr>
              <w:t>内对外投资增加</w:t>
            </w:r>
            <w:r>
              <w:rPr>
                <w:rFonts w:ascii="宋体" w:hAnsi="宋体" w:cs="宋体" w:eastAsia="宋体" w:hint="default"/>
                <w:w w:val="99"/>
                <w:sz w:val="20"/>
                <w:szCs w:val="20"/>
              </w:rPr>
              <w:t> </w:t>
            </w:r>
            <w:r>
              <w:rPr>
                <w:rFonts w:ascii="宋体" w:hAnsi="宋体" w:cs="宋体" w:eastAsia="宋体" w:hint="default"/>
                <w:spacing w:val="12"/>
                <w:sz w:val="20"/>
                <w:szCs w:val="20"/>
              </w:rPr>
              <w:t>及可供出售金融</w:t>
            </w:r>
            <w:r>
              <w:rPr>
                <w:rFonts w:ascii="宋体" w:hAnsi="宋体" w:cs="宋体" w:eastAsia="宋体" w:hint="default"/>
                <w:w w:val="99"/>
                <w:sz w:val="20"/>
                <w:szCs w:val="20"/>
              </w:rPr>
              <w:t> </w:t>
            </w:r>
            <w:r>
              <w:rPr>
                <w:rFonts w:ascii="宋体" w:hAnsi="宋体" w:cs="宋体" w:eastAsia="宋体" w:hint="default"/>
                <w:spacing w:val="12"/>
                <w:sz w:val="20"/>
                <w:szCs w:val="20"/>
              </w:rPr>
              <w:t>资产公允价值变</w:t>
            </w:r>
            <w:r>
              <w:rPr>
                <w:rFonts w:ascii="宋体" w:hAnsi="宋体" w:cs="宋体" w:eastAsia="宋体" w:hint="default"/>
                <w:w w:val="99"/>
                <w:sz w:val="20"/>
                <w:szCs w:val="20"/>
              </w:rPr>
              <w:t> </w:t>
            </w:r>
            <w:r>
              <w:rPr>
                <w:rFonts w:ascii="宋体" w:hAnsi="宋体" w:cs="宋体" w:eastAsia="宋体" w:hint="default"/>
                <w:sz w:val="20"/>
                <w:szCs w:val="20"/>
              </w:rPr>
              <w:t>动所致</w:t>
            </w:r>
          </w:p>
        </w:tc>
      </w:tr>
      <w:tr>
        <w:trPr>
          <w:trHeight w:val="1306"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pacing w:val="28"/>
                <w:sz w:val="20"/>
                <w:szCs w:val="20"/>
              </w:rPr>
              <w:t>长期股权</w:t>
            </w:r>
            <w:r>
              <w:rPr>
                <w:rFonts w:ascii="宋体" w:hAnsi="宋体" w:cs="宋体" w:eastAsia="宋体" w:hint="default"/>
                <w:spacing w:val="-62"/>
                <w:sz w:val="20"/>
                <w:szCs w:val="20"/>
              </w:rPr>
              <w:t> </w:t>
            </w:r>
            <w:r>
              <w:rPr>
                <w:rFonts w:ascii="宋体" w:hAnsi="宋体" w:cs="宋体" w:eastAsia="宋体" w:hint="default"/>
                <w:sz w:val="20"/>
                <w:szCs w:val="20"/>
              </w:rPr>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投资</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4"/>
              <w:jc w:val="right"/>
              <w:rPr>
                <w:rFonts w:ascii="宋体" w:hAnsi="宋体" w:cs="宋体" w:eastAsia="宋体" w:hint="default"/>
                <w:sz w:val="20"/>
                <w:szCs w:val="20"/>
              </w:rPr>
            </w:pPr>
            <w:r>
              <w:rPr>
                <w:rFonts w:ascii="宋体"/>
                <w:w w:val="95"/>
                <w:sz w:val="20"/>
              </w:rPr>
              <w:t>1,641,765,656</w:t>
            </w:r>
            <w:r>
              <w:rPr>
                <w:rFonts w:ascii="宋体"/>
                <w:sz w:val="20"/>
              </w:rPr>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3"/>
              <w:jc w:val="right"/>
              <w:rPr>
                <w:rFonts w:ascii="宋体" w:hAnsi="宋体" w:cs="宋体" w:eastAsia="宋体" w:hint="default"/>
                <w:sz w:val="20"/>
                <w:szCs w:val="20"/>
              </w:rPr>
            </w:pPr>
            <w:r>
              <w:rPr>
                <w:rFonts w:ascii="宋体"/>
                <w:w w:val="95"/>
                <w:sz w:val="20"/>
              </w:rPr>
              <w:t>11.7%</w:t>
            </w:r>
            <w:r>
              <w:rPr>
                <w:rFonts w:ascii="宋体"/>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4"/>
              <w:jc w:val="right"/>
              <w:rPr>
                <w:rFonts w:ascii="宋体" w:hAnsi="宋体" w:cs="宋体" w:eastAsia="宋体" w:hint="default"/>
                <w:sz w:val="20"/>
                <w:szCs w:val="20"/>
              </w:rPr>
            </w:pPr>
            <w:r>
              <w:rPr>
                <w:rFonts w:ascii="宋体"/>
                <w:w w:val="95"/>
                <w:sz w:val="20"/>
              </w:rPr>
              <w:t>200,331,888</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sz w:val="20"/>
              </w:rPr>
              <w:t>1.6%</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w w:val="95"/>
                <w:sz w:val="20"/>
              </w:rPr>
              <w:t>719.5%</w:t>
            </w:r>
            <w:r>
              <w:rPr>
                <w:rFonts w:ascii="宋体"/>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pacing w:val="12"/>
                <w:sz w:val="20"/>
                <w:szCs w:val="20"/>
              </w:rPr>
              <w:t>主要由于报告期</w:t>
            </w:r>
          </w:p>
          <w:p>
            <w:pPr>
              <w:pStyle w:val="TableParagraph"/>
              <w:spacing w:line="260" w:lineRule="exact" w:before="24"/>
              <w:ind w:left="103" w:right="105"/>
              <w:jc w:val="left"/>
              <w:rPr>
                <w:rFonts w:ascii="宋体" w:hAnsi="宋体" w:cs="宋体" w:eastAsia="宋体" w:hint="default"/>
                <w:sz w:val="20"/>
                <w:szCs w:val="20"/>
              </w:rPr>
            </w:pPr>
            <w:r>
              <w:rPr>
                <w:rFonts w:ascii="宋体" w:hAnsi="宋体" w:cs="宋体" w:eastAsia="宋体" w:hint="default"/>
                <w:spacing w:val="12"/>
                <w:sz w:val="20"/>
                <w:szCs w:val="20"/>
              </w:rPr>
              <w:t>公司发起成立中</w:t>
            </w:r>
            <w:r>
              <w:rPr>
                <w:rFonts w:ascii="宋体" w:hAnsi="宋体" w:cs="宋体" w:eastAsia="宋体" w:hint="default"/>
                <w:w w:val="99"/>
                <w:sz w:val="20"/>
                <w:szCs w:val="20"/>
              </w:rPr>
              <w:t> </w:t>
            </w:r>
            <w:r>
              <w:rPr>
                <w:rFonts w:ascii="宋体" w:hAnsi="宋体" w:cs="宋体" w:eastAsia="宋体" w:hint="default"/>
                <w:spacing w:val="12"/>
                <w:sz w:val="20"/>
                <w:szCs w:val="20"/>
              </w:rPr>
              <w:t>关村银行，报告</w:t>
            </w:r>
          </w:p>
          <w:p>
            <w:pPr>
              <w:pStyle w:val="TableParagraph"/>
              <w:spacing w:line="260" w:lineRule="exact"/>
              <w:ind w:left="103" w:right="47"/>
              <w:jc w:val="left"/>
              <w:rPr>
                <w:rFonts w:ascii="宋体" w:hAnsi="宋体" w:cs="宋体" w:eastAsia="宋体" w:hint="default"/>
                <w:sz w:val="20"/>
                <w:szCs w:val="20"/>
              </w:rPr>
            </w:pPr>
            <w:r>
              <w:rPr>
                <w:rFonts w:ascii="宋体" w:hAnsi="宋体" w:cs="宋体" w:eastAsia="宋体" w:hint="default"/>
                <w:spacing w:val="47"/>
                <w:sz w:val="20"/>
                <w:szCs w:val="20"/>
              </w:rPr>
              <w:t>期内首期出资</w:t>
            </w:r>
            <w:r>
              <w:rPr>
                <w:rFonts w:ascii="宋体" w:hAnsi="宋体" w:cs="宋体" w:eastAsia="宋体" w:hint="default"/>
                <w:spacing w:val="-43"/>
                <w:sz w:val="20"/>
                <w:szCs w:val="20"/>
              </w:rPr>
              <w:t> </w:t>
            </w:r>
            <w:r>
              <w:rPr>
                <w:rFonts w:ascii="宋体" w:hAnsi="宋体" w:cs="宋体" w:eastAsia="宋体" w:hint="default"/>
                <w:sz w:val="20"/>
                <w:szCs w:val="20"/>
              </w:rPr>
              <w:t>11.9</w:t>
            </w:r>
            <w:r>
              <w:rPr>
                <w:rFonts w:ascii="宋体" w:hAnsi="宋体" w:cs="宋体" w:eastAsia="宋体" w:hint="default"/>
                <w:spacing w:val="-51"/>
                <w:sz w:val="20"/>
                <w:szCs w:val="20"/>
              </w:rPr>
              <w:t> </w:t>
            </w:r>
            <w:r>
              <w:rPr>
                <w:rFonts w:ascii="宋体" w:hAnsi="宋体" w:cs="宋体" w:eastAsia="宋体" w:hint="default"/>
                <w:sz w:val="20"/>
                <w:szCs w:val="20"/>
              </w:rPr>
              <w:t>亿元所致</w:t>
            </w:r>
          </w:p>
        </w:tc>
      </w:tr>
    </w:tbl>
    <w:p>
      <w:pPr>
        <w:spacing w:after="0" w:line="260" w:lineRule="exact"/>
        <w:jc w:val="left"/>
        <w:rPr>
          <w:rFonts w:ascii="宋体" w:hAnsi="宋体" w:cs="宋体" w:eastAsia="宋体" w:hint="default"/>
          <w:sz w:val="20"/>
          <w:szCs w:val="20"/>
        </w:rPr>
        <w:sectPr>
          <w:type w:val="continuous"/>
          <w:pgSz w:w="11910" w:h="16840"/>
          <w:pgMar w:top="1320" w:bottom="1380" w:left="1580" w:right="1020"/>
        </w:sectPr>
      </w:pPr>
    </w:p>
    <w:p>
      <w:pPr>
        <w:spacing w:line="240" w:lineRule="auto" w:before="9"/>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1128"/>
        <w:gridCol w:w="1520"/>
        <w:gridCol w:w="1034"/>
        <w:gridCol w:w="1702"/>
        <w:gridCol w:w="991"/>
        <w:gridCol w:w="992"/>
        <w:gridCol w:w="1702"/>
      </w:tblGrid>
      <w:tr>
        <w:trPr>
          <w:trHeight w:val="1049"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20"/>
                <w:szCs w:val="20"/>
              </w:rPr>
            </w:pPr>
            <w:r>
              <w:rPr>
                <w:rFonts w:ascii="宋体" w:hAnsi="宋体" w:cs="宋体" w:eastAsia="宋体" w:hint="default"/>
                <w:sz w:val="20"/>
                <w:szCs w:val="20"/>
              </w:rPr>
              <w:t>固定资产</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4"/>
              <w:jc w:val="right"/>
              <w:rPr>
                <w:rFonts w:ascii="宋体" w:hAnsi="宋体" w:cs="宋体" w:eastAsia="宋体" w:hint="default"/>
                <w:sz w:val="20"/>
                <w:szCs w:val="20"/>
              </w:rPr>
            </w:pPr>
            <w:r>
              <w:rPr>
                <w:rFonts w:ascii="宋体"/>
                <w:w w:val="95"/>
                <w:sz w:val="20"/>
              </w:rPr>
              <w:t>2,097,774,540</w:t>
            </w:r>
            <w:r>
              <w:rPr>
                <w:rFonts w:ascii="宋体"/>
                <w:sz w:val="20"/>
              </w:rPr>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3"/>
              <w:jc w:val="right"/>
              <w:rPr>
                <w:rFonts w:ascii="宋体" w:hAnsi="宋体" w:cs="宋体" w:eastAsia="宋体" w:hint="default"/>
                <w:sz w:val="20"/>
                <w:szCs w:val="20"/>
              </w:rPr>
            </w:pPr>
            <w:r>
              <w:rPr>
                <w:rFonts w:ascii="宋体"/>
                <w:w w:val="95"/>
                <w:sz w:val="20"/>
              </w:rPr>
              <w:t>15.0%</w:t>
            </w:r>
            <w:r>
              <w:rPr>
                <w:rFonts w:ascii="宋体"/>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4"/>
              <w:jc w:val="right"/>
              <w:rPr>
                <w:rFonts w:ascii="宋体" w:hAnsi="宋体" w:cs="宋体" w:eastAsia="宋体" w:hint="default"/>
                <w:sz w:val="20"/>
                <w:szCs w:val="20"/>
              </w:rPr>
            </w:pPr>
            <w:r>
              <w:rPr>
                <w:rFonts w:ascii="宋体"/>
                <w:w w:val="95"/>
                <w:sz w:val="20"/>
              </w:rPr>
              <w:t>1,564,584,484</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3"/>
              <w:jc w:val="right"/>
              <w:rPr>
                <w:rFonts w:ascii="宋体" w:hAnsi="宋体" w:cs="宋体" w:eastAsia="宋体" w:hint="default"/>
                <w:sz w:val="20"/>
                <w:szCs w:val="20"/>
              </w:rPr>
            </w:pPr>
            <w:r>
              <w:rPr>
                <w:rFonts w:ascii="宋体"/>
                <w:w w:val="95"/>
                <w:sz w:val="20"/>
              </w:rPr>
              <w:t>12.9%</w:t>
            </w:r>
            <w:r>
              <w:rPr>
                <w:rFonts w:ascii="宋体"/>
                <w:sz w:val="20"/>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20"/>
                <w:szCs w:val="20"/>
              </w:rPr>
            </w:pPr>
            <w:r>
              <w:rPr>
                <w:rFonts w:ascii="宋体"/>
                <w:w w:val="95"/>
                <w:sz w:val="20"/>
              </w:rPr>
              <w:t>34.1%</w:t>
            </w:r>
            <w:r>
              <w:rPr>
                <w:rFonts w:ascii="宋体"/>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03" w:right="0"/>
              <w:jc w:val="both"/>
              <w:rPr>
                <w:rFonts w:ascii="宋体" w:hAnsi="宋体" w:cs="宋体" w:eastAsia="宋体" w:hint="default"/>
                <w:sz w:val="20"/>
                <w:szCs w:val="20"/>
              </w:rPr>
            </w:pPr>
            <w:r>
              <w:rPr>
                <w:rFonts w:ascii="宋体" w:hAnsi="宋体" w:cs="宋体" w:eastAsia="宋体" w:hint="default"/>
                <w:spacing w:val="12"/>
                <w:sz w:val="20"/>
                <w:szCs w:val="20"/>
              </w:rPr>
              <w:t>主要由于报告期</w:t>
            </w:r>
          </w:p>
          <w:p>
            <w:pPr>
              <w:pStyle w:val="TableParagraph"/>
              <w:spacing w:line="260" w:lineRule="exact" w:before="24"/>
              <w:ind w:left="103" w:right="103"/>
              <w:jc w:val="both"/>
              <w:rPr>
                <w:rFonts w:ascii="宋体" w:hAnsi="宋体" w:cs="宋体" w:eastAsia="宋体" w:hint="default"/>
                <w:sz w:val="20"/>
                <w:szCs w:val="20"/>
              </w:rPr>
            </w:pPr>
            <w:r>
              <w:rPr>
                <w:rFonts w:ascii="宋体" w:hAnsi="宋体" w:cs="宋体" w:eastAsia="宋体" w:hint="default"/>
                <w:sz w:val="20"/>
                <w:szCs w:val="20"/>
              </w:rPr>
              <w:t>内北京</w:t>
            </w:r>
            <w:r>
              <w:rPr>
                <w:rFonts w:ascii="宋体" w:hAnsi="宋体" w:cs="宋体" w:eastAsia="宋体" w:hint="default"/>
                <w:spacing w:val="-18"/>
                <w:sz w:val="20"/>
                <w:szCs w:val="20"/>
              </w:rPr>
              <w:t> </w:t>
            </w:r>
            <w:r>
              <w:rPr>
                <w:rFonts w:ascii="宋体" w:hAnsi="宋体" w:cs="宋体" w:eastAsia="宋体" w:hint="default"/>
                <w:sz w:val="20"/>
                <w:szCs w:val="20"/>
              </w:rPr>
              <w:t>4#</w:t>
            </w:r>
            <w:r>
              <w:rPr>
                <w:rFonts w:ascii="宋体" w:hAnsi="宋体" w:cs="宋体" w:eastAsia="宋体" w:hint="default"/>
                <w:sz w:val="20"/>
                <w:szCs w:val="20"/>
              </w:rPr>
              <w:t>研发中</w:t>
            </w:r>
            <w:r>
              <w:rPr>
                <w:rFonts w:ascii="宋体" w:hAnsi="宋体" w:cs="宋体" w:eastAsia="宋体" w:hint="default"/>
                <w:w w:val="99"/>
                <w:sz w:val="20"/>
                <w:szCs w:val="20"/>
              </w:rPr>
              <w:t> </w:t>
            </w:r>
            <w:r>
              <w:rPr>
                <w:rFonts w:ascii="宋体" w:hAnsi="宋体" w:cs="宋体" w:eastAsia="宋体" w:hint="default"/>
                <w:spacing w:val="12"/>
                <w:sz w:val="20"/>
                <w:szCs w:val="20"/>
              </w:rPr>
              <w:t>心转入固定资产</w:t>
            </w:r>
            <w:r>
              <w:rPr>
                <w:rFonts w:ascii="宋体" w:hAnsi="宋体" w:cs="宋体" w:eastAsia="宋体" w:hint="default"/>
                <w:w w:val="99"/>
                <w:sz w:val="20"/>
                <w:szCs w:val="20"/>
              </w:rPr>
              <w:t> </w:t>
            </w:r>
            <w:r>
              <w:rPr>
                <w:rFonts w:ascii="宋体" w:hAnsi="宋体" w:cs="宋体" w:eastAsia="宋体" w:hint="default"/>
                <w:sz w:val="20"/>
                <w:szCs w:val="20"/>
              </w:rPr>
              <w:t>所致</w:t>
            </w:r>
          </w:p>
        </w:tc>
      </w:tr>
      <w:tr>
        <w:trPr>
          <w:trHeight w:val="1046"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z w:val="20"/>
                <w:szCs w:val="20"/>
              </w:rPr>
              <w:t>在建工程</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4"/>
              <w:jc w:val="right"/>
              <w:rPr>
                <w:rFonts w:ascii="宋体" w:hAnsi="宋体" w:cs="宋体" w:eastAsia="宋体" w:hint="default"/>
                <w:sz w:val="20"/>
                <w:szCs w:val="20"/>
              </w:rPr>
            </w:pPr>
            <w:r>
              <w:rPr>
                <w:rFonts w:ascii="宋体"/>
                <w:w w:val="95"/>
                <w:sz w:val="20"/>
              </w:rPr>
              <w:t>322,170,624</w:t>
            </w:r>
            <w:r>
              <w:rPr>
                <w:rFonts w:ascii="宋体"/>
                <w:sz w:val="20"/>
              </w:rPr>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sz w:val="20"/>
              </w:rPr>
              <w:t>2.3%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4"/>
              <w:jc w:val="right"/>
              <w:rPr>
                <w:rFonts w:ascii="宋体" w:hAnsi="宋体" w:cs="宋体" w:eastAsia="宋体" w:hint="default"/>
                <w:sz w:val="20"/>
                <w:szCs w:val="20"/>
              </w:rPr>
            </w:pPr>
            <w:r>
              <w:rPr>
                <w:rFonts w:ascii="宋体"/>
                <w:w w:val="95"/>
                <w:sz w:val="20"/>
              </w:rPr>
              <w:t>613,555,733</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sz w:val="20"/>
              </w:rPr>
              <w:t>5.0%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w w:val="95"/>
                <w:sz w:val="20"/>
              </w:rPr>
              <w:t>-47.5%</w:t>
            </w:r>
            <w:r>
              <w:rPr>
                <w:rFonts w:ascii="宋体"/>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both"/>
              <w:rPr>
                <w:rFonts w:ascii="宋体" w:hAnsi="宋体" w:cs="宋体" w:eastAsia="宋体" w:hint="default"/>
                <w:sz w:val="20"/>
                <w:szCs w:val="20"/>
              </w:rPr>
            </w:pPr>
            <w:r>
              <w:rPr>
                <w:rFonts w:ascii="宋体" w:hAnsi="宋体" w:cs="宋体" w:eastAsia="宋体" w:hint="default"/>
                <w:spacing w:val="12"/>
                <w:sz w:val="20"/>
                <w:szCs w:val="20"/>
              </w:rPr>
              <w:t>主要由于报告期</w:t>
            </w:r>
          </w:p>
          <w:p>
            <w:pPr>
              <w:pStyle w:val="TableParagraph"/>
              <w:spacing w:line="260" w:lineRule="exact" w:before="24"/>
              <w:ind w:left="103" w:right="103"/>
              <w:jc w:val="both"/>
              <w:rPr>
                <w:rFonts w:ascii="宋体" w:hAnsi="宋体" w:cs="宋体" w:eastAsia="宋体" w:hint="default"/>
                <w:sz w:val="20"/>
                <w:szCs w:val="20"/>
              </w:rPr>
            </w:pPr>
            <w:r>
              <w:rPr>
                <w:rFonts w:ascii="宋体" w:hAnsi="宋体" w:cs="宋体" w:eastAsia="宋体" w:hint="default"/>
                <w:sz w:val="20"/>
                <w:szCs w:val="20"/>
              </w:rPr>
              <w:t>内北京</w:t>
            </w:r>
            <w:r>
              <w:rPr>
                <w:rFonts w:ascii="宋体" w:hAnsi="宋体" w:cs="宋体" w:eastAsia="宋体" w:hint="default"/>
                <w:spacing w:val="-18"/>
                <w:sz w:val="20"/>
                <w:szCs w:val="20"/>
              </w:rPr>
              <w:t> </w:t>
            </w:r>
            <w:r>
              <w:rPr>
                <w:rFonts w:ascii="宋体" w:hAnsi="宋体" w:cs="宋体" w:eastAsia="宋体" w:hint="default"/>
                <w:sz w:val="20"/>
                <w:szCs w:val="20"/>
              </w:rPr>
              <w:t>4#</w:t>
            </w:r>
            <w:r>
              <w:rPr>
                <w:rFonts w:ascii="宋体" w:hAnsi="宋体" w:cs="宋体" w:eastAsia="宋体" w:hint="default"/>
                <w:sz w:val="20"/>
                <w:szCs w:val="20"/>
              </w:rPr>
              <w:t>研发中</w:t>
            </w:r>
            <w:r>
              <w:rPr>
                <w:rFonts w:ascii="宋体" w:hAnsi="宋体" w:cs="宋体" w:eastAsia="宋体" w:hint="default"/>
                <w:w w:val="99"/>
                <w:sz w:val="20"/>
                <w:szCs w:val="20"/>
              </w:rPr>
              <w:t> </w:t>
            </w:r>
            <w:r>
              <w:rPr>
                <w:rFonts w:ascii="宋体" w:hAnsi="宋体" w:cs="宋体" w:eastAsia="宋体" w:hint="default"/>
                <w:spacing w:val="12"/>
                <w:sz w:val="20"/>
                <w:szCs w:val="20"/>
              </w:rPr>
              <w:t>心转入固定资产</w:t>
            </w:r>
            <w:r>
              <w:rPr>
                <w:rFonts w:ascii="宋体" w:hAnsi="宋体" w:cs="宋体" w:eastAsia="宋体" w:hint="default"/>
                <w:w w:val="99"/>
                <w:sz w:val="20"/>
                <w:szCs w:val="20"/>
              </w:rPr>
              <w:t> </w:t>
            </w:r>
            <w:r>
              <w:rPr>
                <w:rFonts w:ascii="宋体" w:hAnsi="宋体" w:cs="宋体" w:eastAsia="宋体" w:hint="default"/>
                <w:sz w:val="20"/>
                <w:szCs w:val="20"/>
              </w:rPr>
              <w:t>所致</w:t>
            </w:r>
          </w:p>
        </w:tc>
      </w:tr>
      <w:tr>
        <w:trPr>
          <w:trHeight w:val="790"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20"/>
                <w:szCs w:val="20"/>
              </w:rPr>
            </w:pPr>
            <w:r>
              <w:rPr>
                <w:rFonts w:ascii="宋体" w:hAnsi="宋体" w:cs="宋体" w:eastAsia="宋体" w:hint="default"/>
                <w:sz w:val="20"/>
                <w:szCs w:val="20"/>
              </w:rPr>
              <w:t>短期借款</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4"/>
              <w:jc w:val="right"/>
              <w:rPr>
                <w:rFonts w:ascii="宋体" w:hAnsi="宋体" w:cs="宋体" w:eastAsia="宋体" w:hint="default"/>
                <w:sz w:val="20"/>
                <w:szCs w:val="20"/>
              </w:rPr>
            </w:pPr>
            <w:r>
              <w:rPr>
                <w:rFonts w:ascii="宋体"/>
                <w:w w:val="95"/>
                <w:sz w:val="20"/>
              </w:rPr>
              <w:t>3,450,000,000</w:t>
            </w:r>
            <w:r>
              <w:rPr>
                <w:rFonts w:ascii="宋体"/>
                <w:sz w:val="20"/>
              </w:rPr>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3"/>
              <w:jc w:val="right"/>
              <w:rPr>
                <w:rFonts w:ascii="宋体" w:hAnsi="宋体" w:cs="宋体" w:eastAsia="宋体" w:hint="default"/>
                <w:sz w:val="20"/>
                <w:szCs w:val="20"/>
              </w:rPr>
            </w:pPr>
            <w:r>
              <w:rPr>
                <w:rFonts w:ascii="宋体"/>
                <w:w w:val="95"/>
                <w:sz w:val="20"/>
              </w:rPr>
              <w:t>24.6%</w:t>
            </w:r>
            <w:r>
              <w:rPr>
                <w:rFonts w:ascii="宋体"/>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4"/>
              <w:jc w:val="right"/>
              <w:rPr>
                <w:rFonts w:ascii="宋体" w:hAnsi="宋体" w:cs="宋体" w:eastAsia="宋体" w:hint="default"/>
                <w:sz w:val="20"/>
                <w:szCs w:val="20"/>
              </w:rPr>
            </w:pPr>
            <w:r>
              <w:rPr>
                <w:rFonts w:ascii="宋体"/>
                <w:w w:val="95"/>
                <w:sz w:val="20"/>
              </w:rPr>
              <w:t>2,352,342,112</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3"/>
              <w:jc w:val="right"/>
              <w:rPr>
                <w:rFonts w:ascii="宋体" w:hAnsi="宋体" w:cs="宋体" w:eastAsia="宋体" w:hint="default"/>
                <w:sz w:val="20"/>
                <w:szCs w:val="20"/>
              </w:rPr>
            </w:pPr>
            <w:r>
              <w:rPr>
                <w:rFonts w:ascii="宋体"/>
                <w:w w:val="95"/>
                <w:sz w:val="20"/>
              </w:rPr>
              <w:t>19.4%</w:t>
            </w:r>
            <w:r>
              <w:rPr>
                <w:rFonts w:ascii="宋体"/>
                <w:sz w:val="20"/>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1"/>
              <w:jc w:val="right"/>
              <w:rPr>
                <w:rFonts w:ascii="宋体" w:hAnsi="宋体" w:cs="宋体" w:eastAsia="宋体" w:hint="default"/>
                <w:sz w:val="20"/>
                <w:szCs w:val="20"/>
              </w:rPr>
            </w:pPr>
            <w:r>
              <w:rPr>
                <w:rFonts w:ascii="宋体"/>
                <w:w w:val="95"/>
                <w:sz w:val="20"/>
              </w:rPr>
              <w:t>46.7%</w:t>
            </w:r>
            <w:r>
              <w:rPr>
                <w:rFonts w:ascii="宋体"/>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03" w:right="0"/>
              <w:jc w:val="left"/>
              <w:rPr>
                <w:rFonts w:ascii="宋体" w:hAnsi="宋体" w:cs="宋体" w:eastAsia="宋体" w:hint="default"/>
                <w:sz w:val="20"/>
                <w:szCs w:val="20"/>
              </w:rPr>
            </w:pPr>
            <w:r>
              <w:rPr>
                <w:rFonts w:ascii="宋体" w:hAnsi="宋体" w:cs="宋体" w:eastAsia="宋体" w:hint="default"/>
                <w:spacing w:val="12"/>
                <w:sz w:val="20"/>
                <w:szCs w:val="20"/>
              </w:rPr>
              <w:t>主要由于报告期</w:t>
            </w:r>
          </w:p>
          <w:p>
            <w:pPr>
              <w:pStyle w:val="TableParagraph"/>
              <w:spacing w:line="260" w:lineRule="exact" w:before="24"/>
              <w:ind w:left="103" w:right="105"/>
              <w:jc w:val="left"/>
              <w:rPr>
                <w:rFonts w:ascii="宋体" w:hAnsi="宋体" w:cs="宋体" w:eastAsia="宋体" w:hint="default"/>
                <w:sz w:val="20"/>
                <w:szCs w:val="20"/>
              </w:rPr>
            </w:pPr>
            <w:r>
              <w:rPr>
                <w:rFonts w:ascii="宋体" w:hAnsi="宋体" w:cs="宋体" w:eastAsia="宋体" w:hint="default"/>
                <w:spacing w:val="12"/>
                <w:sz w:val="20"/>
                <w:szCs w:val="20"/>
              </w:rPr>
              <w:t>内公司境内贷款</w:t>
            </w:r>
            <w:r>
              <w:rPr>
                <w:rFonts w:ascii="宋体" w:hAnsi="宋体" w:cs="宋体" w:eastAsia="宋体" w:hint="default"/>
                <w:w w:val="99"/>
                <w:sz w:val="20"/>
                <w:szCs w:val="20"/>
              </w:rPr>
              <w:t> </w:t>
            </w:r>
            <w:r>
              <w:rPr>
                <w:rFonts w:ascii="宋体" w:hAnsi="宋体" w:cs="宋体" w:eastAsia="宋体" w:hint="default"/>
                <w:sz w:val="20"/>
                <w:szCs w:val="20"/>
              </w:rPr>
              <w:t>增加所致</w:t>
            </w:r>
          </w:p>
        </w:tc>
      </w:tr>
      <w:tr>
        <w:trPr>
          <w:trHeight w:val="788"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pacing w:val="28"/>
                <w:sz w:val="20"/>
                <w:szCs w:val="20"/>
              </w:rPr>
              <w:t>一年内到</w:t>
            </w:r>
            <w:r>
              <w:rPr>
                <w:rFonts w:ascii="宋体" w:hAnsi="宋体" w:cs="宋体" w:eastAsia="宋体" w:hint="default"/>
                <w:spacing w:val="-62"/>
                <w:sz w:val="20"/>
                <w:szCs w:val="20"/>
              </w:rPr>
              <w:t> </w:t>
            </w:r>
            <w:r>
              <w:rPr>
                <w:rFonts w:ascii="宋体" w:hAnsi="宋体" w:cs="宋体" w:eastAsia="宋体" w:hint="default"/>
                <w:sz w:val="20"/>
                <w:szCs w:val="20"/>
              </w:rPr>
            </w:r>
          </w:p>
          <w:p>
            <w:pPr>
              <w:pStyle w:val="TableParagraph"/>
              <w:spacing w:line="240" w:lineRule="auto"/>
              <w:ind w:left="103" w:right="62"/>
              <w:jc w:val="left"/>
              <w:rPr>
                <w:rFonts w:ascii="宋体" w:hAnsi="宋体" w:cs="宋体" w:eastAsia="宋体" w:hint="default"/>
                <w:sz w:val="20"/>
                <w:szCs w:val="20"/>
              </w:rPr>
            </w:pPr>
            <w:r>
              <w:rPr>
                <w:rFonts w:ascii="宋体" w:hAnsi="宋体" w:cs="宋体" w:eastAsia="宋体" w:hint="default"/>
                <w:spacing w:val="28"/>
                <w:sz w:val="20"/>
                <w:szCs w:val="20"/>
              </w:rPr>
              <w:t>期的非流</w:t>
            </w:r>
            <w:r>
              <w:rPr>
                <w:rFonts w:ascii="宋体" w:hAnsi="宋体" w:cs="宋体" w:eastAsia="宋体" w:hint="default"/>
                <w:spacing w:val="-62"/>
                <w:sz w:val="20"/>
                <w:szCs w:val="20"/>
              </w:rPr>
              <w:t> </w:t>
            </w:r>
            <w:r>
              <w:rPr>
                <w:rFonts w:ascii="宋体" w:hAnsi="宋体" w:cs="宋体" w:eastAsia="宋体" w:hint="default"/>
                <w:sz w:val="20"/>
                <w:szCs w:val="20"/>
              </w:rPr>
              <w:t>动负债</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4"/>
              <w:jc w:val="right"/>
              <w:rPr>
                <w:rFonts w:ascii="宋体" w:hAnsi="宋体" w:cs="宋体" w:eastAsia="宋体" w:hint="default"/>
                <w:sz w:val="20"/>
                <w:szCs w:val="20"/>
              </w:rPr>
            </w:pPr>
            <w:r>
              <w:rPr>
                <w:rFonts w:ascii="宋体"/>
                <w:w w:val="95"/>
                <w:sz w:val="20"/>
              </w:rPr>
              <w:t>191,168,565</w:t>
            </w:r>
            <w:r>
              <w:rPr>
                <w:rFonts w:ascii="宋体"/>
                <w:sz w:val="20"/>
              </w:rPr>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sz w:val="20"/>
              </w:rPr>
              <w:t>1.4%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4"/>
              <w:jc w:val="right"/>
              <w:rPr>
                <w:rFonts w:ascii="宋体" w:hAnsi="宋体" w:cs="宋体" w:eastAsia="宋体" w:hint="default"/>
                <w:sz w:val="20"/>
                <w:szCs w:val="20"/>
              </w:rPr>
            </w:pPr>
            <w:r>
              <w:rPr>
                <w:rFonts w:ascii="宋体"/>
                <w:w w:val="95"/>
                <w:sz w:val="20"/>
              </w:rPr>
              <w:t>113,415,571</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sz w:val="20"/>
              </w:rPr>
              <w:t>0.9%</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w w:val="95"/>
                <w:sz w:val="20"/>
              </w:rPr>
              <w:t>68.6%</w:t>
            </w:r>
            <w:r>
              <w:rPr>
                <w:rFonts w:ascii="宋体"/>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pacing w:val="12"/>
                <w:sz w:val="20"/>
                <w:szCs w:val="20"/>
              </w:rPr>
              <w:t>主要由于报告期</w:t>
            </w:r>
          </w:p>
          <w:p>
            <w:pPr>
              <w:pStyle w:val="TableParagraph"/>
              <w:spacing w:line="240" w:lineRule="auto"/>
              <w:ind w:left="103" w:right="105"/>
              <w:jc w:val="left"/>
              <w:rPr>
                <w:rFonts w:ascii="宋体" w:hAnsi="宋体" w:cs="宋体" w:eastAsia="宋体" w:hint="default"/>
                <w:sz w:val="20"/>
                <w:szCs w:val="20"/>
              </w:rPr>
            </w:pPr>
            <w:r>
              <w:rPr>
                <w:rFonts w:ascii="宋体" w:hAnsi="宋体" w:cs="宋体" w:eastAsia="宋体" w:hint="default"/>
                <w:spacing w:val="12"/>
                <w:sz w:val="20"/>
                <w:szCs w:val="20"/>
              </w:rPr>
              <w:t>内一年内到期的</w:t>
            </w:r>
            <w:r>
              <w:rPr>
                <w:rFonts w:ascii="宋体" w:hAnsi="宋体" w:cs="宋体" w:eastAsia="宋体" w:hint="default"/>
                <w:w w:val="99"/>
                <w:sz w:val="20"/>
                <w:szCs w:val="20"/>
              </w:rPr>
              <w:t> </w:t>
            </w:r>
            <w:r>
              <w:rPr>
                <w:rFonts w:ascii="宋体" w:hAnsi="宋体" w:cs="宋体" w:eastAsia="宋体" w:hint="default"/>
                <w:sz w:val="20"/>
                <w:szCs w:val="20"/>
              </w:rPr>
              <w:t>借款增加所致</w:t>
            </w:r>
          </w:p>
        </w:tc>
      </w:tr>
      <w:tr>
        <w:trPr>
          <w:trHeight w:val="1049"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减</w:t>
            </w:r>
            <w:r>
              <w:rPr>
                <w:rFonts w:ascii="宋体" w:hAnsi="宋体" w:cs="宋体" w:eastAsia="宋体" w:hint="default"/>
                <w:spacing w:val="-87"/>
                <w:w w:val="99"/>
                <w:sz w:val="20"/>
                <w:szCs w:val="20"/>
              </w:rPr>
              <w:t>：</w:t>
            </w:r>
            <w:r>
              <w:rPr>
                <w:rFonts w:ascii="宋体" w:hAnsi="宋体" w:cs="宋体" w:eastAsia="宋体" w:hint="default"/>
                <w:w w:val="99"/>
                <w:sz w:val="20"/>
                <w:szCs w:val="20"/>
              </w:rPr>
              <w:t>库存股</w:t>
            </w:r>
            <w:r>
              <w:rPr>
                <w:rFonts w:ascii="宋体" w:hAnsi="宋体" w:cs="宋体" w:eastAsia="宋体" w:hint="default"/>
                <w:sz w:val="20"/>
                <w:szCs w:val="20"/>
              </w:rPr>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4"/>
              <w:jc w:val="right"/>
              <w:rPr>
                <w:rFonts w:ascii="宋体" w:hAnsi="宋体" w:cs="宋体" w:eastAsia="宋体" w:hint="default"/>
                <w:sz w:val="20"/>
                <w:szCs w:val="20"/>
              </w:rPr>
            </w:pPr>
            <w:r>
              <w:rPr>
                <w:rFonts w:ascii="宋体"/>
                <w:w w:val="95"/>
                <w:sz w:val="20"/>
              </w:rPr>
              <w:t>-102,196,291</w:t>
            </w:r>
            <w:r>
              <w:rPr>
                <w:rFonts w:ascii="宋体"/>
                <w:sz w:val="20"/>
              </w:rPr>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2"/>
              <w:jc w:val="right"/>
              <w:rPr>
                <w:rFonts w:ascii="宋体" w:hAnsi="宋体" w:cs="宋体" w:eastAsia="宋体" w:hint="default"/>
                <w:sz w:val="20"/>
                <w:szCs w:val="20"/>
              </w:rPr>
            </w:pPr>
            <w:r>
              <w:rPr>
                <w:rFonts w:ascii="宋体"/>
                <w:w w:val="95"/>
                <w:sz w:val="20"/>
              </w:rPr>
              <w:t>-0.7%</w:t>
            </w:r>
            <w:r>
              <w:rPr>
                <w:rFonts w:ascii="宋体"/>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4"/>
              <w:jc w:val="right"/>
              <w:rPr>
                <w:rFonts w:ascii="宋体" w:hAnsi="宋体" w:cs="宋体" w:eastAsia="宋体" w:hint="default"/>
                <w:sz w:val="20"/>
                <w:szCs w:val="20"/>
              </w:rPr>
            </w:pPr>
            <w:r>
              <w:rPr>
                <w:rFonts w:ascii="宋体"/>
                <w:w w:val="95"/>
                <w:sz w:val="20"/>
              </w:rPr>
              <w:t>-186,377,326</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2"/>
              <w:jc w:val="right"/>
              <w:rPr>
                <w:rFonts w:ascii="宋体" w:hAnsi="宋体" w:cs="宋体" w:eastAsia="宋体" w:hint="default"/>
                <w:sz w:val="20"/>
                <w:szCs w:val="20"/>
              </w:rPr>
            </w:pPr>
            <w:r>
              <w:rPr>
                <w:rFonts w:ascii="宋体"/>
                <w:w w:val="95"/>
                <w:sz w:val="20"/>
              </w:rPr>
              <w:t>-1.5%</w:t>
            </w:r>
            <w:r>
              <w:rPr>
                <w:rFonts w:ascii="宋体"/>
                <w:sz w:val="20"/>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4"/>
              <w:jc w:val="right"/>
              <w:rPr>
                <w:rFonts w:ascii="宋体" w:hAnsi="宋体" w:cs="宋体" w:eastAsia="宋体" w:hint="default"/>
                <w:sz w:val="20"/>
                <w:szCs w:val="20"/>
              </w:rPr>
            </w:pPr>
            <w:r>
              <w:rPr>
                <w:rFonts w:ascii="宋体" w:hAnsi="宋体" w:cs="宋体" w:eastAsia="宋体" w:hint="default"/>
                <w:w w:val="95"/>
                <w:sz w:val="20"/>
                <w:szCs w:val="20"/>
              </w:rPr>
              <w:t>不适用</w:t>
            </w:r>
            <w:r>
              <w:rPr>
                <w:rFonts w:ascii="宋体" w:hAnsi="宋体" w:cs="宋体" w:eastAsia="宋体" w:hint="default"/>
                <w:sz w:val="20"/>
                <w:szCs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both"/>
              <w:rPr>
                <w:rFonts w:ascii="宋体" w:hAnsi="宋体" w:cs="宋体" w:eastAsia="宋体" w:hint="default"/>
                <w:sz w:val="20"/>
                <w:szCs w:val="20"/>
              </w:rPr>
            </w:pPr>
            <w:r>
              <w:rPr>
                <w:rFonts w:ascii="宋体" w:hAnsi="宋体" w:cs="宋体" w:eastAsia="宋体" w:hint="default"/>
                <w:spacing w:val="12"/>
                <w:sz w:val="20"/>
                <w:szCs w:val="20"/>
              </w:rPr>
              <w:t>主要由于报告期</w:t>
            </w:r>
          </w:p>
          <w:p>
            <w:pPr>
              <w:pStyle w:val="TableParagraph"/>
              <w:spacing w:line="260" w:lineRule="exact" w:before="24"/>
              <w:ind w:left="103" w:right="105"/>
              <w:jc w:val="both"/>
              <w:rPr>
                <w:rFonts w:ascii="宋体" w:hAnsi="宋体" w:cs="宋体" w:eastAsia="宋体" w:hint="default"/>
                <w:sz w:val="20"/>
                <w:szCs w:val="20"/>
              </w:rPr>
            </w:pPr>
            <w:r>
              <w:rPr>
                <w:rFonts w:ascii="宋体" w:hAnsi="宋体" w:cs="宋体" w:eastAsia="宋体" w:hint="default"/>
                <w:spacing w:val="12"/>
                <w:sz w:val="20"/>
                <w:szCs w:val="20"/>
              </w:rPr>
              <w:t>内公司为实行员</w:t>
            </w:r>
            <w:r>
              <w:rPr>
                <w:rFonts w:ascii="宋体" w:hAnsi="宋体" w:cs="宋体" w:eastAsia="宋体" w:hint="default"/>
                <w:w w:val="99"/>
                <w:sz w:val="20"/>
                <w:szCs w:val="20"/>
              </w:rPr>
              <w:t> </w:t>
            </w:r>
            <w:r>
              <w:rPr>
                <w:rFonts w:ascii="宋体" w:hAnsi="宋体" w:cs="宋体" w:eastAsia="宋体" w:hint="default"/>
                <w:spacing w:val="12"/>
                <w:sz w:val="20"/>
                <w:szCs w:val="20"/>
              </w:rPr>
              <w:t>工股权激励回购</w:t>
            </w:r>
            <w:r>
              <w:rPr>
                <w:rFonts w:ascii="宋体" w:hAnsi="宋体" w:cs="宋体" w:eastAsia="宋体" w:hint="default"/>
                <w:w w:val="99"/>
                <w:sz w:val="20"/>
                <w:szCs w:val="20"/>
              </w:rPr>
              <w:t> </w:t>
            </w:r>
            <w:r>
              <w:rPr>
                <w:rFonts w:ascii="宋体" w:hAnsi="宋体" w:cs="宋体" w:eastAsia="宋体" w:hint="default"/>
                <w:sz w:val="20"/>
                <w:szCs w:val="20"/>
              </w:rPr>
              <w:t>股票所致</w:t>
            </w:r>
          </w:p>
        </w:tc>
      </w:tr>
      <w:tr>
        <w:trPr>
          <w:trHeight w:val="1046"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pacing w:val="28"/>
                <w:sz w:val="20"/>
                <w:szCs w:val="20"/>
              </w:rPr>
              <w:t>其他综合</w:t>
            </w:r>
            <w:r>
              <w:rPr>
                <w:rFonts w:ascii="宋体" w:hAnsi="宋体" w:cs="宋体" w:eastAsia="宋体" w:hint="default"/>
                <w:spacing w:val="-62"/>
                <w:sz w:val="20"/>
                <w:szCs w:val="20"/>
              </w:rPr>
              <w:t> </w:t>
            </w:r>
            <w:r>
              <w:rPr>
                <w:rFonts w:ascii="宋体" w:hAnsi="宋体" w:cs="宋体" w:eastAsia="宋体" w:hint="default"/>
                <w:sz w:val="20"/>
                <w:szCs w:val="20"/>
              </w:rPr>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收益</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4"/>
              <w:jc w:val="right"/>
              <w:rPr>
                <w:rFonts w:ascii="宋体" w:hAnsi="宋体" w:cs="宋体" w:eastAsia="宋体" w:hint="default"/>
                <w:sz w:val="20"/>
                <w:szCs w:val="20"/>
              </w:rPr>
            </w:pPr>
            <w:r>
              <w:rPr>
                <w:rFonts w:ascii="宋体"/>
                <w:w w:val="95"/>
                <w:sz w:val="20"/>
              </w:rPr>
              <w:t>47,946,567</w:t>
            </w:r>
            <w:r>
              <w:rPr>
                <w:rFonts w:ascii="宋体"/>
                <w:sz w:val="20"/>
              </w:rPr>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sz w:val="20"/>
              </w:rPr>
              <w:t>0.3%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4"/>
              <w:jc w:val="right"/>
              <w:rPr>
                <w:rFonts w:ascii="宋体" w:hAnsi="宋体" w:cs="宋体" w:eastAsia="宋体" w:hint="default"/>
                <w:sz w:val="20"/>
                <w:szCs w:val="20"/>
              </w:rPr>
            </w:pPr>
            <w:r>
              <w:rPr>
                <w:rFonts w:ascii="宋体"/>
                <w:w w:val="95"/>
                <w:sz w:val="20"/>
              </w:rPr>
              <w:t>2,944,939</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20"/>
                <w:szCs w:val="20"/>
              </w:rPr>
            </w:pPr>
            <w:r>
              <w:rPr>
                <w:rFonts w:ascii="宋体"/>
                <w:sz w:val="20"/>
              </w:rPr>
              <w:t>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right="101"/>
              <w:jc w:val="right"/>
              <w:rPr>
                <w:rFonts w:ascii="宋体" w:hAnsi="宋体" w:cs="宋体" w:eastAsia="宋体" w:hint="default"/>
                <w:sz w:val="20"/>
                <w:szCs w:val="20"/>
              </w:rPr>
            </w:pPr>
            <w:r>
              <w:rPr>
                <w:rFonts w:ascii="宋体"/>
                <w:sz w:val="20"/>
              </w:rPr>
              <w:t>1,528.1</w:t>
            </w:r>
          </w:p>
          <w:p>
            <w:pPr>
              <w:pStyle w:val="TableParagraph"/>
              <w:spacing w:line="260" w:lineRule="exact"/>
              <w:ind w:right="104"/>
              <w:jc w:val="right"/>
              <w:rPr>
                <w:rFonts w:ascii="宋体" w:hAnsi="宋体" w:cs="宋体" w:eastAsia="宋体" w:hint="default"/>
                <w:sz w:val="20"/>
                <w:szCs w:val="20"/>
              </w:rPr>
            </w:pPr>
            <w:r>
              <w:rPr>
                <w:rFonts w:ascii="宋体"/>
                <w:w w:val="99"/>
                <w:sz w:val="20"/>
              </w:rPr>
              <w:t>%</w:t>
            </w:r>
            <w:r>
              <w:rPr>
                <w:rFonts w:ascii="宋体"/>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both"/>
              <w:rPr>
                <w:rFonts w:ascii="宋体" w:hAnsi="宋体" w:cs="宋体" w:eastAsia="宋体" w:hint="default"/>
                <w:sz w:val="20"/>
                <w:szCs w:val="20"/>
              </w:rPr>
            </w:pPr>
            <w:r>
              <w:rPr>
                <w:rFonts w:ascii="宋体" w:hAnsi="宋体" w:cs="宋体" w:eastAsia="宋体" w:hint="default"/>
                <w:spacing w:val="12"/>
                <w:sz w:val="20"/>
                <w:szCs w:val="20"/>
              </w:rPr>
              <w:t>主要由于报告期</w:t>
            </w:r>
          </w:p>
          <w:p>
            <w:pPr>
              <w:pStyle w:val="TableParagraph"/>
              <w:spacing w:line="260" w:lineRule="exact" w:before="24"/>
              <w:ind w:left="103" w:right="105"/>
              <w:jc w:val="both"/>
              <w:rPr>
                <w:rFonts w:ascii="宋体" w:hAnsi="宋体" w:cs="宋体" w:eastAsia="宋体" w:hint="default"/>
                <w:sz w:val="20"/>
                <w:szCs w:val="20"/>
              </w:rPr>
            </w:pPr>
            <w:r>
              <w:rPr>
                <w:rFonts w:ascii="宋体" w:hAnsi="宋体" w:cs="宋体" w:eastAsia="宋体" w:hint="default"/>
                <w:spacing w:val="12"/>
                <w:sz w:val="20"/>
                <w:szCs w:val="20"/>
              </w:rPr>
              <w:t>内可供出售金融</w:t>
            </w:r>
            <w:r>
              <w:rPr>
                <w:rFonts w:ascii="宋体" w:hAnsi="宋体" w:cs="宋体" w:eastAsia="宋体" w:hint="default"/>
                <w:w w:val="99"/>
                <w:sz w:val="20"/>
                <w:szCs w:val="20"/>
              </w:rPr>
              <w:t> </w:t>
            </w:r>
            <w:r>
              <w:rPr>
                <w:rFonts w:ascii="宋体" w:hAnsi="宋体" w:cs="宋体" w:eastAsia="宋体" w:hint="default"/>
                <w:spacing w:val="12"/>
                <w:sz w:val="20"/>
                <w:szCs w:val="20"/>
              </w:rPr>
              <w:t>资产公允价值变</w:t>
            </w:r>
            <w:r>
              <w:rPr>
                <w:rFonts w:ascii="宋体" w:hAnsi="宋体" w:cs="宋体" w:eastAsia="宋体" w:hint="default"/>
                <w:w w:val="99"/>
                <w:sz w:val="20"/>
                <w:szCs w:val="20"/>
              </w:rPr>
              <w:t> </w:t>
            </w:r>
            <w:r>
              <w:rPr>
                <w:rFonts w:ascii="宋体" w:hAnsi="宋体" w:cs="宋体" w:eastAsia="宋体" w:hint="default"/>
                <w:sz w:val="20"/>
                <w:szCs w:val="20"/>
              </w:rPr>
              <w:t>动所致</w:t>
            </w:r>
          </w:p>
        </w:tc>
      </w:tr>
    </w:tbl>
    <w:p>
      <w:pPr>
        <w:spacing w:line="240" w:lineRule="auto" w:before="7"/>
        <w:rPr>
          <w:rFonts w:ascii="宋体" w:hAnsi="宋体" w:cs="宋体" w:eastAsia="宋体" w:hint="default"/>
          <w:sz w:val="15"/>
          <w:szCs w:val="15"/>
        </w:rPr>
      </w:pPr>
    </w:p>
    <w:p>
      <w:pPr>
        <w:pStyle w:val="BodyText"/>
        <w:spacing w:line="272" w:lineRule="exact" w:before="64"/>
        <w:ind w:right="8228"/>
        <w:jc w:val="left"/>
      </w:pPr>
      <w:r>
        <w:rPr/>
        <w:t>其他说明</w:t>
      </w:r>
      <w:r>
        <w:rPr>
          <w:w w:val="100"/>
        </w:rPr>
        <w:t> </w:t>
      </w:r>
      <w:r>
        <w:rPr/>
        <w:t>无。</w:t>
      </w:r>
    </w:p>
    <w:p>
      <w:pPr>
        <w:spacing w:line="240" w:lineRule="auto" w:before="5"/>
        <w:rPr>
          <w:rFonts w:ascii="宋体" w:hAnsi="宋体" w:cs="宋体" w:eastAsia="宋体" w:hint="default"/>
          <w:sz w:val="23"/>
          <w:szCs w:val="23"/>
        </w:rPr>
      </w:pPr>
    </w:p>
    <w:p>
      <w:pPr>
        <w:pStyle w:val="Heading3"/>
        <w:tabs>
          <w:tab w:pos="642" w:val="left" w:leader="none"/>
        </w:tabs>
        <w:spacing w:line="240" w:lineRule="auto"/>
        <w:ind w:right="0"/>
        <w:jc w:val="left"/>
        <w:rPr>
          <w:b w:val="0"/>
          <w:bCs w:val="0"/>
        </w:rPr>
      </w:pPr>
      <w:r>
        <w:rPr>
          <w:rFonts w:ascii="宋体" w:hAnsi="宋体" w:cs="宋体" w:eastAsia="宋体" w:hint="default"/>
          <w:w w:val="95"/>
        </w:rPr>
        <w:t>2.</w:t>
        <w:tab/>
      </w:r>
      <w:r>
        <w:rPr/>
        <w:t>截至报告期末主要资产受限情况</w:t>
      </w:r>
      <w:r>
        <w:rPr>
          <w:b w:val="0"/>
          <w:bCs w:val="0"/>
        </w:rPr>
      </w:r>
    </w:p>
    <w:p>
      <w:pPr>
        <w:pStyle w:val="BodyText"/>
        <w:tabs>
          <w:tab w:pos="1060" w:val="left" w:leader="none"/>
        </w:tabs>
        <w:spacing w:line="240" w:lineRule="auto" w:before="58"/>
        <w:ind w:right="0"/>
        <w:jc w:val="left"/>
      </w:pPr>
      <w:r>
        <w:rPr>
          <w:spacing w:val="-1"/>
        </w:rPr>
        <w:t>√适用</w:t>
        <w:tab/>
      </w:r>
      <w:r>
        <w:rPr>
          <w:spacing w:val="-2"/>
        </w:rPr>
        <w:t>□不适用</w:t>
      </w:r>
    </w:p>
    <w:p>
      <w:pPr>
        <w:spacing w:line="240" w:lineRule="auto" w:before="3"/>
        <w:rPr>
          <w:rFonts w:ascii="宋体" w:hAnsi="宋体" w:cs="宋体" w:eastAsia="宋体" w:hint="default"/>
          <w:sz w:val="23"/>
          <w:szCs w:val="23"/>
        </w:rPr>
      </w:pPr>
    </w:p>
    <w:tbl>
      <w:tblPr>
        <w:tblW w:w="0" w:type="auto"/>
        <w:jc w:val="left"/>
        <w:tblInd w:w="105" w:type="dxa"/>
        <w:tblLayout w:type="fixed"/>
        <w:tblCellMar>
          <w:top w:w="0" w:type="dxa"/>
          <w:left w:w="0" w:type="dxa"/>
          <w:bottom w:w="0" w:type="dxa"/>
          <w:right w:w="0" w:type="dxa"/>
        </w:tblCellMar>
        <w:tblLook w:val="01E0"/>
      </w:tblPr>
      <w:tblGrid>
        <w:gridCol w:w="2941"/>
        <w:gridCol w:w="2943"/>
        <w:gridCol w:w="2941"/>
      </w:tblGrid>
      <w:tr>
        <w:trPr>
          <w:trHeight w:val="281"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期末账面价值</w:t>
            </w:r>
          </w:p>
        </w:tc>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受限原因</w:t>
            </w:r>
          </w:p>
        </w:tc>
      </w:tr>
      <w:tr>
        <w:trPr>
          <w:trHeight w:val="283"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32,782,548</w:t>
            </w:r>
          </w:p>
        </w:tc>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履约保证金</w:t>
            </w:r>
          </w:p>
        </w:tc>
      </w:tr>
      <w:tr>
        <w:trPr>
          <w:trHeight w:val="281"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1,356,777,699</w:t>
            </w:r>
          </w:p>
        </w:tc>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取得银行借款抵押</w:t>
            </w:r>
          </w:p>
        </w:tc>
      </w:tr>
      <w:tr>
        <w:trPr>
          <w:trHeight w:val="283"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143,878,082</w:t>
            </w:r>
          </w:p>
        </w:tc>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取得银行借款抵押</w:t>
            </w:r>
          </w:p>
        </w:tc>
      </w:tr>
      <w:tr>
        <w:trPr>
          <w:trHeight w:val="283"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103,581,374</w:t>
            </w:r>
          </w:p>
        </w:tc>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取得银行借款抵押</w:t>
            </w:r>
          </w:p>
        </w:tc>
      </w:tr>
      <w:tr>
        <w:trPr>
          <w:trHeight w:val="283"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1,637,019,703</w:t>
            </w:r>
          </w:p>
        </w:tc>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w:t>
            </w:r>
          </w:p>
        </w:tc>
      </w:tr>
    </w:tbl>
    <w:p>
      <w:pPr>
        <w:spacing w:line="240" w:lineRule="auto" w:before="13"/>
        <w:rPr>
          <w:rFonts w:ascii="宋体" w:hAnsi="宋体" w:cs="宋体" w:eastAsia="宋体" w:hint="default"/>
          <w:sz w:val="19"/>
          <w:szCs w:val="19"/>
        </w:rPr>
      </w:pPr>
    </w:p>
    <w:p>
      <w:pPr>
        <w:pStyle w:val="Heading3"/>
        <w:tabs>
          <w:tab w:pos="642" w:val="left" w:leader="none"/>
        </w:tabs>
        <w:spacing w:line="240" w:lineRule="auto" w:before="36"/>
        <w:ind w:right="0"/>
        <w:jc w:val="left"/>
        <w:rPr>
          <w:b w:val="0"/>
          <w:bCs w:val="0"/>
        </w:rPr>
      </w:pPr>
      <w:r>
        <w:rPr>
          <w:rFonts w:ascii="宋体" w:hAnsi="宋体" w:cs="宋体" w:eastAsia="宋体" w:hint="default"/>
          <w:w w:val="95"/>
        </w:rPr>
        <w:t>3.</w:t>
        <w:tab/>
      </w:r>
      <w:r>
        <w:rPr/>
        <w:t>其他说明</w:t>
      </w:r>
      <w:r>
        <w:rPr>
          <w:b w:val="0"/>
          <w:bCs w:val="0"/>
        </w:rPr>
      </w:r>
    </w:p>
    <w:p>
      <w:pPr>
        <w:pStyle w:val="BodyText"/>
        <w:tabs>
          <w:tab w:pos="1060" w:val="left" w:leader="none"/>
        </w:tabs>
        <w:spacing w:line="240" w:lineRule="auto" w:before="58"/>
        <w:ind w:right="0"/>
        <w:jc w:val="left"/>
      </w:pPr>
      <w:r>
        <w:rPr>
          <w:spacing w:val="-1"/>
        </w:rPr>
        <w:t>□适用</w:t>
        <w:tab/>
      </w:r>
      <w:r>
        <w:rPr>
          <w:spacing w:val="-2"/>
        </w:rPr>
        <w:t>√不适用</w:t>
      </w:r>
    </w:p>
    <w:p>
      <w:pPr>
        <w:pStyle w:val="Heading3"/>
        <w:tabs>
          <w:tab w:pos="1057" w:val="left" w:leader="none"/>
        </w:tabs>
        <w:spacing w:line="240" w:lineRule="auto" w:before="56"/>
        <w:ind w:right="0"/>
        <w:jc w:val="left"/>
        <w:rPr>
          <w:b w:val="0"/>
          <w:bCs w:val="0"/>
        </w:rPr>
      </w:pPr>
      <w:r>
        <w:rPr>
          <w:rFonts w:ascii="宋体" w:hAnsi="宋体" w:cs="宋体" w:eastAsia="宋体" w:hint="default"/>
          <w:spacing w:val="-1"/>
        </w:rPr>
        <w:t>(</w:t>
      </w:r>
      <w:r>
        <w:rPr>
          <w:spacing w:val="-1"/>
        </w:rPr>
        <w:t>四</w:t>
      </w:r>
      <w:r>
        <w:rPr>
          <w:rFonts w:ascii="宋体" w:hAnsi="宋体" w:cs="宋体" w:eastAsia="宋体" w:hint="default"/>
          <w:spacing w:val="-1"/>
        </w:rPr>
        <w:t>)</w:t>
        <w:tab/>
      </w:r>
      <w:r>
        <w:rPr/>
        <w:t>行业经营性信息分析</w:t>
      </w:r>
      <w:r>
        <w:rPr>
          <w:b w:val="0"/>
          <w:bCs w:val="0"/>
        </w:rPr>
      </w:r>
    </w:p>
    <w:p>
      <w:pPr>
        <w:pStyle w:val="BodyText"/>
        <w:tabs>
          <w:tab w:pos="1060" w:val="left" w:leader="none"/>
        </w:tabs>
        <w:spacing w:line="274" w:lineRule="exact" w:before="56"/>
        <w:ind w:right="0"/>
        <w:jc w:val="left"/>
      </w:pPr>
      <w:r>
        <w:rPr>
          <w:spacing w:val="-1"/>
        </w:rPr>
        <w:t>√适用</w:t>
        <w:tab/>
      </w:r>
      <w:r>
        <w:rPr>
          <w:spacing w:val="-2"/>
        </w:rPr>
        <w:t>□不适用</w:t>
      </w:r>
    </w:p>
    <w:p>
      <w:pPr>
        <w:pStyle w:val="BodyText"/>
        <w:spacing w:line="272" w:lineRule="exact" w:before="27"/>
        <w:ind w:right="0" w:firstLine="419"/>
        <w:jc w:val="left"/>
      </w:pPr>
      <w:r>
        <w:rPr>
          <w:spacing w:val="-7"/>
        </w:rPr>
        <w:t>参见“第三节</w:t>
      </w:r>
      <w:r>
        <w:rPr>
          <w:spacing w:val="63"/>
        </w:rPr>
        <w:t> </w:t>
      </w:r>
      <w:r>
        <w:rPr>
          <w:spacing w:val="-4"/>
        </w:rPr>
        <w:t>公司业务概要”中“一、报告期内公司所从事的主要业务、经营模式及行业情</w:t>
      </w:r>
      <w:r>
        <w:rPr>
          <w:w w:val="100"/>
        </w:rPr>
        <w:t> </w:t>
      </w:r>
      <w:r>
        <w:rPr/>
        <w:t>况说明”中“（二）行业情况说明”。</w:t>
      </w:r>
    </w:p>
    <w:p>
      <w:pPr>
        <w:spacing w:line="240" w:lineRule="auto" w:before="4"/>
        <w:rPr>
          <w:rFonts w:ascii="宋体" w:hAnsi="宋体" w:cs="宋体" w:eastAsia="宋体" w:hint="default"/>
          <w:sz w:val="23"/>
          <w:szCs w:val="23"/>
        </w:rPr>
      </w:pPr>
    </w:p>
    <w:p>
      <w:pPr>
        <w:pStyle w:val="Heading3"/>
        <w:tabs>
          <w:tab w:pos="1057" w:val="left" w:leader="none"/>
        </w:tabs>
        <w:spacing w:line="240" w:lineRule="auto"/>
        <w:ind w:right="0"/>
        <w:jc w:val="left"/>
        <w:rPr>
          <w:b w:val="0"/>
          <w:bCs w:val="0"/>
        </w:rPr>
      </w:pPr>
      <w:r>
        <w:rPr>
          <w:rFonts w:ascii="宋体" w:hAnsi="宋体" w:cs="宋体" w:eastAsia="宋体" w:hint="default"/>
          <w:spacing w:val="-1"/>
        </w:rPr>
        <w:t>(</w:t>
      </w:r>
      <w:r>
        <w:rPr>
          <w:spacing w:val="-1"/>
        </w:rPr>
        <w:t>五</w:t>
      </w:r>
      <w:r>
        <w:rPr>
          <w:rFonts w:ascii="宋体" w:hAnsi="宋体" w:cs="宋体" w:eastAsia="宋体" w:hint="default"/>
          <w:spacing w:val="-1"/>
        </w:rPr>
        <w:t>)</w:t>
        <w:tab/>
      </w:r>
      <w:r>
        <w:rPr/>
        <w:t>投资状况分析</w:t>
      </w:r>
      <w:r>
        <w:rPr>
          <w:b w:val="0"/>
          <w:bCs w:val="0"/>
        </w:rPr>
      </w:r>
    </w:p>
    <w:p>
      <w:pPr>
        <w:pStyle w:val="Heading3"/>
        <w:spacing w:line="240" w:lineRule="auto" w:before="58"/>
        <w:ind w:right="0"/>
        <w:jc w:val="left"/>
        <w:rPr>
          <w:b w:val="0"/>
          <w:bCs w:val="0"/>
        </w:rPr>
      </w:pPr>
      <w:r>
        <w:rPr>
          <w:rFonts w:ascii="宋体" w:hAnsi="宋体" w:cs="宋体" w:eastAsia="宋体" w:hint="default"/>
        </w:rPr>
        <w:t>1</w:t>
      </w:r>
      <w:r>
        <w:rPr/>
        <w:t>、</w:t>
      </w:r>
      <w:r>
        <w:rPr>
          <w:spacing w:val="-3"/>
        </w:rPr>
        <w:t> </w:t>
      </w:r>
      <w:r>
        <w:rPr/>
        <w:t>对外股权投资总体分析</w:t>
      </w:r>
      <w:r>
        <w:rPr>
          <w:b w:val="0"/>
          <w:bCs w:val="0"/>
        </w:rPr>
      </w:r>
    </w:p>
    <w:p>
      <w:pPr>
        <w:pStyle w:val="BodyText"/>
        <w:spacing w:line="240" w:lineRule="auto" w:before="56"/>
        <w:ind w:left="638" w:right="0" w:hanging="420"/>
        <w:jc w:val="left"/>
      </w:pPr>
      <w:r>
        <w:rPr/>
        <w:t>√适用</w:t>
      </w:r>
      <w:r>
        <w:rPr>
          <w:spacing w:val="-2"/>
        </w:rPr>
        <w:t> </w:t>
      </w:r>
      <w:r>
        <w:rPr/>
        <w:t>□不适用</w:t>
      </w:r>
      <w:r>
        <w:rPr>
          <w:w w:val="100"/>
        </w:rPr>
        <w:t> </w:t>
      </w:r>
      <w:r>
        <w:rPr>
          <w:spacing w:val="-2"/>
        </w:rPr>
        <w:t>报告期内公司投资状况分析详见本节“一、经营情况讨论与分析”中“（二）公司各项业务</w:t>
      </w:r>
    </w:p>
    <w:p>
      <w:pPr>
        <w:pStyle w:val="BodyText"/>
        <w:spacing w:line="271" w:lineRule="exact"/>
        <w:ind w:right="0"/>
        <w:jc w:val="left"/>
      </w:pPr>
      <w:r>
        <w:rPr/>
        <w:t>发展情况”中“</w:t>
      </w:r>
      <w:r>
        <w:rPr>
          <w:rFonts w:ascii="宋体" w:hAnsi="宋体" w:cs="宋体" w:eastAsia="宋体" w:hint="default"/>
        </w:rPr>
        <w:t>6</w:t>
      </w:r>
      <w:r>
        <w:rPr/>
        <w:t>、投资并购情况”的具体内容。</w:t>
      </w:r>
    </w:p>
    <w:p>
      <w:pPr>
        <w:spacing w:after="0" w:line="271" w:lineRule="exact"/>
        <w:jc w:val="left"/>
        <w:sectPr>
          <w:footerReference w:type="default" r:id="rId36"/>
          <w:pgSz w:w="11910" w:h="16840"/>
          <w:pgMar w:footer="1195" w:header="855" w:top="1320" w:bottom="1380" w:left="1580" w:right="1020"/>
        </w:sectPr>
      </w:pPr>
    </w:p>
    <w:p>
      <w:pPr>
        <w:spacing w:line="240" w:lineRule="auto" w:before="4"/>
        <w:rPr>
          <w:rFonts w:ascii="宋体" w:hAnsi="宋体" w:cs="宋体" w:eastAsia="宋体" w:hint="default"/>
          <w:sz w:val="9"/>
          <w:szCs w:val="9"/>
        </w:rPr>
      </w:pPr>
    </w:p>
    <w:p>
      <w:pPr>
        <w:pStyle w:val="Heading3"/>
        <w:spacing w:line="240" w:lineRule="auto" w:before="36"/>
        <w:ind w:right="147"/>
        <w:jc w:val="left"/>
        <w:rPr>
          <w:b w:val="0"/>
          <w:bCs w:val="0"/>
        </w:rPr>
      </w:pPr>
      <w:r>
        <w:rPr>
          <w:rFonts w:ascii="宋体" w:hAnsi="宋体" w:cs="宋体" w:eastAsia="宋体" w:hint="default"/>
        </w:rPr>
        <w:t>(1)</w:t>
      </w:r>
      <w:r>
        <w:rPr>
          <w:rFonts w:ascii="宋体" w:hAnsi="宋体" w:cs="宋体" w:eastAsia="宋体" w:hint="default"/>
          <w:spacing w:val="-1"/>
        </w:rPr>
        <w:t> </w:t>
      </w:r>
      <w:r>
        <w:rPr/>
        <w:t>重大的股权投资</w:t>
      </w:r>
      <w:r>
        <w:rPr>
          <w:b w:val="0"/>
          <w:bCs w:val="0"/>
        </w:rPr>
      </w:r>
    </w:p>
    <w:p>
      <w:pPr>
        <w:pStyle w:val="BodyText"/>
        <w:tabs>
          <w:tab w:pos="1060" w:val="left" w:leader="none"/>
        </w:tabs>
        <w:spacing w:line="240" w:lineRule="auto" w:before="58"/>
        <w:ind w:right="147"/>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right="147"/>
        <w:jc w:val="left"/>
        <w:rPr>
          <w:b w:val="0"/>
          <w:bCs w:val="0"/>
        </w:rPr>
      </w:pPr>
      <w:r>
        <w:rPr>
          <w:rFonts w:ascii="宋体" w:hAnsi="宋体" w:cs="宋体" w:eastAsia="宋体" w:hint="default"/>
        </w:rPr>
        <w:t>(2)</w:t>
      </w:r>
      <w:r>
        <w:rPr>
          <w:rFonts w:ascii="宋体" w:hAnsi="宋体" w:cs="宋体" w:eastAsia="宋体" w:hint="default"/>
          <w:spacing w:val="-1"/>
        </w:rPr>
        <w:t> </w:t>
      </w:r>
      <w:r>
        <w:rPr/>
        <w:t>重大的非股权投资</w:t>
      </w:r>
      <w:r>
        <w:rPr>
          <w:b w:val="0"/>
          <w:bCs w:val="0"/>
        </w:rPr>
      </w:r>
    </w:p>
    <w:p>
      <w:pPr>
        <w:pStyle w:val="BodyText"/>
        <w:tabs>
          <w:tab w:pos="1060" w:val="left" w:leader="none"/>
        </w:tabs>
        <w:spacing w:line="240" w:lineRule="auto" w:before="56"/>
        <w:ind w:right="147"/>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right="147"/>
        <w:jc w:val="left"/>
        <w:rPr>
          <w:b w:val="0"/>
          <w:bCs w:val="0"/>
        </w:rPr>
      </w:pPr>
      <w:r>
        <w:rPr>
          <w:rFonts w:ascii="宋体" w:hAnsi="宋体" w:cs="宋体" w:eastAsia="宋体" w:hint="default"/>
        </w:rPr>
        <w:t>(3)</w:t>
      </w:r>
      <w:r>
        <w:rPr>
          <w:rFonts w:ascii="宋体" w:hAnsi="宋体" w:cs="宋体" w:eastAsia="宋体" w:hint="default"/>
          <w:spacing w:val="-6"/>
        </w:rPr>
        <w:t> </w:t>
      </w:r>
      <w:r>
        <w:rPr/>
        <w:t>以公允价值计量的金融资产</w:t>
      </w:r>
      <w:r>
        <w:rPr>
          <w:b w:val="0"/>
          <w:bCs w:val="0"/>
        </w:rPr>
      </w:r>
    </w:p>
    <w:p>
      <w:pPr>
        <w:pStyle w:val="BodyText"/>
        <w:tabs>
          <w:tab w:pos="1060" w:val="left" w:leader="none"/>
        </w:tabs>
        <w:spacing w:line="240" w:lineRule="auto" w:before="58"/>
        <w:ind w:right="147"/>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tabs>
          <w:tab w:pos="1057" w:val="left" w:leader="none"/>
        </w:tabs>
        <w:spacing w:line="240" w:lineRule="auto"/>
        <w:ind w:right="147"/>
        <w:jc w:val="left"/>
        <w:rPr>
          <w:b w:val="0"/>
          <w:bCs w:val="0"/>
        </w:rPr>
      </w:pPr>
      <w:r>
        <w:rPr>
          <w:rFonts w:ascii="宋体" w:hAnsi="宋体" w:cs="宋体" w:eastAsia="宋体" w:hint="default"/>
          <w:spacing w:val="-1"/>
        </w:rPr>
        <w:t>(</w:t>
      </w:r>
      <w:r>
        <w:rPr>
          <w:spacing w:val="-1"/>
        </w:rPr>
        <w:t>六</w:t>
      </w:r>
      <w:r>
        <w:rPr>
          <w:rFonts w:ascii="宋体" w:hAnsi="宋体" w:cs="宋体" w:eastAsia="宋体" w:hint="default"/>
          <w:spacing w:val="-1"/>
        </w:rPr>
        <w:t>)</w:t>
        <w:tab/>
      </w:r>
      <w:r>
        <w:rPr/>
        <w:t>重大资产和股权出售</w:t>
      </w:r>
      <w:r>
        <w:rPr>
          <w:b w:val="0"/>
          <w:bCs w:val="0"/>
        </w:rPr>
      </w:r>
    </w:p>
    <w:p>
      <w:pPr>
        <w:pStyle w:val="BodyText"/>
        <w:tabs>
          <w:tab w:pos="1060" w:val="left" w:leader="none"/>
        </w:tabs>
        <w:spacing w:line="240" w:lineRule="auto" w:before="56"/>
        <w:ind w:right="147"/>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tabs>
          <w:tab w:pos="1057" w:val="left" w:leader="none"/>
        </w:tabs>
        <w:spacing w:line="240" w:lineRule="auto"/>
        <w:ind w:right="147"/>
        <w:jc w:val="left"/>
        <w:rPr>
          <w:b w:val="0"/>
          <w:bCs w:val="0"/>
        </w:rPr>
      </w:pPr>
      <w:r>
        <w:rPr>
          <w:rFonts w:ascii="宋体" w:hAnsi="宋体" w:cs="宋体" w:eastAsia="宋体" w:hint="default"/>
          <w:spacing w:val="-1"/>
        </w:rPr>
        <w:t>(</w:t>
      </w:r>
      <w:r>
        <w:rPr>
          <w:spacing w:val="-1"/>
        </w:rPr>
        <w:t>七</w:t>
      </w:r>
      <w:r>
        <w:rPr>
          <w:rFonts w:ascii="宋体" w:hAnsi="宋体" w:cs="宋体" w:eastAsia="宋体" w:hint="default"/>
          <w:spacing w:val="-1"/>
        </w:rPr>
        <w:t>)</w:t>
        <w:tab/>
      </w:r>
      <w:r>
        <w:rPr>
          <w:spacing w:val="-1"/>
        </w:rPr>
        <w:t>主要控股参股公司分析</w:t>
      </w:r>
      <w:r>
        <w:rPr>
          <w:b w:val="0"/>
          <w:bCs w:val="0"/>
          <w:spacing w:val="-1"/>
        </w:rPr>
      </w:r>
    </w:p>
    <w:p>
      <w:pPr>
        <w:pStyle w:val="BodyText"/>
        <w:tabs>
          <w:tab w:pos="1060" w:val="left" w:leader="none"/>
        </w:tabs>
        <w:spacing w:line="240" w:lineRule="auto" w:before="58"/>
        <w:ind w:right="147"/>
        <w:jc w:val="left"/>
      </w:pPr>
      <w:r>
        <w:rPr>
          <w:spacing w:val="-1"/>
        </w:rPr>
        <w:t>√适用</w:t>
        <w:tab/>
      </w:r>
      <w:r>
        <w:rPr>
          <w:spacing w:val="-2"/>
        </w:rPr>
        <w:t>□不适用</w:t>
      </w:r>
    </w:p>
    <w:p>
      <w:pPr>
        <w:spacing w:line="240" w:lineRule="auto" w:before="3"/>
        <w:rPr>
          <w:rFonts w:ascii="宋体" w:hAnsi="宋体" w:cs="宋体" w:eastAsia="宋体" w:hint="default"/>
          <w:sz w:val="23"/>
          <w:szCs w:val="23"/>
        </w:rPr>
      </w:pPr>
    </w:p>
    <w:tbl>
      <w:tblPr>
        <w:tblW w:w="0" w:type="auto"/>
        <w:jc w:val="left"/>
        <w:tblInd w:w="105" w:type="dxa"/>
        <w:tblLayout w:type="fixed"/>
        <w:tblCellMar>
          <w:top w:w="0" w:type="dxa"/>
          <w:left w:w="0" w:type="dxa"/>
          <w:bottom w:w="0" w:type="dxa"/>
          <w:right w:w="0" w:type="dxa"/>
        </w:tblCellMar>
        <w:tblLook w:val="01E0"/>
      </w:tblPr>
      <w:tblGrid>
        <w:gridCol w:w="1128"/>
        <w:gridCol w:w="912"/>
        <w:gridCol w:w="932"/>
        <w:gridCol w:w="1985"/>
        <w:gridCol w:w="852"/>
        <w:gridCol w:w="991"/>
        <w:gridCol w:w="994"/>
        <w:gridCol w:w="991"/>
      </w:tblGrid>
      <w:tr>
        <w:trPr>
          <w:trHeight w:val="1046"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z w:val="20"/>
                <w:szCs w:val="20"/>
              </w:rPr>
              <w:t>公司名称</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pacing w:val="32"/>
                <w:sz w:val="20"/>
                <w:szCs w:val="20"/>
              </w:rPr>
              <w:t>注册资</w:t>
            </w:r>
            <w:r>
              <w:rPr>
                <w:rFonts w:ascii="宋体" w:hAnsi="宋体" w:cs="宋体" w:eastAsia="宋体" w:hint="default"/>
                <w:spacing w:val="-52"/>
                <w:sz w:val="20"/>
                <w:szCs w:val="20"/>
              </w:rPr>
              <w:t> </w:t>
            </w:r>
            <w:r>
              <w:rPr>
                <w:rFonts w:ascii="宋体" w:hAnsi="宋体" w:cs="宋体" w:eastAsia="宋体" w:hint="default"/>
                <w:sz w:val="20"/>
                <w:szCs w:val="20"/>
              </w:rPr>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本（元）</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pacing w:val="38"/>
                <w:sz w:val="20"/>
                <w:szCs w:val="20"/>
              </w:rPr>
              <w:t>主要产</w:t>
            </w:r>
            <w:r>
              <w:rPr>
                <w:rFonts w:ascii="宋体" w:hAnsi="宋体" w:cs="宋体" w:eastAsia="宋体" w:hint="default"/>
                <w:spacing w:val="-43"/>
                <w:sz w:val="20"/>
                <w:szCs w:val="20"/>
              </w:rPr>
              <w:t> </w:t>
            </w:r>
            <w:r>
              <w:rPr>
                <w:rFonts w:ascii="宋体" w:hAnsi="宋体" w:cs="宋体" w:eastAsia="宋体" w:hint="default"/>
                <w:sz w:val="20"/>
                <w:szCs w:val="20"/>
              </w:rPr>
            </w:r>
          </w:p>
          <w:p>
            <w:pPr>
              <w:pStyle w:val="TableParagraph"/>
              <w:spacing w:line="260" w:lineRule="exact" w:before="24"/>
              <w:ind w:left="103" w:right="47"/>
              <w:jc w:val="left"/>
              <w:rPr>
                <w:rFonts w:ascii="宋体" w:hAnsi="宋体" w:cs="宋体" w:eastAsia="宋体" w:hint="default"/>
                <w:sz w:val="20"/>
                <w:szCs w:val="20"/>
              </w:rPr>
            </w:pPr>
            <w:r>
              <w:rPr>
                <w:rFonts w:ascii="宋体" w:hAnsi="宋体" w:cs="宋体" w:eastAsia="宋体" w:hint="default"/>
                <w:spacing w:val="38"/>
                <w:sz w:val="20"/>
                <w:szCs w:val="20"/>
              </w:rPr>
              <w:t>品或服</w:t>
            </w:r>
            <w:r>
              <w:rPr>
                <w:rFonts w:ascii="宋体" w:hAnsi="宋体" w:cs="宋体" w:eastAsia="宋体" w:hint="default"/>
                <w:spacing w:val="-43"/>
                <w:sz w:val="20"/>
                <w:szCs w:val="20"/>
              </w:rPr>
              <w:t> </w:t>
            </w:r>
            <w:r>
              <w:rPr>
                <w:rFonts w:ascii="宋体" w:hAnsi="宋体" w:cs="宋体" w:eastAsia="宋体" w:hint="default"/>
                <w:sz w:val="20"/>
                <w:szCs w:val="20"/>
              </w:rPr>
              <w:t>务</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z w:val="20"/>
                <w:szCs w:val="20"/>
              </w:rPr>
              <w:t>经营范围</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pacing w:val="16"/>
                <w:sz w:val="20"/>
                <w:szCs w:val="20"/>
              </w:rPr>
              <w:t>公司直</w:t>
            </w:r>
            <w:r>
              <w:rPr>
                <w:rFonts w:ascii="宋体" w:hAnsi="宋体" w:cs="宋体" w:eastAsia="宋体" w:hint="default"/>
                <w:sz w:val="20"/>
                <w:szCs w:val="20"/>
              </w:rPr>
            </w:r>
          </w:p>
          <w:p>
            <w:pPr>
              <w:pStyle w:val="TableParagraph"/>
              <w:tabs>
                <w:tab w:pos="537" w:val="left" w:leader="none"/>
              </w:tabs>
              <w:spacing w:line="260" w:lineRule="exact" w:before="24"/>
              <w:ind w:left="103" w:right="89"/>
              <w:jc w:val="left"/>
              <w:rPr>
                <w:rFonts w:ascii="宋体" w:hAnsi="宋体" w:cs="宋体" w:eastAsia="宋体" w:hint="default"/>
                <w:sz w:val="20"/>
                <w:szCs w:val="20"/>
              </w:rPr>
            </w:pPr>
            <w:r>
              <w:rPr>
                <w:rFonts w:ascii="宋体" w:hAnsi="宋体" w:cs="宋体" w:eastAsia="宋体" w:hint="default"/>
                <w:spacing w:val="16"/>
                <w:sz w:val="20"/>
                <w:szCs w:val="20"/>
              </w:rPr>
              <w:t>接持股</w:t>
            </w:r>
            <w:r>
              <w:rPr>
                <w:rFonts w:ascii="宋体" w:hAnsi="宋体" w:cs="宋体" w:eastAsia="宋体" w:hint="default"/>
                <w:spacing w:val="16"/>
                <w:w w:val="99"/>
                <w:sz w:val="20"/>
                <w:szCs w:val="20"/>
              </w:rPr>
              <w:t> </w:t>
            </w:r>
            <w:r>
              <w:rPr>
                <w:rFonts w:ascii="宋体" w:hAnsi="宋体" w:cs="宋体" w:eastAsia="宋体" w:hint="default"/>
                <w:w w:val="95"/>
                <w:sz w:val="20"/>
                <w:szCs w:val="20"/>
              </w:rPr>
              <w:t>比</w:t>
              <w:tab/>
            </w:r>
            <w:r>
              <w:rPr>
                <w:rFonts w:ascii="宋体" w:hAnsi="宋体" w:cs="宋体" w:eastAsia="宋体" w:hint="default"/>
                <w:sz w:val="20"/>
                <w:szCs w:val="20"/>
              </w:rPr>
              <w:t>例</w:t>
            </w:r>
          </w:p>
          <w:p>
            <w:pPr>
              <w:pStyle w:val="TableParagraph"/>
              <w:spacing w:line="235" w:lineRule="exact"/>
              <w:ind w:left="103" w:right="0"/>
              <w:jc w:val="left"/>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0"/>
                <w:szCs w:val="20"/>
              </w:rPr>
              <w:t>%</w:t>
            </w:r>
            <w:r>
              <w:rPr>
                <w:rFonts w:ascii="宋体" w:hAnsi="宋体" w:cs="宋体" w:eastAsia="宋体" w:hint="default"/>
                <w:sz w:val="20"/>
                <w:szCs w:val="20"/>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0" w:right="0"/>
              <w:jc w:val="left"/>
              <w:rPr>
                <w:rFonts w:ascii="宋体" w:hAnsi="宋体" w:cs="宋体" w:eastAsia="宋体" w:hint="default"/>
                <w:sz w:val="20"/>
                <w:szCs w:val="20"/>
              </w:rPr>
            </w:pPr>
            <w:r>
              <w:rPr>
                <w:rFonts w:ascii="宋体" w:hAnsi="宋体" w:cs="宋体" w:eastAsia="宋体" w:hint="default"/>
                <w:spacing w:val="88"/>
                <w:w w:val="99"/>
                <w:sz w:val="20"/>
                <w:szCs w:val="20"/>
              </w:rPr>
              <w:t>主营</w:t>
            </w:r>
            <w:r>
              <w:rPr>
                <w:rFonts w:ascii="宋体" w:hAnsi="宋体" w:cs="宋体" w:eastAsia="宋体" w:hint="default"/>
                <w:w w:val="99"/>
                <w:sz w:val="20"/>
                <w:szCs w:val="20"/>
              </w:rPr>
              <w:t>业</w:t>
            </w:r>
            <w:r>
              <w:rPr>
                <w:rFonts w:ascii="宋体" w:hAnsi="宋体" w:cs="宋体" w:eastAsia="宋体" w:hint="default"/>
                <w:spacing w:val="-12"/>
                <w:sz w:val="20"/>
                <w:szCs w:val="20"/>
              </w:rPr>
              <w:t> </w:t>
            </w:r>
            <w:r>
              <w:rPr>
                <w:rFonts w:ascii="宋体" w:hAnsi="宋体" w:cs="宋体" w:eastAsia="宋体" w:hint="default"/>
                <w:sz w:val="20"/>
                <w:szCs w:val="20"/>
              </w:rPr>
            </w:r>
          </w:p>
          <w:p>
            <w:pPr>
              <w:pStyle w:val="TableParagraph"/>
              <w:spacing w:line="259" w:lineRule="exact"/>
              <w:ind w:left="100" w:right="0"/>
              <w:jc w:val="left"/>
              <w:rPr>
                <w:rFonts w:ascii="宋体" w:hAnsi="宋体" w:cs="宋体" w:eastAsia="宋体" w:hint="default"/>
                <w:sz w:val="20"/>
                <w:szCs w:val="20"/>
              </w:rPr>
            </w:pPr>
            <w:r>
              <w:rPr>
                <w:rFonts w:ascii="宋体" w:hAnsi="宋体" w:cs="宋体" w:eastAsia="宋体" w:hint="default"/>
                <w:spacing w:val="88"/>
                <w:w w:val="99"/>
                <w:sz w:val="20"/>
                <w:szCs w:val="20"/>
              </w:rPr>
              <w:t>务收</w:t>
            </w:r>
            <w:r>
              <w:rPr>
                <w:rFonts w:ascii="宋体" w:hAnsi="宋体" w:cs="宋体" w:eastAsia="宋体" w:hint="default"/>
                <w:w w:val="99"/>
                <w:sz w:val="20"/>
                <w:szCs w:val="20"/>
              </w:rPr>
              <w:t>入</w:t>
            </w:r>
            <w:r>
              <w:rPr>
                <w:rFonts w:ascii="宋体" w:hAnsi="宋体" w:cs="宋体" w:eastAsia="宋体" w:hint="default"/>
                <w:spacing w:val="-12"/>
                <w:sz w:val="20"/>
                <w:szCs w:val="20"/>
              </w:rPr>
              <w:t> </w:t>
            </w:r>
            <w:r>
              <w:rPr>
                <w:rFonts w:ascii="宋体" w:hAnsi="宋体" w:cs="宋体" w:eastAsia="宋体" w:hint="default"/>
                <w:sz w:val="20"/>
                <w:szCs w:val="20"/>
              </w:rPr>
            </w:r>
          </w:p>
          <w:p>
            <w:pPr>
              <w:pStyle w:val="TableParagraph"/>
              <w:spacing w:line="260" w:lineRule="exact"/>
              <w:ind w:left="100" w:right="0"/>
              <w:jc w:val="left"/>
              <w:rPr>
                <w:rFonts w:ascii="宋体" w:hAnsi="宋体" w:cs="宋体" w:eastAsia="宋体" w:hint="default"/>
                <w:sz w:val="20"/>
                <w:szCs w:val="20"/>
              </w:rPr>
            </w:pPr>
            <w:r>
              <w:rPr>
                <w:rFonts w:ascii="宋体" w:hAnsi="宋体" w:cs="宋体" w:eastAsia="宋体" w:hint="default"/>
                <w:sz w:val="20"/>
                <w:szCs w:val="20"/>
              </w:rPr>
              <w:t>（元）</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pacing w:val="88"/>
                <w:w w:val="99"/>
                <w:sz w:val="20"/>
                <w:szCs w:val="20"/>
              </w:rPr>
              <w:t>总资</w:t>
            </w:r>
            <w:r>
              <w:rPr>
                <w:rFonts w:ascii="宋体" w:hAnsi="宋体" w:cs="宋体" w:eastAsia="宋体" w:hint="default"/>
                <w:w w:val="99"/>
                <w:sz w:val="20"/>
                <w:szCs w:val="20"/>
              </w:rPr>
              <w:t>产</w:t>
            </w:r>
            <w:r>
              <w:rPr>
                <w:rFonts w:ascii="宋体" w:hAnsi="宋体" w:cs="宋体" w:eastAsia="宋体" w:hint="default"/>
                <w:spacing w:val="-12"/>
                <w:sz w:val="20"/>
                <w:szCs w:val="20"/>
              </w:rPr>
              <w:t> </w:t>
            </w:r>
            <w:r>
              <w:rPr>
                <w:rFonts w:ascii="宋体" w:hAnsi="宋体" w:cs="宋体" w:eastAsia="宋体" w:hint="default"/>
                <w:sz w:val="20"/>
                <w:szCs w:val="20"/>
              </w:rPr>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（元）</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0" w:right="0"/>
              <w:jc w:val="left"/>
              <w:rPr>
                <w:rFonts w:ascii="宋体" w:hAnsi="宋体" w:cs="宋体" w:eastAsia="宋体" w:hint="default"/>
                <w:sz w:val="20"/>
                <w:szCs w:val="20"/>
              </w:rPr>
            </w:pPr>
            <w:r>
              <w:rPr>
                <w:rFonts w:ascii="宋体" w:hAnsi="宋体" w:cs="宋体" w:eastAsia="宋体" w:hint="default"/>
                <w:sz w:val="20"/>
                <w:szCs w:val="20"/>
              </w:rPr>
              <w:t>净 利</w:t>
            </w:r>
            <w:r>
              <w:rPr>
                <w:rFonts w:ascii="宋体" w:hAnsi="宋体" w:cs="宋体" w:eastAsia="宋体" w:hint="default"/>
                <w:spacing w:val="-29"/>
                <w:sz w:val="20"/>
                <w:szCs w:val="20"/>
              </w:rPr>
              <w:t> </w:t>
            </w:r>
            <w:r>
              <w:rPr>
                <w:rFonts w:ascii="宋体" w:hAnsi="宋体" w:cs="宋体" w:eastAsia="宋体" w:hint="default"/>
                <w:sz w:val="20"/>
                <w:szCs w:val="20"/>
              </w:rPr>
              <w:t>润</w:t>
            </w:r>
          </w:p>
          <w:p>
            <w:pPr>
              <w:pStyle w:val="TableParagraph"/>
              <w:spacing w:line="260" w:lineRule="exact" w:before="24"/>
              <w:ind w:left="100" w:right="5"/>
              <w:jc w:val="left"/>
              <w:rPr>
                <w:rFonts w:ascii="宋体" w:hAnsi="宋体" w:cs="宋体" w:eastAsia="宋体" w:hint="default"/>
                <w:sz w:val="20"/>
                <w:szCs w:val="20"/>
              </w:rPr>
            </w:pPr>
            <w:r>
              <w:rPr>
                <w:rFonts w:ascii="宋体" w:hAnsi="宋体" w:cs="宋体" w:eastAsia="宋体" w:hint="default"/>
                <w:sz w:val="20"/>
                <w:szCs w:val="20"/>
              </w:rPr>
              <w:t>（ 净</w:t>
            </w:r>
            <w:r>
              <w:rPr>
                <w:rFonts w:ascii="宋体" w:hAnsi="宋体" w:cs="宋体" w:eastAsia="宋体" w:hint="default"/>
                <w:spacing w:val="-28"/>
                <w:sz w:val="20"/>
                <w:szCs w:val="20"/>
              </w:rPr>
              <w:t> </w:t>
            </w:r>
            <w:r>
              <w:rPr>
                <w:rFonts w:ascii="宋体" w:hAnsi="宋体" w:cs="宋体" w:eastAsia="宋体" w:hint="default"/>
                <w:sz w:val="20"/>
                <w:szCs w:val="20"/>
              </w:rPr>
              <w:t>亏</w:t>
            </w:r>
            <w:r>
              <w:rPr>
                <w:rFonts w:ascii="宋体" w:hAnsi="宋体" w:cs="宋体" w:eastAsia="宋体" w:hint="default"/>
                <w:w w:val="99"/>
                <w:sz w:val="20"/>
                <w:szCs w:val="20"/>
              </w:rPr>
              <w:t> </w:t>
            </w:r>
            <w:r>
              <w:rPr>
                <w:rFonts w:ascii="宋体" w:hAnsi="宋体" w:cs="宋体" w:eastAsia="宋体" w:hint="default"/>
                <w:spacing w:val="-25"/>
                <w:w w:val="99"/>
                <w:sz w:val="20"/>
                <w:szCs w:val="20"/>
              </w:rPr>
              <w:t>损）（元）</w:t>
            </w:r>
            <w:r>
              <w:rPr>
                <w:rFonts w:ascii="宋体" w:hAnsi="宋体" w:cs="宋体" w:eastAsia="宋体" w:hint="default"/>
                <w:spacing w:val="-25"/>
                <w:sz w:val="20"/>
                <w:szCs w:val="20"/>
              </w:rPr>
            </w:r>
          </w:p>
        </w:tc>
      </w:tr>
      <w:tr>
        <w:trPr>
          <w:trHeight w:val="1047"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pacing w:val="28"/>
                <w:sz w:val="20"/>
                <w:szCs w:val="20"/>
              </w:rPr>
              <w:t>北京用友</w:t>
            </w:r>
            <w:r>
              <w:rPr>
                <w:rFonts w:ascii="宋体" w:hAnsi="宋体" w:cs="宋体" w:eastAsia="宋体" w:hint="default"/>
                <w:spacing w:val="-62"/>
                <w:sz w:val="20"/>
                <w:szCs w:val="20"/>
              </w:rPr>
              <w:t> </w:t>
            </w:r>
            <w:r>
              <w:rPr>
                <w:rFonts w:ascii="宋体" w:hAnsi="宋体" w:cs="宋体" w:eastAsia="宋体" w:hint="default"/>
                <w:sz w:val="20"/>
                <w:szCs w:val="20"/>
              </w:rPr>
            </w:r>
          </w:p>
          <w:p>
            <w:pPr>
              <w:pStyle w:val="TableParagraph"/>
              <w:spacing w:line="260" w:lineRule="exact" w:before="24"/>
              <w:ind w:left="103" w:right="62"/>
              <w:jc w:val="left"/>
              <w:rPr>
                <w:rFonts w:ascii="宋体" w:hAnsi="宋体" w:cs="宋体" w:eastAsia="宋体" w:hint="default"/>
                <w:sz w:val="20"/>
                <w:szCs w:val="20"/>
              </w:rPr>
            </w:pPr>
            <w:r>
              <w:rPr>
                <w:rFonts w:ascii="宋体" w:hAnsi="宋体" w:cs="宋体" w:eastAsia="宋体" w:hint="default"/>
                <w:spacing w:val="28"/>
                <w:sz w:val="20"/>
                <w:szCs w:val="20"/>
              </w:rPr>
              <w:t>政务软件</w:t>
            </w:r>
            <w:r>
              <w:rPr>
                <w:rFonts w:ascii="宋体" w:hAnsi="宋体" w:cs="宋体" w:eastAsia="宋体" w:hint="default"/>
                <w:spacing w:val="-62"/>
                <w:sz w:val="20"/>
                <w:szCs w:val="20"/>
              </w:rPr>
              <w:t> </w:t>
            </w:r>
            <w:r>
              <w:rPr>
                <w:rFonts w:ascii="宋体" w:hAnsi="宋体" w:cs="宋体" w:eastAsia="宋体" w:hint="default"/>
                <w:sz w:val="20"/>
                <w:szCs w:val="20"/>
              </w:rPr>
              <w:t>有限公司</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96" w:right="0"/>
              <w:jc w:val="center"/>
              <w:rPr>
                <w:rFonts w:ascii="宋体" w:hAnsi="宋体" w:cs="宋体" w:eastAsia="宋体" w:hint="default"/>
                <w:sz w:val="20"/>
                <w:szCs w:val="20"/>
              </w:rPr>
            </w:pPr>
            <w:r>
              <w:rPr>
                <w:rFonts w:ascii="宋体"/>
                <w:sz w:val="20"/>
              </w:rPr>
              <w:t>129,77</w:t>
            </w:r>
          </w:p>
          <w:p>
            <w:pPr>
              <w:pStyle w:val="TableParagraph"/>
              <w:spacing w:line="260" w:lineRule="exact"/>
              <w:ind w:left="197" w:right="0"/>
              <w:jc w:val="center"/>
              <w:rPr>
                <w:rFonts w:ascii="宋体" w:hAnsi="宋体" w:cs="宋体" w:eastAsia="宋体" w:hint="default"/>
                <w:sz w:val="20"/>
                <w:szCs w:val="20"/>
              </w:rPr>
            </w:pPr>
            <w:r>
              <w:rPr>
                <w:rFonts w:ascii="宋体"/>
                <w:sz w:val="20"/>
              </w:rPr>
              <w:t>5,735</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both"/>
              <w:rPr>
                <w:rFonts w:ascii="宋体" w:hAnsi="宋体" w:cs="宋体" w:eastAsia="宋体" w:hint="default"/>
                <w:sz w:val="20"/>
                <w:szCs w:val="20"/>
              </w:rPr>
            </w:pPr>
            <w:r>
              <w:rPr>
                <w:rFonts w:ascii="宋体" w:hAnsi="宋体" w:cs="宋体" w:eastAsia="宋体" w:hint="default"/>
                <w:spacing w:val="38"/>
                <w:sz w:val="20"/>
                <w:szCs w:val="20"/>
              </w:rPr>
              <w:t>计算机</w:t>
            </w:r>
            <w:r>
              <w:rPr>
                <w:rFonts w:ascii="宋体" w:hAnsi="宋体" w:cs="宋体" w:eastAsia="宋体" w:hint="default"/>
                <w:spacing w:val="-43"/>
                <w:sz w:val="20"/>
                <w:szCs w:val="20"/>
              </w:rPr>
              <w:t> </w:t>
            </w:r>
            <w:r>
              <w:rPr>
                <w:rFonts w:ascii="宋体" w:hAnsi="宋体" w:cs="宋体" w:eastAsia="宋体" w:hint="default"/>
                <w:sz w:val="20"/>
                <w:szCs w:val="20"/>
              </w:rPr>
            </w:r>
          </w:p>
          <w:p>
            <w:pPr>
              <w:pStyle w:val="TableParagraph"/>
              <w:spacing w:line="237" w:lineRule="auto" w:before="1"/>
              <w:ind w:left="103" w:right="101"/>
              <w:jc w:val="both"/>
              <w:rPr>
                <w:rFonts w:ascii="宋体" w:hAnsi="宋体" w:cs="宋体" w:eastAsia="宋体" w:hint="default"/>
                <w:sz w:val="20"/>
                <w:szCs w:val="20"/>
              </w:rPr>
            </w:pPr>
            <w:r>
              <w:rPr>
                <w:rFonts w:ascii="宋体" w:hAnsi="宋体" w:cs="宋体" w:eastAsia="宋体" w:hint="default"/>
                <w:sz w:val="20"/>
                <w:szCs w:val="20"/>
              </w:rPr>
              <w:t>软 </w:t>
            </w:r>
            <w:r>
              <w:rPr>
                <w:rFonts w:ascii="宋体" w:hAnsi="宋体" w:cs="宋体" w:eastAsia="宋体" w:hint="default"/>
                <w:sz w:val="20"/>
                <w:szCs w:val="20"/>
              </w:rPr>
              <w:t>/</w:t>
            </w:r>
            <w:r>
              <w:rPr>
                <w:rFonts w:ascii="宋体" w:hAnsi="宋体" w:cs="宋体" w:eastAsia="宋体" w:hint="default"/>
                <w:spacing w:val="15"/>
                <w:sz w:val="20"/>
                <w:szCs w:val="20"/>
              </w:rPr>
              <w:t> </w:t>
            </w:r>
            <w:r>
              <w:rPr>
                <w:rFonts w:ascii="宋体" w:hAnsi="宋体" w:cs="宋体" w:eastAsia="宋体" w:hint="default"/>
                <w:sz w:val="20"/>
                <w:szCs w:val="20"/>
              </w:rPr>
              <w:t>硬</w:t>
            </w:r>
            <w:r>
              <w:rPr>
                <w:rFonts w:ascii="宋体" w:hAnsi="宋体" w:cs="宋体" w:eastAsia="宋体" w:hint="default"/>
                <w:w w:val="99"/>
                <w:sz w:val="20"/>
                <w:szCs w:val="20"/>
              </w:rPr>
              <w:t> </w:t>
            </w:r>
            <w:r>
              <w:rPr>
                <w:rFonts w:ascii="宋体" w:hAnsi="宋体" w:cs="宋体" w:eastAsia="宋体" w:hint="default"/>
                <w:spacing w:val="-22"/>
                <w:w w:val="99"/>
                <w:sz w:val="20"/>
                <w:szCs w:val="20"/>
              </w:rPr>
              <w:t>件、技术</w:t>
            </w:r>
            <w:r>
              <w:rPr>
                <w:rFonts w:ascii="宋体" w:hAnsi="宋体" w:cs="宋体" w:eastAsia="宋体" w:hint="default"/>
                <w:spacing w:val="-97"/>
                <w:w w:val="99"/>
                <w:sz w:val="20"/>
                <w:szCs w:val="20"/>
              </w:rPr>
              <w:t> </w:t>
            </w:r>
            <w:r>
              <w:rPr>
                <w:rFonts w:ascii="宋体" w:hAnsi="宋体" w:cs="宋体" w:eastAsia="宋体" w:hint="default"/>
                <w:spacing w:val="-97"/>
                <w:w w:val="99"/>
                <w:sz w:val="20"/>
                <w:szCs w:val="20"/>
              </w:rPr>
            </w:r>
            <w:r>
              <w:rPr>
                <w:rFonts w:ascii="宋体" w:hAnsi="宋体" w:cs="宋体" w:eastAsia="宋体" w:hint="default"/>
                <w:sz w:val="20"/>
                <w:szCs w:val="20"/>
              </w:rPr>
              <w:t>咨询</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pacing w:val="-4"/>
                <w:sz w:val="20"/>
                <w:szCs w:val="20"/>
              </w:rPr>
              <w:t>应用软件服务；销售</w:t>
            </w:r>
          </w:p>
          <w:p>
            <w:pPr>
              <w:pStyle w:val="TableParagraph"/>
              <w:spacing w:line="260" w:lineRule="exact" w:before="24"/>
              <w:ind w:left="103" w:right="104"/>
              <w:jc w:val="left"/>
              <w:rPr>
                <w:rFonts w:ascii="宋体" w:hAnsi="宋体" w:cs="宋体" w:eastAsia="宋体" w:hint="default"/>
                <w:sz w:val="20"/>
                <w:szCs w:val="20"/>
              </w:rPr>
            </w:pPr>
            <w:r>
              <w:rPr>
                <w:rFonts w:ascii="宋体" w:hAnsi="宋体" w:cs="宋体" w:eastAsia="宋体" w:hint="default"/>
                <w:spacing w:val="-4"/>
                <w:sz w:val="20"/>
                <w:szCs w:val="20"/>
              </w:rPr>
              <w:t>计算机、软件及辅助</w:t>
            </w:r>
            <w:r>
              <w:rPr>
                <w:rFonts w:ascii="宋体" w:hAnsi="宋体" w:cs="宋体" w:eastAsia="宋体" w:hint="default"/>
                <w:w w:val="99"/>
                <w:sz w:val="20"/>
                <w:szCs w:val="20"/>
              </w:rPr>
              <w:t> </w:t>
            </w:r>
            <w:r>
              <w:rPr>
                <w:rFonts w:ascii="宋体" w:hAnsi="宋体" w:cs="宋体" w:eastAsia="宋体" w:hint="default"/>
                <w:sz w:val="20"/>
                <w:szCs w:val="20"/>
              </w:rPr>
              <w:t>设备</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3"/>
              <w:jc w:val="right"/>
              <w:rPr>
                <w:rFonts w:ascii="宋体" w:hAnsi="宋体" w:cs="宋体" w:eastAsia="宋体" w:hint="default"/>
                <w:sz w:val="20"/>
                <w:szCs w:val="20"/>
              </w:rPr>
            </w:pPr>
            <w:r>
              <w:rPr>
                <w:rFonts w:ascii="宋体"/>
                <w:w w:val="95"/>
                <w:sz w:val="20"/>
              </w:rPr>
              <w:t>84.19</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75" w:right="0"/>
              <w:jc w:val="left"/>
              <w:rPr>
                <w:rFonts w:ascii="宋体" w:hAnsi="宋体" w:cs="宋体" w:eastAsia="宋体" w:hint="default"/>
                <w:sz w:val="20"/>
                <w:szCs w:val="20"/>
              </w:rPr>
            </w:pPr>
            <w:r>
              <w:rPr>
                <w:rFonts w:ascii="宋体"/>
                <w:sz w:val="20"/>
              </w:rPr>
              <w:t>609,984</w:t>
            </w:r>
          </w:p>
          <w:p>
            <w:pPr>
              <w:pStyle w:val="TableParagraph"/>
              <w:spacing w:line="260" w:lineRule="exact"/>
              <w:ind w:left="475" w:right="0"/>
              <w:jc w:val="left"/>
              <w:rPr>
                <w:rFonts w:ascii="宋体" w:hAnsi="宋体" w:cs="宋体" w:eastAsia="宋体" w:hint="default"/>
                <w:sz w:val="20"/>
                <w:szCs w:val="20"/>
              </w:rPr>
            </w:pPr>
            <w:r>
              <w:rPr>
                <w:rFonts w:ascii="宋体"/>
                <w:sz w:val="20"/>
              </w:rPr>
              <w:t>,231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79" w:right="0"/>
              <w:jc w:val="left"/>
              <w:rPr>
                <w:rFonts w:ascii="宋体" w:hAnsi="宋体" w:cs="宋体" w:eastAsia="宋体" w:hint="default"/>
                <w:sz w:val="20"/>
                <w:szCs w:val="20"/>
              </w:rPr>
            </w:pPr>
            <w:r>
              <w:rPr>
                <w:rFonts w:ascii="宋体"/>
                <w:sz w:val="20"/>
              </w:rPr>
              <w:t>659,861</w:t>
            </w:r>
          </w:p>
          <w:p>
            <w:pPr>
              <w:pStyle w:val="TableParagraph"/>
              <w:spacing w:line="260" w:lineRule="exact"/>
              <w:ind w:left="480" w:right="0"/>
              <w:jc w:val="left"/>
              <w:rPr>
                <w:rFonts w:ascii="宋体" w:hAnsi="宋体" w:cs="宋体" w:eastAsia="宋体" w:hint="default"/>
                <w:sz w:val="20"/>
                <w:szCs w:val="20"/>
              </w:rPr>
            </w:pPr>
            <w:r>
              <w:rPr>
                <w:rFonts w:ascii="宋体"/>
                <w:sz w:val="20"/>
              </w:rPr>
              <w:t>,516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75" w:right="0"/>
              <w:jc w:val="left"/>
              <w:rPr>
                <w:rFonts w:ascii="宋体" w:hAnsi="宋体" w:cs="宋体" w:eastAsia="宋体" w:hint="default"/>
                <w:sz w:val="20"/>
                <w:szCs w:val="20"/>
              </w:rPr>
            </w:pPr>
            <w:r>
              <w:rPr>
                <w:rFonts w:ascii="宋体"/>
                <w:sz w:val="20"/>
              </w:rPr>
              <w:t>23,594,</w:t>
            </w:r>
          </w:p>
          <w:p>
            <w:pPr>
              <w:pStyle w:val="TableParagraph"/>
              <w:spacing w:line="260" w:lineRule="exact"/>
              <w:ind w:left="576" w:right="0"/>
              <w:jc w:val="left"/>
              <w:rPr>
                <w:rFonts w:ascii="宋体" w:hAnsi="宋体" w:cs="宋体" w:eastAsia="宋体" w:hint="default"/>
                <w:sz w:val="20"/>
                <w:szCs w:val="20"/>
              </w:rPr>
            </w:pPr>
            <w:r>
              <w:rPr>
                <w:rFonts w:ascii="宋体"/>
                <w:sz w:val="20"/>
              </w:rPr>
              <w:t>412</w:t>
            </w:r>
          </w:p>
        </w:tc>
      </w:tr>
      <w:tr>
        <w:trPr>
          <w:trHeight w:val="2863"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03" w:right="0"/>
              <w:jc w:val="left"/>
              <w:rPr>
                <w:rFonts w:ascii="宋体" w:hAnsi="宋体" w:cs="宋体" w:eastAsia="宋体" w:hint="default"/>
                <w:sz w:val="20"/>
                <w:szCs w:val="20"/>
              </w:rPr>
            </w:pPr>
            <w:r>
              <w:rPr>
                <w:rFonts w:ascii="宋体" w:hAnsi="宋体" w:cs="宋体" w:eastAsia="宋体" w:hint="default"/>
                <w:spacing w:val="28"/>
                <w:sz w:val="20"/>
                <w:szCs w:val="20"/>
              </w:rPr>
              <w:t>用友汽车</w:t>
            </w:r>
            <w:r>
              <w:rPr>
                <w:rFonts w:ascii="宋体" w:hAnsi="宋体" w:cs="宋体" w:eastAsia="宋体" w:hint="default"/>
                <w:spacing w:val="-62"/>
                <w:sz w:val="20"/>
                <w:szCs w:val="20"/>
              </w:rPr>
              <w:t> </w:t>
            </w:r>
            <w:r>
              <w:rPr>
                <w:rFonts w:ascii="宋体" w:hAnsi="宋体" w:cs="宋体" w:eastAsia="宋体" w:hint="default"/>
                <w:sz w:val="20"/>
                <w:szCs w:val="20"/>
              </w:rPr>
            </w:r>
          </w:p>
          <w:p>
            <w:pPr>
              <w:pStyle w:val="TableParagraph"/>
              <w:spacing w:line="259" w:lineRule="exact"/>
              <w:ind w:left="103" w:right="0"/>
              <w:jc w:val="left"/>
              <w:rPr>
                <w:rFonts w:ascii="宋体" w:hAnsi="宋体" w:cs="宋体" w:eastAsia="宋体" w:hint="default"/>
                <w:sz w:val="20"/>
                <w:szCs w:val="20"/>
              </w:rPr>
            </w:pPr>
            <w:r>
              <w:rPr>
                <w:rFonts w:ascii="宋体" w:hAnsi="宋体" w:cs="宋体" w:eastAsia="宋体" w:hint="default"/>
                <w:spacing w:val="28"/>
                <w:sz w:val="20"/>
                <w:szCs w:val="20"/>
              </w:rPr>
              <w:t>信息科技</w:t>
            </w:r>
            <w:r>
              <w:rPr>
                <w:rFonts w:ascii="宋体" w:hAnsi="宋体" w:cs="宋体" w:eastAsia="宋体" w:hint="default"/>
                <w:spacing w:val="-62"/>
                <w:sz w:val="20"/>
                <w:szCs w:val="20"/>
              </w:rPr>
              <w:t> </w:t>
            </w:r>
            <w:r>
              <w:rPr>
                <w:rFonts w:ascii="宋体" w:hAnsi="宋体" w:cs="宋体" w:eastAsia="宋体" w:hint="default"/>
                <w:sz w:val="20"/>
                <w:szCs w:val="20"/>
              </w:rPr>
            </w:r>
          </w:p>
          <w:p>
            <w:pPr>
              <w:pStyle w:val="TableParagraph"/>
              <w:spacing w:line="259"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（上海</w:t>
            </w:r>
            <w:r>
              <w:rPr>
                <w:rFonts w:ascii="宋体" w:hAnsi="宋体" w:cs="宋体" w:eastAsia="宋体" w:hint="default"/>
                <w:spacing w:val="-87"/>
                <w:w w:val="99"/>
                <w:sz w:val="20"/>
                <w:szCs w:val="20"/>
              </w:rPr>
              <w:t>）</w:t>
            </w:r>
            <w:r>
              <w:rPr>
                <w:rFonts w:ascii="宋体" w:hAnsi="宋体" w:cs="宋体" w:eastAsia="宋体" w:hint="default"/>
                <w:w w:val="99"/>
                <w:sz w:val="20"/>
                <w:szCs w:val="20"/>
              </w:rPr>
              <w:t>股</w:t>
            </w:r>
            <w:r>
              <w:rPr>
                <w:rFonts w:ascii="宋体" w:hAnsi="宋体" w:cs="宋体" w:eastAsia="宋体" w:hint="default"/>
                <w:sz w:val="20"/>
                <w:szCs w:val="20"/>
              </w:rPr>
            </w:r>
          </w:p>
          <w:p>
            <w:pPr>
              <w:pStyle w:val="TableParagraph"/>
              <w:spacing w:line="260" w:lineRule="exact" w:before="24"/>
              <w:ind w:left="103" w:right="62"/>
              <w:jc w:val="left"/>
              <w:rPr>
                <w:rFonts w:ascii="宋体" w:hAnsi="宋体" w:cs="宋体" w:eastAsia="宋体" w:hint="default"/>
                <w:sz w:val="20"/>
                <w:szCs w:val="20"/>
              </w:rPr>
            </w:pPr>
            <w:r>
              <w:rPr>
                <w:rFonts w:ascii="宋体" w:hAnsi="宋体" w:cs="宋体" w:eastAsia="宋体" w:hint="default"/>
                <w:spacing w:val="28"/>
                <w:sz w:val="20"/>
                <w:szCs w:val="20"/>
              </w:rPr>
              <w:t>份有限公</w:t>
            </w:r>
            <w:r>
              <w:rPr>
                <w:rFonts w:ascii="宋体" w:hAnsi="宋体" w:cs="宋体" w:eastAsia="宋体" w:hint="default"/>
                <w:spacing w:val="-62"/>
                <w:sz w:val="20"/>
                <w:szCs w:val="20"/>
              </w:rPr>
              <w:t> </w:t>
            </w:r>
            <w:r>
              <w:rPr>
                <w:rFonts w:ascii="宋体" w:hAnsi="宋体" w:cs="宋体" w:eastAsia="宋体" w:hint="default"/>
                <w:sz w:val="20"/>
                <w:szCs w:val="20"/>
              </w:rPr>
              <w:t>司</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96" w:right="0"/>
              <w:jc w:val="center"/>
              <w:rPr>
                <w:rFonts w:ascii="宋体" w:hAnsi="宋体" w:cs="宋体" w:eastAsia="宋体" w:hint="default"/>
                <w:sz w:val="20"/>
                <w:szCs w:val="20"/>
              </w:rPr>
            </w:pPr>
            <w:r>
              <w:rPr>
                <w:rFonts w:ascii="宋体"/>
                <w:sz w:val="20"/>
              </w:rPr>
              <w:t>102,00</w:t>
            </w:r>
          </w:p>
          <w:p>
            <w:pPr>
              <w:pStyle w:val="TableParagraph"/>
              <w:spacing w:line="260" w:lineRule="exact"/>
              <w:ind w:left="197" w:right="0"/>
              <w:jc w:val="center"/>
              <w:rPr>
                <w:rFonts w:ascii="宋体" w:hAnsi="宋体" w:cs="宋体" w:eastAsia="宋体" w:hint="default"/>
                <w:sz w:val="20"/>
                <w:szCs w:val="20"/>
              </w:rPr>
            </w:pPr>
            <w:r>
              <w:rPr>
                <w:rFonts w:ascii="宋体"/>
                <w:sz w:val="20"/>
              </w:rPr>
              <w:t>0,000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03" w:right="0"/>
              <w:jc w:val="left"/>
              <w:rPr>
                <w:rFonts w:ascii="宋体" w:hAnsi="宋体" w:cs="宋体" w:eastAsia="宋体" w:hint="default"/>
                <w:sz w:val="20"/>
                <w:szCs w:val="20"/>
              </w:rPr>
            </w:pPr>
            <w:r>
              <w:rPr>
                <w:rFonts w:ascii="宋体" w:hAnsi="宋体" w:cs="宋体" w:eastAsia="宋体" w:hint="default"/>
                <w:spacing w:val="38"/>
                <w:sz w:val="20"/>
                <w:szCs w:val="20"/>
              </w:rPr>
              <w:t>计算机</w:t>
            </w:r>
            <w:r>
              <w:rPr>
                <w:rFonts w:ascii="宋体" w:hAnsi="宋体" w:cs="宋体" w:eastAsia="宋体" w:hint="default"/>
                <w:spacing w:val="-43"/>
                <w:sz w:val="20"/>
                <w:szCs w:val="20"/>
              </w:rPr>
              <w:t> </w:t>
            </w:r>
            <w:r>
              <w:rPr>
                <w:rFonts w:ascii="宋体" w:hAnsi="宋体" w:cs="宋体" w:eastAsia="宋体" w:hint="default"/>
                <w:sz w:val="20"/>
                <w:szCs w:val="20"/>
              </w:rPr>
            </w:r>
          </w:p>
          <w:p>
            <w:pPr>
              <w:pStyle w:val="TableParagraph"/>
              <w:spacing w:line="260" w:lineRule="exact" w:before="24"/>
              <w:ind w:left="103" w:right="103"/>
              <w:jc w:val="left"/>
              <w:rPr>
                <w:rFonts w:ascii="宋体" w:hAnsi="宋体" w:cs="宋体" w:eastAsia="宋体" w:hint="default"/>
                <w:sz w:val="20"/>
                <w:szCs w:val="20"/>
              </w:rPr>
            </w:pPr>
            <w:r>
              <w:rPr>
                <w:rFonts w:ascii="宋体" w:hAnsi="宋体" w:cs="宋体" w:eastAsia="宋体" w:hint="default"/>
                <w:spacing w:val="3"/>
                <w:sz w:val="20"/>
                <w:szCs w:val="20"/>
              </w:rPr>
              <w:t>软件</w:t>
            </w:r>
            <w:r>
              <w:rPr>
                <w:rFonts w:ascii="宋体" w:hAnsi="宋体" w:cs="宋体" w:eastAsia="宋体" w:hint="default"/>
                <w:spacing w:val="3"/>
                <w:sz w:val="20"/>
                <w:szCs w:val="20"/>
              </w:rPr>
              <w:t>/</w:t>
            </w:r>
            <w:r>
              <w:rPr>
                <w:rFonts w:ascii="宋体" w:hAnsi="宋体" w:cs="宋体" w:eastAsia="宋体" w:hint="default"/>
                <w:spacing w:val="3"/>
                <w:sz w:val="20"/>
                <w:szCs w:val="20"/>
              </w:rPr>
              <w:t>系</w:t>
            </w:r>
            <w:r>
              <w:rPr>
                <w:rFonts w:ascii="宋体" w:hAnsi="宋体" w:cs="宋体" w:eastAsia="宋体" w:hint="default"/>
                <w:w w:val="99"/>
                <w:sz w:val="20"/>
                <w:szCs w:val="20"/>
              </w:rPr>
              <w:t> </w:t>
            </w:r>
            <w:r>
              <w:rPr>
                <w:rFonts w:ascii="宋体" w:hAnsi="宋体" w:cs="宋体" w:eastAsia="宋体" w:hint="default"/>
                <w:spacing w:val="3"/>
                <w:sz w:val="20"/>
                <w:szCs w:val="20"/>
              </w:rPr>
              <w:t>统集成</w:t>
            </w:r>
            <w:r>
              <w:rPr>
                <w:rFonts w:ascii="宋体" w:hAnsi="宋体" w:cs="宋体" w:eastAsia="宋体" w:hint="default"/>
                <w:spacing w:val="3"/>
                <w:sz w:val="20"/>
                <w:szCs w:val="20"/>
              </w:rPr>
              <w:t>/</w:t>
            </w:r>
          </w:p>
          <w:p>
            <w:pPr>
              <w:pStyle w:val="TableParagraph"/>
              <w:spacing w:line="260" w:lineRule="exact"/>
              <w:ind w:left="103" w:right="47"/>
              <w:jc w:val="left"/>
              <w:rPr>
                <w:rFonts w:ascii="宋体" w:hAnsi="宋体" w:cs="宋体" w:eastAsia="宋体" w:hint="default"/>
                <w:sz w:val="20"/>
                <w:szCs w:val="20"/>
              </w:rPr>
            </w:pPr>
            <w:r>
              <w:rPr>
                <w:rFonts w:ascii="宋体" w:hAnsi="宋体" w:cs="宋体" w:eastAsia="宋体" w:hint="default"/>
                <w:spacing w:val="38"/>
                <w:sz w:val="20"/>
                <w:szCs w:val="20"/>
              </w:rPr>
              <w:t>咨询行</w:t>
            </w:r>
            <w:r>
              <w:rPr>
                <w:rFonts w:ascii="宋体" w:hAnsi="宋体" w:cs="宋体" w:eastAsia="宋体" w:hint="default"/>
                <w:spacing w:val="-43"/>
                <w:sz w:val="20"/>
                <w:szCs w:val="20"/>
              </w:rPr>
              <w:t> </w:t>
            </w:r>
            <w:r>
              <w:rPr>
                <w:rFonts w:ascii="宋体" w:hAnsi="宋体" w:cs="宋体" w:eastAsia="宋体" w:hint="default"/>
                <w:sz w:val="20"/>
                <w:szCs w:val="20"/>
              </w:rPr>
              <w:t>业</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03" w:right="0"/>
              <w:jc w:val="left"/>
              <w:rPr>
                <w:rFonts w:ascii="宋体" w:hAnsi="宋体" w:cs="宋体" w:eastAsia="宋体" w:hint="default"/>
                <w:sz w:val="20"/>
                <w:szCs w:val="20"/>
              </w:rPr>
            </w:pPr>
            <w:r>
              <w:rPr>
                <w:rFonts w:ascii="宋体" w:hAnsi="宋体" w:cs="宋体" w:eastAsia="宋体" w:hint="default"/>
                <w:spacing w:val="15"/>
                <w:sz w:val="20"/>
                <w:szCs w:val="20"/>
              </w:rPr>
              <w:t>计算机</w:t>
            </w:r>
            <w:r>
              <w:rPr>
                <w:rFonts w:ascii="宋体" w:hAnsi="宋体" w:cs="宋体" w:eastAsia="宋体" w:hint="default"/>
                <w:spacing w:val="-76"/>
                <w:sz w:val="20"/>
                <w:szCs w:val="20"/>
              </w:rPr>
              <w:t> </w:t>
            </w:r>
            <w:r>
              <w:rPr>
                <w:rFonts w:ascii="宋体" w:hAnsi="宋体" w:cs="宋体" w:eastAsia="宋体" w:hint="default"/>
                <w:spacing w:val="15"/>
                <w:sz w:val="20"/>
                <w:szCs w:val="20"/>
              </w:rPr>
              <w:t>软硬件</w:t>
            </w:r>
            <w:r>
              <w:rPr>
                <w:rFonts w:ascii="宋体" w:hAnsi="宋体" w:cs="宋体" w:eastAsia="宋体" w:hint="default"/>
                <w:spacing w:val="-76"/>
                <w:sz w:val="20"/>
                <w:szCs w:val="20"/>
              </w:rPr>
              <w:t> </w:t>
            </w:r>
            <w:r>
              <w:rPr>
                <w:rFonts w:ascii="宋体" w:hAnsi="宋体" w:cs="宋体" w:eastAsia="宋体" w:hint="default"/>
                <w:spacing w:val="11"/>
                <w:sz w:val="20"/>
                <w:szCs w:val="20"/>
              </w:rPr>
              <w:t>及网</w:t>
            </w:r>
          </w:p>
          <w:p>
            <w:pPr>
              <w:pStyle w:val="TableParagraph"/>
              <w:spacing w:line="260" w:lineRule="exact" w:before="24"/>
              <w:ind w:left="103" w:right="104"/>
              <w:jc w:val="left"/>
              <w:rPr>
                <w:rFonts w:ascii="宋体" w:hAnsi="宋体" w:cs="宋体" w:eastAsia="宋体" w:hint="default"/>
                <w:sz w:val="20"/>
                <w:szCs w:val="20"/>
              </w:rPr>
            </w:pPr>
            <w:r>
              <w:rPr>
                <w:rFonts w:ascii="宋体" w:hAnsi="宋体" w:cs="宋体" w:eastAsia="宋体" w:hint="default"/>
                <w:spacing w:val="-4"/>
                <w:sz w:val="20"/>
                <w:szCs w:val="20"/>
              </w:rPr>
              <w:t>络设备、产品及系统</w:t>
            </w:r>
            <w:r>
              <w:rPr>
                <w:rFonts w:ascii="宋体" w:hAnsi="宋体" w:cs="宋体" w:eastAsia="宋体" w:hint="default"/>
                <w:w w:val="99"/>
                <w:sz w:val="20"/>
                <w:szCs w:val="20"/>
              </w:rPr>
              <w:t> </w:t>
            </w:r>
            <w:r>
              <w:rPr>
                <w:rFonts w:ascii="宋体" w:hAnsi="宋体" w:cs="宋体" w:eastAsia="宋体" w:hint="default"/>
                <w:spacing w:val="-4"/>
                <w:sz w:val="20"/>
                <w:szCs w:val="20"/>
              </w:rPr>
              <w:t>集成的技术开发、转</w:t>
            </w:r>
            <w:r>
              <w:rPr>
                <w:rFonts w:ascii="宋体" w:hAnsi="宋体" w:cs="宋体" w:eastAsia="宋体" w:hint="default"/>
                <w:w w:val="99"/>
                <w:sz w:val="20"/>
                <w:szCs w:val="20"/>
              </w:rPr>
              <w:t> </w:t>
            </w:r>
            <w:r>
              <w:rPr>
                <w:rFonts w:ascii="宋体" w:hAnsi="宋体" w:cs="宋体" w:eastAsia="宋体" w:hint="default"/>
                <w:spacing w:val="-4"/>
                <w:sz w:val="20"/>
                <w:szCs w:val="20"/>
              </w:rPr>
              <w:t>让、服务、咨询、网</w:t>
            </w:r>
            <w:r>
              <w:rPr>
                <w:rFonts w:ascii="宋体" w:hAnsi="宋体" w:cs="宋体" w:eastAsia="宋体" w:hint="default"/>
                <w:w w:val="99"/>
                <w:sz w:val="20"/>
                <w:szCs w:val="20"/>
              </w:rPr>
              <w:t> </w:t>
            </w:r>
            <w:r>
              <w:rPr>
                <w:rFonts w:ascii="宋体" w:hAnsi="宋体" w:cs="宋体" w:eastAsia="宋体" w:hint="default"/>
                <w:spacing w:val="-4"/>
                <w:sz w:val="20"/>
                <w:szCs w:val="20"/>
              </w:rPr>
              <w:t>络布线、办公自动化</w:t>
            </w:r>
            <w:r>
              <w:rPr>
                <w:rFonts w:ascii="宋体" w:hAnsi="宋体" w:cs="宋体" w:eastAsia="宋体" w:hint="default"/>
                <w:w w:val="99"/>
                <w:sz w:val="20"/>
                <w:szCs w:val="20"/>
              </w:rPr>
              <w:t> </w:t>
            </w:r>
            <w:r>
              <w:rPr>
                <w:rFonts w:ascii="宋体" w:hAnsi="宋体" w:cs="宋体" w:eastAsia="宋体" w:hint="default"/>
                <w:spacing w:val="-4"/>
                <w:sz w:val="20"/>
                <w:szCs w:val="20"/>
              </w:rPr>
              <w:t>产品、电子产品、通</w:t>
            </w:r>
            <w:r>
              <w:rPr>
                <w:rFonts w:ascii="宋体" w:hAnsi="宋体" w:cs="宋体" w:eastAsia="宋体" w:hint="default"/>
                <w:w w:val="99"/>
                <w:sz w:val="20"/>
                <w:szCs w:val="20"/>
              </w:rPr>
              <w:t> </w:t>
            </w:r>
            <w:r>
              <w:rPr>
                <w:rFonts w:ascii="宋体" w:hAnsi="宋体" w:cs="宋体" w:eastAsia="宋体" w:hint="default"/>
                <w:sz w:val="20"/>
                <w:szCs w:val="20"/>
              </w:rPr>
              <w:t>讯</w:t>
            </w:r>
            <w:r>
              <w:rPr>
                <w:rFonts w:ascii="宋体" w:hAnsi="宋体" w:cs="宋体" w:eastAsia="宋体" w:hint="default"/>
                <w:w w:val="99"/>
                <w:sz w:val="20"/>
                <w:szCs w:val="20"/>
              </w:rPr>
              <w:t> </w:t>
            </w:r>
            <w:r>
              <w:rPr>
                <w:rFonts w:ascii="宋体" w:hAnsi="宋体" w:cs="宋体" w:eastAsia="宋体" w:hint="default"/>
                <w:spacing w:val="-4"/>
                <w:sz w:val="20"/>
                <w:szCs w:val="20"/>
              </w:rPr>
              <w:t>设备的销售，企业管</w:t>
            </w:r>
            <w:r>
              <w:rPr>
                <w:rFonts w:ascii="宋体" w:hAnsi="宋体" w:cs="宋体" w:eastAsia="宋体" w:hint="default"/>
                <w:w w:val="99"/>
                <w:sz w:val="20"/>
                <w:szCs w:val="20"/>
              </w:rPr>
              <w:t> </w:t>
            </w:r>
            <w:r>
              <w:rPr>
                <w:rFonts w:ascii="宋体" w:hAnsi="宋体" w:cs="宋体" w:eastAsia="宋体" w:hint="default"/>
                <w:spacing w:val="-4"/>
                <w:sz w:val="20"/>
                <w:szCs w:val="20"/>
              </w:rPr>
              <w:t>理咨询，从事货物进</w:t>
            </w:r>
            <w:r>
              <w:rPr>
                <w:rFonts w:ascii="宋体" w:hAnsi="宋体" w:cs="宋体" w:eastAsia="宋体" w:hint="default"/>
                <w:w w:val="99"/>
                <w:sz w:val="20"/>
                <w:szCs w:val="20"/>
              </w:rPr>
              <w:t> </w:t>
            </w:r>
            <w:r>
              <w:rPr>
                <w:rFonts w:ascii="宋体" w:hAnsi="宋体" w:cs="宋体" w:eastAsia="宋体" w:hint="default"/>
                <w:spacing w:val="15"/>
                <w:sz w:val="20"/>
                <w:szCs w:val="20"/>
              </w:rPr>
              <w:t>出口及</w:t>
            </w:r>
            <w:r>
              <w:rPr>
                <w:rFonts w:ascii="宋体" w:hAnsi="宋体" w:cs="宋体" w:eastAsia="宋体" w:hint="default"/>
                <w:spacing w:val="-76"/>
                <w:sz w:val="20"/>
                <w:szCs w:val="20"/>
              </w:rPr>
              <w:t> </w:t>
            </w:r>
            <w:r>
              <w:rPr>
                <w:rFonts w:ascii="宋体" w:hAnsi="宋体" w:cs="宋体" w:eastAsia="宋体" w:hint="default"/>
                <w:spacing w:val="15"/>
                <w:sz w:val="20"/>
                <w:szCs w:val="20"/>
              </w:rPr>
              <w:t>技术进</w:t>
            </w:r>
            <w:r>
              <w:rPr>
                <w:rFonts w:ascii="宋体" w:hAnsi="宋体" w:cs="宋体" w:eastAsia="宋体" w:hint="default"/>
                <w:spacing w:val="-76"/>
                <w:sz w:val="20"/>
                <w:szCs w:val="20"/>
              </w:rPr>
              <w:t> </w:t>
            </w:r>
            <w:r>
              <w:rPr>
                <w:rFonts w:ascii="宋体" w:hAnsi="宋体" w:cs="宋体" w:eastAsia="宋体" w:hint="default"/>
                <w:spacing w:val="11"/>
                <w:sz w:val="20"/>
                <w:szCs w:val="20"/>
              </w:rPr>
              <w:t>出口</w:t>
            </w:r>
            <w:r>
              <w:rPr>
                <w:rFonts w:ascii="宋体" w:hAnsi="宋体" w:cs="宋体" w:eastAsia="宋体" w:hint="default"/>
                <w:w w:val="99"/>
                <w:sz w:val="20"/>
                <w:szCs w:val="20"/>
              </w:rPr>
              <w:t> </w:t>
            </w:r>
            <w:r>
              <w:rPr>
                <w:rFonts w:ascii="宋体" w:hAnsi="宋体" w:cs="宋体" w:eastAsia="宋体" w:hint="default"/>
                <w:sz w:val="20"/>
                <w:szCs w:val="20"/>
              </w:rPr>
              <w:t>业务。</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2"/>
              <w:jc w:val="right"/>
              <w:rPr>
                <w:rFonts w:ascii="宋体" w:hAnsi="宋体" w:cs="宋体" w:eastAsia="宋体" w:hint="default"/>
                <w:sz w:val="20"/>
                <w:szCs w:val="20"/>
              </w:rPr>
            </w:pPr>
            <w:r>
              <w:rPr>
                <w:rFonts w:ascii="宋体"/>
                <w:w w:val="95"/>
                <w:sz w:val="20"/>
              </w:rPr>
              <w:t>79.59</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75" w:right="0"/>
              <w:jc w:val="left"/>
              <w:rPr>
                <w:rFonts w:ascii="宋体" w:hAnsi="宋体" w:cs="宋体" w:eastAsia="宋体" w:hint="default"/>
                <w:sz w:val="20"/>
                <w:szCs w:val="20"/>
              </w:rPr>
            </w:pPr>
            <w:r>
              <w:rPr>
                <w:rFonts w:ascii="宋体"/>
                <w:sz w:val="20"/>
              </w:rPr>
              <w:t>374,041</w:t>
            </w:r>
          </w:p>
          <w:p>
            <w:pPr>
              <w:pStyle w:val="TableParagraph"/>
              <w:spacing w:line="260" w:lineRule="exact"/>
              <w:ind w:left="475" w:right="0"/>
              <w:jc w:val="left"/>
              <w:rPr>
                <w:rFonts w:ascii="宋体" w:hAnsi="宋体" w:cs="宋体" w:eastAsia="宋体" w:hint="default"/>
                <w:sz w:val="20"/>
                <w:szCs w:val="20"/>
              </w:rPr>
            </w:pPr>
            <w:r>
              <w:rPr>
                <w:rFonts w:ascii="宋体"/>
                <w:sz w:val="20"/>
              </w:rPr>
              <w:t>,786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79" w:right="0"/>
              <w:jc w:val="left"/>
              <w:rPr>
                <w:rFonts w:ascii="宋体" w:hAnsi="宋体" w:cs="宋体" w:eastAsia="宋体" w:hint="default"/>
                <w:sz w:val="20"/>
                <w:szCs w:val="20"/>
              </w:rPr>
            </w:pPr>
            <w:r>
              <w:rPr>
                <w:rFonts w:ascii="宋体"/>
                <w:sz w:val="20"/>
              </w:rPr>
              <w:t>503,627</w:t>
            </w:r>
          </w:p>
          <w:p>
            <w:pPr>
              <w:pStyle w:val="TableParagraph"/>
              <w:spacing w:line="260" w:lineRule="exact"/>
              <w:ind w:left="480" w:right="0"/>
              <w:jc w:val="left"/>
              <w:rPr>
                <w:rFonts w:ascii="宋体" w:hAnsi="宋体" w:cs="宋体" w:eastAsia="宋体" w:hint="default"/>
                <w:sz w:val="20"/>
                <w:szCs w:val="20"/>
              </w:rPr>
            </w:pPr>
            <w:r>
              <w:rPr>
                <w:rFonts w:ascii="宋体"/>
                <w:sz w:val="20"/>
              </w:rPr>
              <w:t>,130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75" w:right="0"/>
              <w:jc w:val="left"/>
              <w:rPr>
                <w:rFonts w:ascii="宋体" w:hAnsi="宋体" w:cs="宋体" w:eastAsia="宋体" w:hint="default"/>
                <w:sz w:val="20"/>
                <w:szCs w:val="20"/>
              </w:rPr>
            </w:pPr>
            <w:r>
              <w:rPr>
                <w:rFonts w:ascii="宋体"/>
                <w:sz w:val="20"/>
              </w:rPr>
              <w:t>80,357,</w:t>
            </w:r>
          </w:p>
          <w:p>
            <w:pPr>
              <w:pStyle w:val="TableParagraph"/>
              <w:spacing w:line="260" w:lineRule="exact"/>
              <w:ind w:left="576" w:right="0"/>
              <w:jc w:val="left"/>
              <w:rPr>
                <w:rFonts w:ascii="宋体" w:hAnsi="宋体" w:cs="宋体" w:eastAsia="宋体" w:hint="default"/>
                <w:sz w:val="20"/>
                <w:szCs w:val="20"/>
              </w:rPr>
            </w:pPr>
            <w:r>
              <w:rPr>
                <w:rFonts w:ascii="宋体"/>
                <w:sz w:val="20"/>
              </w:rPr>
              <w:t>165</w:t>
            </w:r>
          </w:p>
        </w:tc>
      </w:tr>
      <w:tr>
        <w:trPr>
          <w:trHeight w:val="2345"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03" w:right="0"/>
              <w:jc w:val="left"/>
              <w:rPr>
                <w:rFonts w:ascii="宋体" w:hAnsi="宋体" w:cs="宋体" w:eastAsia="宋体" w:hint="default"/>
                <w:sz w:val="20"/>
                <w:szCs w:val="20"/>
              </w:rPr>
            </w:pPr>
            <w:r>
              <w:rPr>
                <w:rFonts w:ascii="宋体" w:hAnsi="宋体" w:cs="宋体" w:eastAsia="宋体" w:hint="default"/>
                <w:spacing w:val="28"/>
                <w:sz w:val="20"/>
                <w:szCs w:val="20"/>
              </w:rPr>
              <w:t>用友金融</w:t>
            </w:r>
            <w:r>
              <w:rPr>
                <w:rFonts w:ascii="宋体" w:hAnsi="宋体" w:cs="宋体" w:eastAsia="宋体" w:hint="default"/>
                <w:spacing w:val="-62"/>
                <w:sz w:val="20"/>
                <w:szCs w:val="20"/>
              </w:rPr>
              <w:t> </w:t>
            </w:r>
            <w:r>
              <w:rPr>
                <w:rFonts w:ascii="宋体" w:hAnsi="宋体" w:cs="宋体" w:eastAsia="宋体" w:hint="default"/>
                <w:sz w:val="20"/>
                <w:szCs w:val="20"/>
              </w:rPr>
            </w:r>
          </w:p>
          <w:p>
            <w:pPr>
              <w:pStyle w:val="TableParagraph"/>
              <w:spacing w:line="260" w:lineRule="exact" w:before="24"/>
              <w:ind w:left="103" w:right="62"/>
              <w:jc w:val="left"/>
              <w:rPr>
                <w:rFonts w:ascii="宋体" w:hAnsi="宋体" w:cs="宋体" w:eastAsia="宋体" w:hint="default"/>
                <w:sz w:val="20"/>
                <w:szCs w:val="20"/>
              </w:rPr>
            </w:pPr>
            <w:r>
              <w:rPr>
                <w:rFonts w:ascii="宋体" w:hAnsi="宋体" w:cs="宋体" w:eastAsia="宋体" w:hint="default"/>
                <w:spacing w:val="28"/>
                <w:sz w:val="20"/>
                <w:szCs w:val="20"/>
              </w:rPr>
              <w:t>信息技术</w:t>
            </w:r>
            <w:r>
              <w:rPr>
                <w:rFonts w:ascii="宋体" w:hAnsi="宋体" w:cs="宋体" w:eastAsia="宋体" w:hint="default"/>
                <w:spacing w:val="-62"/>
                <w:sz w:val="20"/>
                <w:szCs w:val="20"/>
              </w:rPr>
              <w:t> </w:t>
            </w:r>
            <w:r>
              <w:rPr>
                <w:rFonts w:ascii="宋体" w:hAnsi="宋体" w:cs="宋体" w:eastAsia="宋体" w:hint="default"/>
                <w:sz w:val="20"/>
                <w:szCs w:val="20"/>
              </w:rPr>
              <w:t>有限公司</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96" w:right="0"/>
              <w:jc w:val="center"/>
              <w:rPr>
                <w:rFonts w:ascii="宋体" w:hAnsi="宋体" w:cs="宋体" w:eastAsia="宋体" w:hint="default"/>
                <w:sz w:val="20"/>
                <w:szCs w:val="20"/>
              </w:rPr>
            </w:pPr>
            <w:r>
              <w:rPr>
                <w:rFonts w:ascii="宋体"/>
                <w:sz w:val="20"/>
              </w:rPr>
              <w:t>102,00</w:t>
            </w:r>
          </w:p>
          <w:p>
            <w:pPr>
              <w:pStyle w:val="TableParagraph"/>
              <w:spacing w:line="261" w:lineRule="exact"/>
              <w:ind w:left="197" w:right="0"/>
              <w:jc w:val="center"/>
              <w:rPr>
                <w:rFonts w:ascii="宋体" w:hAnsi="宋体" w:cs="宋体" w:eastAsia="宋体" w:hint="default"/>
                <w:sz w:val="20"/>
                <w:szCs w:val="20"/>
              </w:rPr>
            </w:pPr>
            <w:r>
              <w:rPr>
                <w:rFonts w:ascii="宋体"/>
                <w:sz w:val="20"/>
              </w:rPr>
              <w:t>0,000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03" w:right="0"/>
              <w:jc w:val="left"/>
              <w:rPr>
                <w:rFonts w:ascii="宋体" w:hAnsi="宋体" w:cs="宋体" w:eastAsia="宋体" w:hint="default"/>
                <w:sz w:val="20"/>
                <w:szCs w:val="20"/>
              </w:rPr>
            </w:pPr>
            <w:r>
              <w:rPr>
                <w:rFonts w:ascii="宋体" w:hAnsi="宋体" w:cs="宋体" w:eastAsia="宋体" w:hint="default"/>
                <w:spacing w:val="38"/>
                <w:sz w:val="20"/>
                <w:szCs w:val="20"/>
              </w:rPr>
              <w:t>计算机</w:t>
            </w:r>
            <w:r>
              <w:rPr>
                <w:rFonts w:ascii="宋体" w:hAnsi="宋体" w:cs="宋体" w:eastAsia="宋体" w:hint="default"/>
                <w:spacing w:val="-43"/>
                <w:sz w:val="20"/>
                <w:szCs w:val="20"/>
              </w:rPr>
              <w:t> </w:t>
            </w:r>
            <w:r>
              <w:rPr>
                <w:rFonts w:ascii="宋体" w:hAnsi="宋体" w:cs="宋体" w:eastAsia="宋体" w:hint="default"/>
                <w:sz w:val="20"/>
                <w:szCs w:val="20"/>
              </w:rPr>
            </w:r>
          </w:p>
          <w:p>
            <w:pPr>
              <w:pStyle w:val="TableParagraph"/>
              <w:spacing w:line="259" w:lineRule="exact"/>
              <w:ind w:left="103" w:right="0"/>
              <w:jc w:val="left"/>
              <w:rPr>
                <w:rFonts w:ascii="宋体" w:hAnsi="宋体" w:cs="宋体" w:eastAsia="宋体" w:hint="default"/>
                <w:sz w:val="20"/>
                <w:szCs w:val="20"/>
              </w:rPr>
            </w:pPr>
            <w:r>
              <w:rPr>
                <w:rFonts w:ascii="宋体" w:hAnsi="宋体" w:cs="宋体" w:eastAsia="宋体" w:hint="default"/>
                <w:spacing w:val="4"/>
                <w:sz w:val="20"/>
                <w:szCs w:val="20"/>
              </w:rPr>
              <w:t>软</w:t>
            </w:r>
            <w:r>
              <w:rPr>
                <w:rFonts w:ascii="宋体" w:hAnsi="宋体" w:cs="宋体" w:eastAsia="宋体" w:hint="default"/>
                <w:spacing w:val="4"/>
                <w:sz w:val="20"/>
                <w:szCs w:val="20"/>
              </w:rPr>
              <w:t>/</w:t>
            </w:r>
            <w:r>
              <w:rPr>
                <w:rFonts w:ascii="宋体" w:hAnsi="宋体" w:cs="宋体" w:eastAsia="宋体" w:hint="default"/>
                <w:spacing w:val="4"/>
                <w:sz w:val="20"/>
                <w:szCs w:val="20"/>
              </w:rPr>
              <w:t>硬件</w:t>
            </w:r>
            <w:r>
              <w:rPr>
                <w:rFonts w:ascii="宋体" w:hAnsi="宋体" w:cs="宋体" w:eastAsia="宋体" w:hint="default"/>
                <w:sz w:val="20"/>
                <w:szCs w:val="20"/>
              </w:rPr>
            </w:r>
          </w:p>
          <w:p>
            <w:pPr>
              <w:pStyle w:val="TableParagraph"/>
              <w:spacing w:line="260" w:lineRule="exact" w:before="24"/>
              <w:ind w:left="103" w:right="17"/>
              <w:jc w:val="left"/>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0"/>
                <w:szCs w:val="20"/>
              </w:rPr>
              <w:t>网</w:t>
            </w:r>
            <w:r>
              <w:rPr>
                <w:rFonts w:ascii="宋体" w:hAnsi="宋体" w:cs="宋体" w:eastAsia="宋体" w:hint="default"/>
                <w:spacing w:val="-2"/>
                <w:sz w:val="20"/>
                <w:szCs w:val="20"/>
              </w:rPr>
              <w:t> </w:t>
            </w:r>
            <w:r>
              <w:rPr>
                <w:rFonts w:ascii="宋体" w:hAnsi="宋体" w:cs="宋体" w:eastAsia="宋体" w:hint="default"/>
                <w:sz w:val="20"/>
                <w:szCs w:val="20"/>
              </w:rPr>
              <w:t>络、</w:t>
            </w:r>
            <w:r>
              <w:rPr>
                <w:rFonts w:ascii="宋体" w:hAnsi="宋体" w:cs="宋体" w:eastAsia="宋体" w:hint="default"/>
                <w:w w:val="99"/>
                <w:sz w:val="20"/>
                <w:szCs w:val="20"/>
              </w:rPr>
              <w:t> </w:t>
            </w:r>
            <w:r>
              <w:rPr>
                <w:rFonts w:ascii="宋体" w:hAnsi="宋体" w:cs="宋体" w:eastAsia="宋体" w:hint="default"/>
                <w:spacing w:val="38"/>
                <w:sz w:val="20"/>
                <w:szCs w:val="20"/>
              </w:rPr>
              <w:t>技术咨</w:t>
            </w:r>
            <w:r>
              <w:rPr>
                <w:rFonts w:ascii="宋体" w:hAnsi="宋体" w:cs="宋体" w:eastAsia="宋体" w:hint="default"/>
                <w:spacing w:val="-43"/>
                <w:sz w:val="20"/>
                <w:szCs w:val="20"/>
              </w:rPr>
              <w:t> </w:t>
            </w:r>
            <w:r>
              <w:rPr>
                <w:rFonts w:ascii="宋体" w:hAnsi="宋体" w:cs="宋体" w:eastAsia="宋体" w:hint="default"/>
                <w:sz w:val="20"/>
                <w:szCs w:val="20"/>
              </w:rPr>
            </w:r>
          </w:p>
          <w:p>
            <w:pPr>
              <w:pStyle w:val="TableParagraph"/>
              <w:spacing w:line="260" w:lineRule="exact"/>
              <w:ind w:left="103" w:right="47"/>
              <w:jc w:val="left"/>
              <w:rPr>
                <w:rFonts w:ascii="宋体" w:hAnsi="宋体" w:cs="宋体" w:eastAsia="宋体" w:hint="default"/>
                <w:sz w:val="20"/>
                <w:szCs w:val="20"/>
              </w:rPr>
            </w:pPr>
            <w:r>
              <w:rPr>
                <w:rFonts w:ascii="宋体" w:hAnsi="宋体" w:cs="宋体" w:eastAsia="宋体" w:hint="default"/>
                <w:spacing w:val="38"/>
                <w:sz w:val="20"/>
                <w:szCs w:val="20"/>
              </w:rPr>
              <w:t>询及电</w:t>
            </w:r>
            <w:r>
              <w:rPr>
                <w:rFonts w:ascii="宋体" w:hAnsi="宋体" w:cs="宋体" w:eastAsia="宋体" w:hint="default"/>
                <w:spacing w:val="-43"/>
                <w:sz w:val="20"/>
                <w:szCs w:val="20"/>
              </w:rPr>
              <w:t> </w:t>
            </w:r>
            <w:r>
              <w:rPr>
                <w:rFonts w:ascii="宋体" w:hAnsi="宋体" w:cs="宋体" w:eastAsia="宋体" w:hint="default"/>
                <w:sz w:val="20"/>
                <w:szCs w:val="20"/>
              </w:rPr>
              <w:t>子行业</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03" w:right="0"/>
              <w:jc w:val="both"/>
              <w:rPr>
                <w:rFonts w:ascii="宋体" w:hAnsi="宋体" w:cs="宋体" w:eastAsia="宋体" w:hint="default"/>
                <w:sz w:val="20"/>
                <w:szCs w:val="20"/>
              </w:rPr>
            </w:pPr>
            <w:r>
              <w:rPr>
                <w:rFonts w:ascii="宋体" w:hAnsi="宋体" w:cs="宋体" w:eastAsia="宋体" w:hint="default"/>
                <w:spacing w:val="15"/>
                <w:sz w:val="20"/>
                <w:szCs w:val="20"/>
              </w:rPr>
              <w:t>金融软</w:t>
            </w:r>
            <w:r>
              <w:rPr>
                <w:rFonts w:ascii="宋体" w:hAnsi="宋体" w:cs="宋体" w:eastAsia="宋体" w:hint="default"/>
                <w:spacing w:val="-76"/>
                <w:sz w:val="20"/>
                <w:szCs w:val="20"/>
              </w:rPr>
              <w:t> </w:t>
            </w:r>
            <w:r>
              <w:rPr>
                <w:rFonts w:ascii="宋体" w:hAnsi="宋体" w:cs="宋体" w:eastAsia="宋体" w:hint="default"/>
                <w:spacing w:val="15"/>
                <w:sz w:val="20"/>
                <w:szCs w:val="20"/>
              </w:rPr>
              <w:t>件及计</w:t>
            </w:r>
            <w:r>
              <w:rPr>
                <w:rFonts w:ascii="宋体" w:hAnsi="宋体" w:cs="宋体" w:eastAsia="宋体" w:hint="default"/>
                <w:spacing w:val="-76"/>
                <w:sz w:val="20"/>
                <w:szCs w:val="20"/>
              </w:rPr>
              <w:t> </w:t>
            </w:r>
            <w:r>
              <w:rPr>
                <w:rFonts w:ascii="宋体" w:hAnsi="宋体" w:cs="宋体" w:eastAsia="宋体" w:hint="default"/>
                <w:spacing w:val="11"/>
                <w:sz w:val="20"/>
                <w:szCs w:val="20"/>
              </w:rPr>
              <w:t>算机</w:t>
            </w:r>
          </w:p>
          <w:p>
            <w:pPr>
              <w:pStyle w:val="TableParagraph"/>
              <w:spacing w:line="260" w:lineRule="exact" w:before="24"/>
              <w:ind w:left="103" w:right="103"/>
              <w:jc w:val="both"/>
              <w:rPr>
                <w:rFonts w:ascii="宋体" w:hAnsi="宋体" w:cs="宋体" w:eastAsia="宋体" w:hint="default"/>
                <w:sz w:val="20"/>
                <w:szCs w:val="20"/>
              </w:rPr>
            </w:pPr>
            <w:r>
              <w:rPr>
                <w:rFonts w:ascii="宋体" w:hAnsi="宋体" w:cs="宋体" w:eastAsia="宋体" w:hint="default"/>
                <w:spacing w:val="-4"/>
                <w:sz w:val="20"/>
                <w:szCs w:val="20"/>
              </w:rPr>
              <w:t>网络技术开发；销售</w:t>
            </w:r>
            <w:r>
              <w:rPr>
                <w:rFonts w:ascii="宋体" w:hAnsi="宋体" w:cs="宋体" w:eastAsia="宋体" w:hint="default"/>
                <w:w w:val="99"/>
                <w:sz w:val="20"/>
                <w:szCs w:val="20"/>
              </w:rPr>
              <w:t> </w:t>
            </w:r>
            <w:r>
              <w:rPr>
                <w:rFonts w:ascii="宋体" w:hAnsi="宋体" w:cs="宋体" w:eastAsia="宋体" w:hint="default"/>
                <w:spacing w:val="-4"/>
                <w:sz w:val="20"/>
                <w:szCs w:val="20"/>
              </w:rPr>
              <w:t>计算机软、硬件；计</w:t>
            </w:r>
            <w:r>
              <w:rPr>
                <w:rFonts w:ascii="宋体" w:hAnsi="宋体" w:cs="宋体" w:eastAsia="宋体" w:hint="default"/>
                <w:w w:val="99"/>
                <w:sz w:val="20"/>
                <w:szCs w:val="20"/>
              </w:rPr>
              <w:t> </w:t>
            </w:r>
            <w:r>
              <w:rPr>
                <w:rFonts w:ascii="宋体" w:hAnsi="宋体" w:cs="宋体" w:eastAsia="宋体" w:hint="default"/>
                <w:spacing w:val="-4"/>
                <w:sz w:val="20"/>
                <w:szCs w:val="20"/>
              </w:rPr>
              <w:t>算机系统集成；技术</w:t>
            </w:r>
            <w:r>
              <w:rPr>
                <w:rFonts w:ascii="宋体" w:hAnsi="宋体" w:cs="宋体" w:eastAsia="宋体" w:hint="default"/>
                <w:w w:val="99"/>
                <w:sz w:val="20"/>
                <w:szCs w:val="20"/>
              </w:rPr>
              <w:t> </w:t>
            </w:r>
            <w:r>
              <w:rPr>
                <w:rFonts w:ascii="宋体" w:hAnsi="宋体" w:cs="宋体" w:eastAsia="宋体" w:hint="default"/>
                <w:spacing w:val="-4"/>
                <w:sz w:val="20"/>
                <w:szCs w:val="20"/>
              </w:rPr>
              <w:t>咨询、技术服务、技</w:t>
            </w:r>
            <w:r>
              <w:rPr>
                <w:rFonts w:ascii="宋体" w:hAnsi="宋体" w:cs="宋体" w:eastAsia="宋体" w:hint="default"/>
                <w:w w:val="99"/>
                <w:sz w:val="20"/>
                <w:szCs w:val="20"/>
              </w:rPr>
              <w:t> </w:t>
            </w:r>
            <w:r>
              <w:rPr>
                <w:rFonts w:ascii="宋体" w:hAnsi="宋体" w:cs="宋体" w:eastAsia="宋体" w:hint="default"/>
                <w:spacing w:val="-4"/>
                <w:sz w:val="20"/>
                <w:szCs w:val="20"/>
              </w:rPr>
              <w:t>术培训（不得面向全</w:t>
            </w:r>
            <w:r>
              <w:rPr>
                <w:rFonts w:ascii="宋体" w:hAnsi="宋体" w:cs="宋体" w:eastAsia="宋体" w:hint="default"/>
                <w:w w:val="99"/>
                <w:sz w:val="20"/>
                <w:szCs w:val="20"/>
              </w:rPr>
              <w:t> </w:t>
            </w:r>
            <w:r>
              <w:rPr>
                <w:rFonts w:ascii="宋体" w:hAnsi="宋体" w:cs="宋体" w:eastAsia="宋体" w:hint="default"/>
                <w:spacing w:val="-4"/>
                <w:sz w:val="20"/>
                <w:szCs w:val="20"/>
              </w:rPr>
              <w:t>国招生）；货物进出</w:t>
            </w:r>
            <w:r>
              <w:rPr>
                <w:rFonts w:ascii="宋体" w:hAnsi="宋体" w:cs="宋体" w:eastAsia="宋体" w:hint="default"/>
                <w:w w:val="99"/>
                <w:sz w:val="20"/>
                <w:szCs w:val="20"/>
              </w:rPr>
              <w:t> </w:t>
            </w:r>
            <w:r>
              <w:rPr>
                <w:rFonts w:ascii="宋体" w:hAnsi="宋体" w:cs="宋体" w:eastAsia="宋体" w:hint="default"/>
                <w:spacing w:val="-4"/>
                <w:sz w:val="20"/>
                <w:szCs w:val="20"/>
              </w:rPr>
              <w:t>口、技术进出口、代</w:t>
            </w:r>
            <w:r>
              <w:rPr>
                <w:rFonts w:ascii="宋体" w:hAnsi="宋体" w:cs="宋体" w:eastAsia="宋体" w:hint="default"/>
                <w:w w:val="99"/>
                <w:sz w:val="20"/>
                <w:szCs w:val="20"/>
              </w:rPr>
              <w:t> </w:t>
            </w:r>
            <w:r>
              <w:rPr>
                <w:rFonts w:ascii="宋体" w:hAnsi="宋体" w:cs="宋体" w:eastAsia="宋体" w:hint="default"/>
                <w:sz w:val="20"/>
                <w:szCs w:val="20"/>
              </w:rPr>
              <w:t>理进出口。</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03"/>
              <w:jc w:val="right"/>
              <w:rPr>
                <w:rFonts w:ascii="宋体" w:hAnsi="宋体" w:cs="宋体" w:eastAsia="宋体" w:hint="default"/>
                <w:sz w:val="20"/>
                <w:szCs w:val="20"/>
              </w:rPr>
            </w:pPr>
            <w:r>
              <w:rPr>
                <w:rFonts w:ascii="宋体"/>
                <w:w w:val="95"/>
                <w:sz w:val="20"/>
              </w:rPr>
              <w:t>78.43</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75" w:right="0"/>
              <w:jc w:val="left"/>
              <w:rPr>
                <w:rFonts w:ascii="宋体" w:hAnsi="宋体" w:cs="宋体" w:eastAsia="宋体" w:hint="default"/>
                <w:sz w:val="20"/>
                <w:szCs w:val="20"/>
              </w:rPr>
            </w:pPr>
            <w:r>
              <w:rPr>
                <w:rFonts w:ascii="宋体"/>
                <w:sz w:val="20"/>
              </w:rPr>
              <w:t>332,949</w:t>
            </w:r>
          </w:p>
          <w:p>
            <w:pPr>
              <w:pStyle w:val="TableParagraph"/>
              <w:spacing w:line="261" w:lineRule="exact"/>
              <w:ind w:left="475" w:right="0"/>
              <w:jc w:val="left"/>
              <w:rPr>
                <w:rFonts w:ascii="宋体" w:hAnsi="宋体" w:cs="宋体" w:eastAsia="宋体" w:hint="default"/>
                <w:sz w:val="20"/>
                <w:szCs w:val="20"/>
              </w:rPr>
            </w:pPr>
            <w:r>
              <w:rPr>
                <w:rFonts w:ascii="宋体"/>
                <w:sz w:val="20"/>
              </w:rPr>
              <w:t>,179</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79" w:right="0"/>
              <w:jc w:val="left"/>
              <w:rPr>
                <w:rFonts w:ascii="宋体" w:hAnsi="宋体" w:cs="宋体" w:eastAsia="宋体" w:hint="default"/>
                <w:sz w:val="20"/>
                <w:szCs w:val="20"/>
              </w:rPr>
            </w:pPr>
            <w:r>
              <w:rPr>
                <w:rFonts w:ascii="宋体"/>
                <w:sz w:val="20"/>
              </w:rPr>
              <w:t>255,199</w:t>
            </w:r>
          </w:p>
          <w:p>
            <w:pPr>
              <w:pStyle w:val="TableParagraph"/>
              <w:spacing w:line="261" w:lineRule="exact"/>
              <w:ind w:left="480" w:right="0"/>
              <w:jc w:val="left"/>
              <w:rPr>
                <w:rFonts w:ascii="宋体" w:hAnsi="宋体" w:cs="宋体" w:eastAsia="宋体" w:hint="default"/>
                <w:sz w:val="20"/>
                <w:szCs w:val="20"/>
              </w:rPr>
            </w:pPr>
            <w:r>
              <w:rPr>
                <w:rFonts w:ascii="宋体"/>
                <w:sz w:val="20"/>
              </w:rPr>
              <w:t>,803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75" w:right="0"/>
              <w:jc w:val="left"/>
              <w:rPr>
                <w:rFonts w:ascii="宋体" w:hAnsi="宋体" w:cs="宋体" w:eastAsia="宋体" w:hint="default"/>
                <w:sz w:val="20"/>
                <w:szCs w:val="20"/>
              </w:rPr>
            </w:pPr>
            <w:r>
              <w:rPr>
                <w:rFonts w:ascii="宋体"/>
                <w:sz w:val="20"/>
              </w:rPr>
              <w:t>20,838,</w:t>
            </w:r>
          </w:p>
          <w:p>
            <w:pPr>
              <w:pStyle w:val="TableParagraph"/>
              <w:spacing w:line="261" w:lineRule="exact"/>
              <w:ind w:left="576" w:right="0"/>
              <w:jc w:val="left"/>
              <w:rPr>
                <w:rFonts w:ascii="宋体" w:hAnsi="宋体" w:cs="宋体" w:eastAsia="宋体" w:hint="default"/>
                <w:sz w:val="20"/>
                <w:szCs w:val="20"/>
              </w:rPr>
            </w:pPr>
            <w:r>
              <w:rPr>
                <w:rFonts w:ascii="宋体"/>
                <w:sz w:val="20"/>
              </w:rPr>
              <w:t>732</w:t>
            </w:r>
          </w:p>
        </w:tc>
      </w:tr>
      <w:tr>
        <w:trPr>
          <w:trHeight w:val="790"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pacing w:val="28"/>
                <w:sz w:val="20"/>
                <w:szCs w:val="20"/>
              </w:rPr>
              <w:t>用友新道</w:t>
            </w:r>
            <w:r>
              <w:rPr>
                <w:rFonts w:ascii="宋体" w:hAnsi="宋体" w:cs="宋体" w:eastAsia="宋体" w:hint="default"/>
                <w:spacing w:val="-62"/>
                <w:sz w:val="20"/>
                <w:szCs w:val="20"/>
              </w:rPr>
              <w:t> </w:t>
            </w:r>
            <w:r>
              <w:rPr>
                <w:rFonts w:ascii="宋体" w:hAnsi="宋体" w:cs="宋体" w:eastAsia="宋体" w:hint="default"/>
                <w:sz w:val="20"/>
                <w:szCs w:val="20"/>
              </w:rPr>
            </w:r>
          </w:p>
          <w:p>
            <w:pPr>
              <w:pStyle w:val="TableParagraph"/>
              <w:spacing w:line="260" w:lineRule="exact" w:before="25"/>
              <w:ind w:left="103" w:right="62"/>
              <w:jc w:val="left"/>
              <w:rPr>
                <w:rFonts w:ascii="宋体" w:hAnsi="宋体" w:cs="宋体" w:eastAsia="宋体" w:hint="default"/>
                <w:sz w:val="20"/>
                <w:szCs w:val="20"/>
              </w:rPr>
            </w:pPr>
            <w:r>
              <w:rPr>
                <w:rFonts w:ascii="宋体" w:hAnsi="宋体" w:cs="宋体" w:eastAsia="宋体" w:hint="default"/>
                <w:spacing w:val="28"/>
                <w:sz w:val="20"/>
                <w:szCs w:val="20"/>
              </w:rPr>
              <w:t>科技股份</w:t>
            </w:r>
            <w:r>
              <w:rPr>
                <w:rFonts w:ascii="宋体" w:hAnsi="宋体" w:cs="宋体" w:eastAsia="宋体" w:hint="default"/>
                <w:spacing w:val="-62"/>
                <w:sz w:val="20"/>
                <w:szCs w:val="20"/>
              </w:rPr>
              <w:t> </w:t>
            </w:r>
            <w:r>
              <w:rPr>
                <w:rFonts w:ascii="宋体" w:hAnsi="宋体" w:cs="宋体" w:eastAsia="宋体" w:hint="default"/>
                <w:sz w:val="20"/>
                <w:szCs w:val="20"/>
              </w:rPr>
              <w:t>有限公司</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96" w:right="0"/>
              <w:jc w:val="center"/>
              <w:rPr>
                <w:rFonts w:ascii="宋体" w:hAnsi="宋体" w:cs="宋体" w:eastAsia="宋体" w:hint="default"/>
                <w:sz w:val="20"/>
                <w:szCs w:val="20"/>
              </w:rPr>
            </w:pPr>
            <w:r>
              <w:rPr>
                <w:rFonts w:ascii="宋体"/>
                <w:sz w:val="20"/>
              </w:rPr>
              <w:t>216,32</w:t>
            </w:r>
          </w:p>
          <w:p>
            <w:pPr>
              <w:pStyle w:val="TableParagraph"/>
              <w:spacing w:line="240" w:lineRule="auto"/>
              <w:ind w:left="197" w:right="0"/>
              <w:jc w:val="center"/>
              <w:rPr>
                <w:rFonts w:ascii="宋体" w:hAnsi="宋体" w:cs="宋体" w:eastAsia="宋体" w:hint="default"/>
                <w:sz w:val="20"/>
                <w:szCs w:val="20"/>
              </w:rPr>
            </w:pPr>
            <w:r>
              <w:rPr>
                <w:rFonts w:ascii="宋体"/>
                <w:sz w:val="20"/>
              </w:rPr>
              <w:t>4,000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pacing w:val="38"/>
                <w:sz w:val="20"/>
                <w:szCs w:val="20"/>
              </w:rPr>
              <w:t>计算机</w:t>
            </w:r>
            <w:r>
              <w:rPr>
                <w:rFonts w:ascii="宋体" w:hAnsi="宋体" w:cs="宋体" w:eastAsia="宋体" w:hint="default"/>
                <w:spacing w:val="-43"/>
                <w:sz w:val="20"/>
                <w:szCs w:val="20"/>
              </w:rPr>
              <w:t> </w:t>
            </w:r>
            <w:r>
              <w:rPr>
                <w:rFonts w:ascii="宋体" w:hAnsi="宋体" w:cs="宋体" w:eastAsia="宋体" w:hint="default"/>
                <w:sz w:val="20"/>
                <w:szCs w:val="20"/>
              </w:rPr>
            </w:r>
          </w:p>
          <w:p>
            <w:pPr>
              <w:pStyle w:val="TableParagraph"/>
              <w:spacing w:line="260" w:lineRule="exact" w:before="25"/>
              <w:ind w:left="103" w:right="103"/>
              <w:jc w:val="left"/>
              <w:rPr>
                <w:rFonts w:ascii="宋体" w:hAnsi="宋体" w:cs="宋体" w:eastAsia="宋体" w:hint="default"/>
                <w:sz w:val="20"/>
                <w:szCs w:val="20"/>
              </w:rPr>
            </w:pPr>
            <w:r>
              <w:rPr>
                <w:rFonts w:ascii="宋体" w:hAnsi="宋体" w:cs="宋体" w:eastAsia="宋体" w:hint="default"/>
                <w:spacing w:val="3"/>
                <w:sz w:val="20"/>
                <w:szCs w:val="20"/>
              </w:rPr>
              <w:t>软件</w:t>
            </w:r>
            <w:r>
              <w:rPr>
                <w:rFonts w:ascii="宋体" w:hAnsi="宋体" w:cs="宋体" w:eastAsia="宋体" w:hint="default"/>
                <w:spacing w:val="3"/>
                <w:sz w:val="20"/>
                <w:szCs w:val="20"/>
              </w:rPr>
              <w:t>/</w:t>
            </w:r>
            <w:r>
              <w:rPr>
                <w:rFonts w:ascii="宋体" w:hAnsi="宋体" w:cs="宋体" w:eastAsia="宋体" w:hint="default"/>
                <w:spacing w:val="3"/>
                <w:sz w:val="20"/>
                <w:szCs w:val="20"/>
              </w:rPr>
              <w:t>管</w:t>
            </w:r>
            <w:r>
              <w:rPr>
                <w:rFonts w:ascii="宋体" w:hAnsi="宋体" w:cs="宋体" w:eastAsia="宋体" w:hint="default"/>
                <w:w w:val="99"/>
                <w:sz w:val="20"/>
                <w:szCs w:val="20"/>
              </w:rPr>
              <w:t> </w:t>
            </w:r>
            <w:r>
              <w:rPr>
                <w:rFonts w:ascii="宋体" w:hAnsi="宋体" w:cs="宋体" w:eastAsia="宋体" w:hint="default"/>
                <w:sz w:val="20"/>
                <w:szCs w:val="20"/>
              </w:rPr>
              <w:t>理培训</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pacing w:val="15"/>
                <w:sz w:val="20"/>
                <w:szCs w:val="20"/>
              </w:rPr>
              <w:t>管理课</w:t>
            </w:r>
            <w:r>
              <w:rPr>
                <w:rFonts w:ascii="宋体" w:hAnsi="宋体" w:cs="宋体" w:eastAsia="宋体" w:hint="default"/>
                <w:spacing w:val="-76"/>
                <w:sz w:val="20"/>
                <w:szCs w:val="20"/>
              </w:rPr>
              <w:t> </w:t>
            </w:r>
            <w:r>
              <w:rPr>
                <w:rFonts w:ascii="宋体" w:hAnsi="宋体" w:cs="宋体" w:eastAsia="宋体" w:hint="default"/>
                <w:spacing w:val="15"/>
                <w:sz w:val="20"/>
                <w:szCs w:val="20"/>
              </w:rPr>
              <w:t>程开发</w:t>
            </w:r>
            <w:r>
              <w:rPr>
                <w:rFonts w:ascii="宋体" w:hAnsi="宋体" w:cs="宋体" w:eastAsia="宋体" w:hint="default"/>
                <w:spacing w:val="-76"/>
                <w:sz w:val="20"/>
                <w:szCs w:val="20"/>
              </w:rPr>
              <w:t> </w:t>
            </w:r>
            <w:r>
              <w:rPr>
                <w:rFonts w:ascii="宋体" w:hAnsi="宋体" w:cs="宋体" w:eastAsia="宋体" w:hint="default"/>
                <w:spacing w:val="11"/>
                <w:sz w:val="20"/>
                <w:szCs w:val="20"/>
              </w:rPr>
              <w:t>与培</w:t>
            </w:r>
          </w:p>
          <w:p>
            <w:pPr>
              <w:pStyle w:val="TableParagraph"/>
              <w:spacing w:line="260" w:lineRule="exact" w:before="25"/>
              <w:ind w:left="103" w:right="73"/>
              <w:jc w:val="left"/>
              <w:rPr>
                <w:rFonts w:ascii="宋体" w:hAnsi="宋体" w:cs="宋体" w:eastAsia="宋体" w:hint="default"/>
                <w:sz w:val="20"/>
                <w:szCs w:val="20"/>
              </w:rPr>
            </w:pPr>
            <w:r>
              <w:rPr>
                <w:rFonts w:ascii="宋体" w:hAnsi="宋体" w:cs="宋体" w:eastAsia="宋体" w:hint="default"/>
                <w:sz w:val="20"/>
                <w:szCs w:val="20"/>
              </w:rPr>
              <w:t>训，软件开发销售、</w:t>
            </w:r>
            <w:r>
              <w:rPr>
                <w:rFonts w:ascii="宋体" w:hAnsi="宋体" w:cs="宋体" w:eastAsia="宋体" w:hint="default"/>
                <w:w w:val="99"/>
                <w:sz w:val="20"/>
                <w:szCs w:val="20"/>
              </w:rPr>
              <w:t> </w:t>
            </w:r>
            <w:r>
              <w:rPr>
                <w:rFonts w:ascii="宋体" w:hAnsi="宋体" w:cs="宋体" w:eastAsia="宋体" w:hint="default"/>
                <w:spacing w:val="-4"/>
                <w:sz w:val="20"/>
                <w:szCs w:val="20"/>
              </w:rPr>
              <w:t>咨询服务，在线学习</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3"/>
              <w:jc w:val="right"/>
              <w:rPr>
                <w:rFonts w:ascii="宋体" w:hAnsi="宋体" w:cs="宋体" w:eastAsia="宋体" w:hint="default"/>
                <w:sz w:val="20"/>
                <w:szCs w:val="20"/>
              </w:rPr>
            </w:pPr>
            <w:r>
              <w:rPr>
                <w:rFonts w:ascii="宋体"/>
                <w:w w:val="95"/>
                <w:sz w:val="20"/>
              </w:rPr>
              <w:t>57.97</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75" w:right="0"/>
              <w:jc w:val="left"/>
              <w:rPr>
                <w:rFonts w:ascii="宋体" w:hAnsi="宋体" w:cs="宋体" w:eastAsia="宋体" w:hint="default"/>
                <w:sz w:val="20"/>
                <w:szCs w:val="20"/>
              </w:rPr>
            </w:pPr>
            <w:r>
              <w:rPr>
                <w:rFonts w:ascii="宋体"/>
                <w:sz w:val="20"/>
              </w:rPr>
              <w:t>247,407</w:t>
            </w:r>
          </w:p>
          <w:p>
            <w:pPr>
              <w:pStyle w:val="TableParagraph"/>
              <w:spacing w:line="240" w:lineRule="auto"/>
              <w:ind w:left="475" w:right="0"/>
              <w:jc w:val="left"/>
              <w:rPr>
                <w:rFonts w:ascii="宋体" w:hAnsi="宋体" w:cs="宋体" w:eastAsia="宋体" w:hint="default"/>
                <w:sz w:val="20"/>
                <w:szCs w:val="20"/>
              </w:rPr>
            </w:pPr>
            <w:r>
              <w:rPr>
                <w:rFonts w:ascii="宋体"/>
                <w:sz w:val="20"/>
              </w:rPr>
              <w:t>,450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79" w:right="0"/>
              <w:jc w:val="left"/>
              <w:rPr>
                <w:rFonts w:ascii="宋体" w:hAnsi="宋体" w:cs="宋体" w:eastAsia="宋体" w:hint="default"/>
                <w:sz w:val="20"/>
                <w:szCs w:val="20"/>
              </w:rPr>
            </w:pPr>
            <w:r>
              <w:rPr>
                <w:rFonts w:ascii="宋体"/>
                <w:sz w:val="20"/>
              </w:rPr>
              <w:t>582,619</w:t>
            </w:r>
          </w:p>
          <w:p>
            <w:pPr>
              <w:pStyle w:val="TableParagraph"/>
              <w:spacing w:line="240" w:lineRule="auto"/>
              <w:ind w:left="480" w:right="0"/>
              <w:jc w:val="left"/>
              <w:rPr>
                <w:rFonts w:ascii="宋体" w:hAnsi="宋体" w:cs="宋体" w:eastAsia="宋体" w:hint="default"/>
                <w:sz w:val="20"/>
                <w:szCs w:val="20"/>
              </w:rPr>
            </w:pPr>
            <w:r>
              <w:rPr>
                <w:rFonts w:ascii="宋体"/>
                <w:sz w:val="20"/>
              </w:rPr>
              <w:t>,840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75" w:right="0"/>
              <w:jc w:val="left"/>
              <w:rPr>
                <w:rFonts w:ascii="宋体" w:hAnsi="宋体" w:cs="宋体" w:eastAsia="宋体" w:hint="default"/>
                <w:sz w:val="20"/>
                <w:szCs w:val="20"/>
              </w:rPr>
            </w:pPr>
            <w:r>
              <w:rPr>
                <w:rFonts w:ascii="宋体"/>
                <w:sz w:val="20"/>
              </w:rPr>
              <w:t>83,151,</w:t>
            </w:r>
          </w:p>
          <w:p>
            <w:pPr>
              <w:pStyle w:val="TableParagraph"/>
              <w:spacing w:line="240" w:lineRule="auto"/>
              <w:ind w:left="576" w:right="0"/>
              <w:jc w:val="left"/>
              <w:rPr>
                <w:rFonts w:ascii="宋体" w:hAnsi="宋体" w:cs="宋体" w:eastAsia="宋体" w:hint="default"/>
                <w:sz w:val="20"/>
                <w:szCs w:val="20"/>
              </w:rPr>
            </w:pPr>
            <w:r>
              <w:rPr>
                <w:rFonts w:ascii="宋体"/>
                <w:sz w:val="20"/>
              </w:rPr>
              <w:t>844</w:t>
            </w:r>
          </w:p>
        </w:tc>
      </w:tr>
      <w:tr>
        <w:trPr>
          <w:trHeight w:val="1047"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both"/>
              <w:rPr>
                <w:rFonts w:ascii="宋体" w:hAnsi="宋体" w:cs="宋体" w:eastAsia="宋体" w:hint="default"/>
                <w:sz w:val="20"/>
                <w:szCs w:val="20"/>
              </w:rPr>
            </w:pPr>
            <w:r>
              <w:rPr>
                <w:rFonts w:ascii="宋体" w:hAnsi="宋体" w:cs="宋体" w:eastAsia="宋体" w:hint="default"/>
                <w:spacing w:val="28"/>
                <w:sz w:val="20"/>
                <w:szCs w:val="20"/>
              </w:rPr>
              <w:t>畅捷通信</w:t>
            </w:r>
            <w:r>
              <w:rPr>
                <w:rFonts w:ascii="宋体" w:hAnsi="宋体" w:cs="宋体" w:eastAsia="宋体" w:hint="default"/>
                <w:spacing w:val="-62"/>
                <w:sz w:val="20"/>
                <w:szCs w:val="20"/>
              </w:rPr>
              <w:t> </w:t>
            </w:r>
            <w:r>
              <w:rPr>
                <w:rFonts w:ascii="宋体" w:hAnsi="宋体" w:cs="宋体" w:eastAsia="宋体" w:hint="default"/>
                <w:sz w:val="20"/>
                <w:szCs w:val="20"/>
              </w:rPr>
            </w:r>
          </w:p>
          <w:p>
            <w:pPr>
              <w:pStyle w:val="TableParagraph"/>
              <w:spacing w:line="260" w:lineRule="exact" w:before="24"/>
              <w:ind w:left="103" w:right="62"/>
              <w:jc w:val="both"/>
              <w:rPr>
                <w:rFonts w:ascii="宋体" w:hAnsi="宋体" w:cs="宋体" w:eastAsia="宋体" w:hint="default"/>
                <w:sz w:val="20"/>
                <w:szCs w:val="20"/>
              </w:rPr>
            </w:pPr>
            <w:r>
              <w:rPr>
                <w:rFonts w:ascii="宋体" w:hAnsi="宋体" w:cs="宋体" w:eastAsia="宋体" w:hint="default"/>
                <w:spacing w:val="28"/>
                <w:sz w:val="20"/>
                <w:szCs w:val="20"/>
              </w:rPr>
              <w:t>息技术股</w:t>
            </w:r>
            <w:r>
              <w:rPr>
                <w:rFonts w:ascii="宋体" w:hAnsi="宋体" w:cs="宋体" w:eastAsia="宋体" w:hint="default"/>
                <w:spacing w:val="-62"/>
                <w:sz w:val="20"/>
                <w:szCs w:val="20"/>
              </w:rPr>
              <w:t> </w:t>
            </w:r>
            <w:r>
              <w:rPr>
                <w:rFonts w:ascii="宋体" w:hAnsi="宋体" w:cs="宋体" w:eastAsia="宋体" w:hint="default"/>
                <w:spacing w:val="28"/>
                <w:sz w:val="20"/>
                <w:szCs w:val="20"/>
              </w:rPr>
              <w:t>份有限公</w:t>
            </w:r>
            <w:r>
              <w:rPr>
                <w:rFonts w:ascii="宋体" w:hAnsi="宋体" w:cs="宋体" w:eastAsia="宋体" w:hint="default"/>
                <w:spacing w:val="-62"/>
                <w:sz w:val="20"/>
                <w:szCs w:val="20"/>
              </w:rPr>
              <w:t> </w:t>
            </w:r>
            <w:r>
              <w:rPr>
                <w:rFonts w:ascii="宋体" w:hAnsi="宋体" w:cs="宋体" w:eastAsia="宋体" w:hint="default"/>
                <w:sz w:val="20"/>
                <w:szCs w:val="20"/>
              </w:rPr>
              <w:t>司</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98" w:right="0"/>
              <w:jc w:val="center"/>
              <w:rPr>
                <w:rFonts w:ascii="宋体" w:hAnsi="宋体" w:cs="宋体" w:eastAsia="宋体" w:hint="default"/>
                <w:sz w:val="20"/>
                <w:szCs w:val="20"/>
              </w:rPr>
            </w:pPr>
            <w:r>
              <w:rPr>
                <w:rFonts w:ascii="宋体"/>
                <w:sz w:val="20"/>
              </w:rPr>
              <w:t>217,18</w:t>
            </w:r>
          </w:p>
          <w:p>
            <w:pPr>
              <w:pStyle w:val="TableParagraph"/>
              <w:spacing w:line="261" w:lineRule="exact"/>
              <w:ind w:left="197" w:right="0"/>
              <w:jc w:val="center"/>
              <w:rPr>
                <w:rFonts w:ascii="宋体" w:hAnsi="宋体" w:cs="宋体" w:eastAsia="宋体" w:hint="default"/>
                <w:sz w:val="20"/>
                <w:szCs w:val="20"/>
              </w:rPr>
            </w:pPr>
            <w:r>
              <w:rPr>
                <w:rFonts w:ascii="宋体"/>
                <w:sz w:val="20"/>
              </w:rPr>
              <w:t>1,666</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20"/>
                <w:szCs w:val="20"/>
              </w:rPr>
            </w:pPr>
            <w:r>
              <w:rPr>
                <w:rFonts w:ascii="宋体" w:hAnsi="宋体" w:cs="宋体" w:eastAsia="宋体" w:hint="default"/>
                <w:spacing w:val="38"/>
                <w:sz w:val="20"/>
                <w:szCs w:val="20"/>
              </w:rPr>
              <w:t>计算机</w:t>
            </w:r>
            <w:r>
              <w:rPr>
                <w:rFonts w:ascii="宋体" w:hAnsi="宋体" w:cs="宋体" w:eastAsia="宋体" w:hint="default"/>
                <w:spacing w:val="-43"/>
                <w:sz w:val="20"/>
                <w:szCs w:val="20"/>
              </w:rPr>
              <w:t> </w:t>
            </w:r>
            <w:r>
              <w:rPr>
                <w:rFonts w:ascii="宋体" w:hAnsi="宋体" w:cs="宋体" w:eastAsia="宋体" w:hint="default"/>
                <w:sz w:val="20"/>
                <w:szCs w:val="20"/>
              </w:rPr>
            </w:r>
          </w:p>
          <w:p>
            <w:pPr>
              <w:pStyle w:val="TableParagraph"/>
              <w:spacing w:line="259" w:lineRule="exact"/>
              <w:ind w:left="103" w:right="0"/>
              <w:jc w:val="left"/>
              <w:rPr>
                <w:rFonts w:ascii="宋体" w:hAnsi="宋体" w:cs="宋体" w:eastAsia="宋体" w:hint="default"/>
                <w:sz w:val="20"/>
                <w:szCs w:val="20"/>
              </w:rPr>
            </w:pPr>
            <w:r>
              <w:rPr>
                <w:rFonts w:ascii="宋体" w:hAnsi="宋体" w:cs="宋体" w:eastAsia="宋体" w:hint="default"/>
                <w:spacing w:val="4"/>
                <w:sz w:val="20"/>
                <w:szCs w:val="20"/>
              </w:rPr>
              <w:t>软</w:t>
            </w:r>
            <w:r>
              <w:rPr>
                <w:rFonts w:ascii="宋体" w:hAnsi="宋体" w:cs="宋体" w:eastAsia="宋体" w:hint="default"/>
                <w:spacing w:val="4"/>
                <w:sz w:val="20"/>
                <w:szCs w:val="20"/>
              </w:rPr>
              <w:t>/</w:t>
            </w:r>
            <w:r>
              <w:rPr>
                <w:rFonts w:ascii="宋体" w:hAnsi="宋体" w:cs="宋体" w:eastAsia="宋体" w:hint="default"/>
                <w:spacing w:val="4"/>
                <w:sz w:val="20"/>
                <w:szCs w:val="20"/>
              </w:rPr>
              <w:t>硬件</w:t>
            </w:r>
            <w:r>
              <w:rPr>
                <w:rFonts w:ascii="宋体" w:hAnsi="宋体" w:cs="宋体" w:eastAsia="宋体" w:hint="default"/>
                <w:sz w:val="20"/>
                <w:szCs w:val="20"/>
              </w:rPr>
            </w:r>
          </w:p>
          <w:p>
            <w:pPr>
              <w:pStyle w:val="TableParagraph"/>
              <w:spacing w:line="260" w:lineRule="exact" w:before="24"/>
              <w:ind w:left="103" w:right="17"/>
              <w:jc w:val="left"/>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0"/>
                <w:szCs w:val="20"/>
              </w:rPr>
              <w:t>耗</w:t>
            </w:r>
            <w:r>
              <w:rPr>
                <w:rFonts w:ascii="宋体" w:hAnsi="宋体" w:cs="宋体" w:eastAsia="宋体" w:hint="default"/>
                <w:spacing w:val="-2"/>
                <w:sz w:val="20"/>
                <w:szCs w:val="20"/>
              </w:rPr>
              <w:t> </w:t>
            </w:r>
            <w:r>
              <w:rPr>
                <w:rFonts w:ascii="宋体" w:hAnsi="宋体" w:cs="宋体" w:eastAsia="宋体" w:hint="default"/>
                <w:sz w:val="20"/>
                <w:szCs w:val="20"/>
              </w:rPr>
              <w:t>材、</w:t>
            </w:r>
            <w:r>
              <w:rPr>
                <w:rFonts w:ascii="宋体" w:hAnsi="宋体" w:cs="宋体" w:eastAsia="宋体" w:hint="default"/>
                <w:w w:val="99"/>
                <w:sz w:val="20"/>
                <w:szCs w:val="20"/>
              </w:rPr>
              <w:t> </w:t>
            </w:r>
            <w:r>
              <w:rPr>
                <w:rFonts w:ascii="宋体" w:hAnsi="宋体" w:cs="宋体" w:eastAsia="宋体" w:hint="default"/>
                <w:spacing w:val="38"/>
                <w:sz w:val="20"/>
                <w:szCs w:val="20"/>
              </w:rPr>
              <w:t>电子行</w:t>
            </w:r>
            <w:r>
              <w:rPr>
                <w:rFonts w:ascii="宋体" w:hAnsi="宋体" w:cs="宋体" w:eastAsia="宋体" w:hint="default"/>
                <w:spacing w:val="-43"/>
                <w:sz w:val="20"/>
                <w:szCs w:val="20"/>
              </w:rPr>
              <w:t> </w:t>
            </w:r>
            <w:r>
              <w:rPr>
                <w:rFonts w:ascii="宋体" w:hAnsi="宋体" w:cs="宋体" w:eastAsia="宋体" w:hint="default"/>
                <w:sz w:val="20"/>
                <w:szCs w:val="20"/>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both"/>
              <w:rPr>
                <w:rFonts w:ascii="宋体" w:hAnsi="宋体" w:cs="宋体" w:eastAsia="宋体" w:hint="default"/>
                <w:sz w:val="20"/>
                <w:szCs w:val="20"/>
              </w:rPr>
            </w:pPr>
            <w:r>
              <w:rPr>
                <w:rFonts w:ascii="宋体" w:hAnsi="宋体" w:cs="宋体" w:eastAsia="宋体" w:hint="default"/>
                <w:spacing w:val="-4"/>
                <w:sz w:val="20"/>
                <w:szCs w:val="20"/>
              </w:rPr>
              <w:t>电子计算机软件、硬</w:t>
            </w:r>
          </w:p>
          <w:p>
            <w:pPr>
              <w:pStyle w:val="TableParagraph"/>
              <w:spacing w:line="260" w:lineRule="exact" w:before="24"/>
              <w:ind w:left="103" w:right="73"/>
              <w:jc w:val="both"/>
              <w:rPr>
                <w:rFonts w:ascii="宋体" w:hAnsi="宋体" w:cs="宋体" w:eastAsia="宋体" w:hint="default"/>
                <w:sz w:val="20"/>
                <w:szCs w:val="20"/>
              </w:rPr>
            </w:pPr>
            <w:r>
              <w:rPr>
                <w:rFonts w:ascii="宋体" w:hAnsi="宋体" w:cs="宋体" w:eastAsia="宋体" w:hint="default"/>
                <w:spacing w:val="15"/>
                <w:sz w:val="20"/>
                <w:szCs w:val="20"/>
              </w:rPr>
              <w:t>件及外</w:t>
            </w:r>
            <w:r>
              <w:rPr>
                <w:rFonts w:ascii="宋体" w:hAnsi="宋体" w:cs="宋体" w:eastAsia="宋体" w:hint="default"/>
                <w:spacing w:val="-75"/>
                <w:sz w:val="20"/>
                <w:szCs w:val="20"/>
              </w:rPr>
              <w:t> </w:t>
            </w:r>
            <w:r>
              <w:rPr>
                <w:rFonts w:ascii="宋体" w:hAnsi="宋体" w:cs="宋体" w:eastAsia="宋体" w:hint="default"/>
                <w:spacing w:val="15"/>
                <w:sz w:val="20"/>
                <w:szCs w:val="20"/>
              </w:rPr>
              <w:t>部设备</w:t>
            </w:r>
            <w:r>
              <w:rPr>
                <w:rFonts w:ascii="宋体" w:hAnsi="宋体" w:cs="宋体" w:eastAsia="宋体" w:hint="default"/>
                <w:spacing w:val="-75"/>
                <w:sz w:val="20"/>
                <w:szCs w:val="20"/>
              </w:rPr>
              <w:t> </w:t>
            </w:r>
            <w:r>
              <w:rPr>
                <w:rFonts w:ascii="宋体" w:hAnsi="宋体" w:cs="宋体" w:eastAsia="宋体" w:hint="default"/>
                <w:spacing w:val="11"/>
                <w:sz w:val="20"/>
                <w:szCs w:val="20"/>
              </w:rPr>
              <w:t>的技</w:t>
            </w:r>
            <w:r>
              <w:rPr>
                <w:rFonts w:ascii="宋体" w:hAnsi="宋体" w:cs="宋体" w:eastAsia="宋体" w:hint="default"/>
                <w:w w:val="99"/>
                <w:sz w:val="20"/>
                <w:szCs w:val="20"/>
              </w:rPr>
              <w:t> </w:t>
            </w:r>
            <w:r>
              <w:rPr>
                <w:rFonts w:ascii="宋体" w:hAnsi="宋体" w:cs="宋体" w:eastAsia="宋体" w:hint="default"/>
                <w:sz w:val="20"/>
                <w:szCs w:val="20"/>
              </w:rPr>
              <w:t>术开发、技术咨询、</w:t>
            </w:r>
            <w:r>
              <w:rPr>
                <w:rFonts w:ascii="宋体" w:hAnsi="宋体" w:cs="宋体" w:eastAsia="宋体" w:hint="default"/>
                <w:w w:val="99"/>
                <w:sz w:val="20"/>
                <w:szCs w:val="20"/>
              </w:rPr>
              <w:t> </w:t>
            </w:r>
            <w:r>
              <w:rPr>
                <w:rFonts w:ascii="宋体" w:hAnsi="宋体" w:cs="宋体" w:eastAsia="宋体" w:hint="default"/>
                <w:spacing w:val="15"/>
                <w:sz w:val="20"/>
                <w:szCs w:val="20"/>
              </w:rPr>
              <w:t>技术转</w:t>
            </w:r>
            <w:r>
              <w:rPr>
                <w:rFonts w:ascii="宋体" w:hAnsi="宋体" w:cs="宋体" w:eastAsia="宋体" w:hint="default"/>
                <w:spacing w:val="-76"/>
                <w:sz w:val="20"/>
                <w:szCs w:val="20"/>
              </w:rPr>
              <w:t> </w:t>
            </w:r>
            <w:r>
              <w:rPr>
                <w:rFonts w:ascii="宋体" w:hAnsi="宋体" w:cs="宋体" w:eastAsia="宋体" w:hint="default"/>
                <w:spacing w:val="11"/>
                <w:sz w:val="20"/>
                <w:szCs w:val="20"/>
              </w:rPr>
              <w:t>让、</w:t>
            </w:r>
            <w:r>
              <w:rPr>
                <w:rFonts w:ascii="宋体" w:hAnsi="宋体" w:cs="宋体" w:eastAsia="宋体" w:hint="default"/>
                <w:spacing w:val="-79"/>
                <w:sz w:val="20"/>
                <w:szCs w:val="20"/>
              </w:rPr>
              <w:t> </w:t>
            </w:r>
            <w:r>
              <w:rPr>
                <w:rFonts w:ascii="宋体" w:hAnsi="宋体" w:cs="宋体" w:eastAsia="宋体" w:hint="default"/>
                <w:sz w:val="20"/>
                <w:szCs w:val="20"/>
              </w:rPr>
              <w:t>技</w:t>
            </w:r>
            <w:r>
              <w:rPr>
                <w:rFonts w:ascii="宋体" w:hAnsi="宋体" w:cs="宋体" w:eastAsia="宋体" w:hint="default"/>
                <w:spacing w:val="-76"/>
                <w:sz w:val="20"/>
                <w:szCs w:val="20"/>
              </w:rPr>
              <w:t> </w:t>
            </w:r>
            <w:r>
              <w:rPr>
                <w:rFonts w:ascii="宋体" w:hAnsi="宋体" w:cs="宋体" w:eastAsia="宋体" w:hint="default"/>
                <w:spacing w:val="11"/>
                <w:sz w:val="20"/>
                <w:szCs w:val="20"/>
              </w:rPr>
              <w:t>术服</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3"/>
              <w:jc w:val="right"/>
              <w:rPr>
                <w:rFonts w:ascii="宋体" w:hAnsi="宋体" w:cs="宋体" w:eastAsia="宋体" w:hint="default"/>
                <w:sz w:val="20"/>
                <w:szCs w:val="20"/>
              </w:rPr>
            </w:pPr>
            <w:r>
              <w:rPr>
                <w:rFonts w:ascii="宋体"/>
                <w:w w:val="95"/>
                <w:sz w:val="20"/>
              </w:rPr>
              <w:t>70.99</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75" w:right="0"/>
              <w:jc w:val="left"/>
              <w:rPr>
                <w:rFonts w:ascii="宋体" w:hAnsi="宋体" w:cs="宋体" w:eastAsia="宋体" w:hint="default"/>
                <w:sz w:val="20"/>
                <w:szCs w:val="20"/>
              </w:rPr>
            </w:pPr>
            <w:r>
              <w:rPr>
                <w:rFonts w:ascii="宋体"/>
                <w:sz w:val="20"/>
              </w:rPr>
              <w:t>505,347</w:t>
            </w:r>
          </w:p>
          <w:p>
            <w:pPr>
              <w:pStyle w:val="TableParagraph"/>
              <w:spacing w:line="261" w:lineRule="exact"/>
              <w:ind w:left="475" w:right="0"/>
              <w:jc w:val="left"/>
              <w:rPr>
                <w:rFonts w:ascii="宋体" w:hAnsi="宋体" w:cs="宋体" w:eastAsia="宋体" w:hint="default"/>
                <w:sz w:val="20"/>
                <w:szCs w:val="20"/>
              </w:rPr>
            </w:pPr>
            <w:r>
              <w:rPr>
                <w:rFonts w:ascii="宋体"/>
                <w:sz w:val="20"/>
              </w:rPr>
              <w:t>,956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76" w:right="0"/>
              <w:jc w:val="center"/>
              <w:rPr>
                <w:rFonts w:ascii="宋体" w:hAnsi="宋体" w:cs="宋体" w:eastAsia="宋体" w:hint="default"/>
                <w:sz w:val="20"/>
                <w:szCs w:val="20"/>
              </w:rPr>
            </w:pPr>
            <w:r>
              <w:rPr>
                <w:rFonts w:ascii="宋体"/>
                <w:sz w:val="20"/>
              </w:rPr>
              <w:t>1,277,3</w:t>
            </w:r>
          </w:p>
          <w:p>
            <w:pPr>
              <w:pStyle w:val="TableParagraph"/>
              <w:spacing w:line="261" w:lineRule="exact"/>
              <w:ind w:left="177" w:right="0"/>
              <w:jc w:val="center"/>
              <w:rPr>
                <w:rFonts w:ascii="宋体" w:hAnsi="宋体" w:cs="宋体" w:eastAsia="宋体" w:hint="default"/>
                <w:sz w:val="20"/>
                <w:szCs w:val="20"/>
              </w:rPr>
            </w:pPr>
            <w:r>
              <w:rPr>
                <w:rFonts w:ascii="宋体"/>
                <w:sz w:val="20"/>
              </w:rPr>
              <w:t>33,071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75" w:right="0"/>
              <w:jc w:val="left"/>
              <w:rPr>
                <w:rFonts w:ascii="宋体" w:hAnsi="宋体" w:cs="宋体" w:eastAsia="宋体" w:hint="default"/>
                <w:sz w:val="20"/>
                <w:szCs w:val="20"/>
              </w:rPr>
            </w:pPr>
            <w:r>
              <w:rPr>
                <w:rFonts w:ascii="宋体"/>
                <w:sz w:val="20"/>
              </w:rPr>
              <w:t>222,837</w:t>
            </w:r>
          </w:p>
          <w:p>
            <w:pPr>
              <w:pStyle w:val="TableParagraph"/>
              <w:spacing w:line="261" w:lineRule="exact"/>
              <w:ind w:left="475" w:right="0"/>
              <w:jc w:val="left"/>
              <w:rPr>
                <w:rFonts w:ascii="宋体" w:hAnsi="宋体" w:cs="宋体" w:eastAsia="宋体" w:hint="default"/>
                <w:sz w:val="20"/>
                <w:szCs w:val="20"/>
              </w:rPr>
            </w:pPr>
            <w:r>
              <w:rPr>
                <w:rFonts w:ascii="宋体"/>
                <w:sz w:val="20"/>
              </w:rPr>
              <w:t>,008</w:t>
            </w:r>
          </w:p>
        </w:tc>
      </w:tr>
    </w:tbl>
    <w:p>
      <w:pPr>
        <w:spacing w:after="0" w:line="261" w:lineRule="exact"/>
        <w:jc w:val="left"/>
        <w:rPr>
          <w:rFonts w:ascii="宋体" w:hAnsi="宋体" w:cs="宋体" w:eastAsia="宋体" w:hint="default"/>
          <w:sz w:val="20"/>
          <w:szCs w:val="20"/>
        </w:rPr>
        <w:sectPr>
          <w:footerReference w:type="default" r:id="rId37"/>
          <w:pgSz w:w="11910" w:h="16840"/>
          <w:pgMar w:footer="1195" w:header="855" w:top="1320" w:bottom="1380" w:left="1580" w:right="1120"/>
          <w:pgNumType w:start="41"/>
        </w:sectPr>
      </w:pPr>
    </w:p>
    <w:p>
      <w:pPr>
        <w:spacing w:line="240" w:lineRule="auto" w:before="9"/>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1128"/>
        <w:gridCol w:w="912"/>
        <w:gridCol w:w="932"/>
        <w:gridCol w:w="1985"/>
        <w:gridCol w:w="852"/>
        <w:gridCol w:w="991"/>
        <w:gridCol w:w="994"/>
        <w:gridCol w:w="991"/>
      </w:tblGrid>
      <w:tr>
        <w:trPr>
          <w:trHeight w:val="1308" w:hRule="exact"/>
        </w:trPr>
        <w:tc>
          <w:tcPr>
            <w:tcW w:w="1128"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业</w:t>
            </w:r>
            <w:r>
              <w:rPr>
                <w:rFonts w:ascii="宋体" w:hAnsi="宋体" w:cs="宋体" w:eastAsia="宋体" w:hint="default"/>
                <w:sz w:val="20"/>
                <w:szCs w:val="20"/>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03" w:right="0"/>
              <w:jc w:val="both"/>
              <w:rPr>
                <w:rFonts w:ascii="宋体" w:hAnsi="宋体" w:cs="宋体" w:eastAsia="宋体" w:hint="default"/>
                <w:sz w:val="20"/>
                <w:szCs w:val="20"/>
              </w:rPr>
            </w:pPr>
            <w:r>
              <w:rPr>
                <w:rFonts w:ascii="宋体" w:hAnsi="宋体" w:cs="宋体" w:eastAsia="宋体" w:hint="default"/>
                <w:spacing w:val="-4"/>
                <w:sz w:val="20"/>
                <w:szCs w:val="20"/>
              </w:rPr>
              <w:t>务、技术培训；销售</w:t>
            </w:r>
          </w:p>
          <w:p>
            <w:pPr>
              <w:pStyle w:val="TableParagraph"/>
              <w:spacing w:line="260" w:lineRule="exact" w:before="24"/>
              <w:ind w:left="103" w:right="104"/>
              <w:jc w:val="both"/>
              <w:rPr>
                <w:rFonts w:ascii="宋体" w:hAnsi="宋体" w:cs="宋体" w:eastAsia="宋体" w:hint="default"/>
                <w:sz w:val="20"/>
                <w:szCs w:val="20"/>
              </w:rPr>
            </w:pPr>
            <w:r>
              <w:rPr>
                <w:rFonts w:ascii="宋体" w:hAnsi="宋体" w:cs="宋体" w:eastAsia="宋体" w:hint="default"/>
                <w:spacing w:val="15"/>
                <w:sz w:val="20"/>
                <w:szCs w:val="20"/>
              </w:rPr>
              <w:t>打印纸</w:t>
            </w:r>
            <w:r>
              <w:rPr>
                <w:rFonts w:ascii="宋体" w:hAnsi="宋体" w:cs="宋体" w:eastAsia="宋体" w:hint="default"/>
                <w:spacing w:val="-76"/>
                <w:sz w:val="20"/>
                <w:szCs w:val="20"/>
              </w:rPr>
              <w:t> </w:t>
            </w:r>
            <w:r>
              <w:rPr>
                <w:rFonts w:ascii="宋体" w:hAnsi="宋体" w:cs="宋体" w:eastAsia="宋体" w:hint="default"/>
                <w:spacing w:val="15"/>
                <w:sz w:val="20"/>
                <w:szCs w:val="20"/>
              </w:rPr>
              <w:t>和计算</w:t>
            </w:r>
            <w:r>
              <w:rPr>
                <w:rFonts w:ascii="宋体" w:hAnsi="宋体" w:cs="宋体" w:eastAsia="宋体" w:hint="default"/>
                <w:spacing w:val="-76"/>
                <w:sz w:val="20"/>
                <w:szCs w:val="20"/>
              </w:rPr>
              <w:t> </w:t>
            </w:r>
            <w:r>
              <w:rPr>
                <w:rFonts w:ascii="宋体" w:hAnsi="宋体" w:cs="宋体" w:eastAsia="宋体" w:hint="default"/>
                <w:spacing w:val="11"/>
                <w:sz w:val="20"/>
                <w:szCs w:val="20"/>
              </w:rPr>
              <w:t>机耗</w:t>
            </w:r>
            <w:r>
              <w:rPr>
                <w:rFonts w:ascii="宋体" w:hAnsi="宋体" w:cs="宋体" w:eastAsia="宋体" w:hint="default"/>
                <w:w w:val="99"/>
                <w:sz w:val="20"/>
                <w:szCs w:val="20"/>
              </w:rPr>
              <w:t> </w:t>
            </w:r>
            <w:r>
              <w:rPr>
                <w:rFonts w:ascii="宋体" w:hAnsi="宋体" w:cs="宋体" w:eastAsia="宋体" w:hint="default"/>
                <w:spacing w:val="-4"/>
                <w:sz w:val="20"/>
                <w:szCs w:val="20"/>
              </w:rPr>
              <w:t>材、电子计算机软硬</w:t>
            </w:r>
            <w:r>
              <w:rPr>
                <w:rFonts w:ascii="宋体" w:hAnsi="宋体" w:cs="宋体" w:eastAsia="宋体" w:hint="default"/>
                <w:w w:val="99"/>
                <w:sz w:val="20"/>
                <w:szCs w:val="20"/>
              </w:rPr>
              <w:t> </w:t>
            </w:r>
            <w:r>
              <w:rPr>
                <w:rFonts w:ascii="宋体" w:hAnsi="宋体" w:cs="宋体" w:eastAsia="宋体" w:hint="default"/>
                <w:spacing w:val="-4"/>
                <w:sz w:val="20"/>
                <w:szCs w:val="20"/>
              </w:rPr>
              <w:t>件及外部设备；数据</w:t>
            </w:r>
            <w:r>
              <w:rPr>
                <w:rFonts w:ascii="宋体" w:hAnsi="宋体" w:cs="宋体" w:eastAsia="宋体" w:hint="default"/>
                <w:w w:val="99"/>
                <w:sz w:val="20"/>
                <w:szCs w:val="20"/>
              </w:rPr>
              <w:t> </w:t>
            </w:r>
            <w:r>
              <w:rPr>
                <w:rFonts w:ascii="宋体" w:hAnsi="宋体" w:cs="宋体" w:eastAsia="宋体" w:hint="default"/>
                <w:sz w:val="20"/>
                <w:szCs w:val="20"/>
              </w:rPr>
              <w:t>库服务。</w:t>
            </w:r>
          </w:p>
        </w:tc>
        <w:tc>
          <w:tcPr>
            <w:tcW w:w="852"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r>
      <w:tr>
        <w:trPr>
          <w:trHeight w:val="1049"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both"/>
              <w:rPr>
                <w:rFonts w:ascii="宋体" w:hAnsi="宋体" w:cs="宋体" w:eastAsia="宋体" w:hint="default"/>
                <w:sz w:val="20"/>
                <w:szCs w:val="20"/>
              </w:rPr>
            </w:pPr>
            <w:r>
              <w:rPr>
                <w:rFonts w:ascii="宋体" w:hAnsi="宋体" w:cs="宋体" w:eastAsia="宋体" w:hint="default"/>
                <w:spacing w:val="28"/>
                <w:sz w:val="20"/>
                <w:szCs w:val="20"/>
              </w:rPr>
              <w:t>深圳前海</w:t>
            </w:r>
            <w:r>
              <w:rPr>
                <w:rFonts w:ascii="宋体" w:hAnsi="宋体" w:cs="宋体" w:eastAsia="宋体" w:hint="default"/>
                <w:spacing w:val="-62"/>
                <w:sz w:val="20"/>
                <w:szCs w:val="20"/>
              </w:rPr>
              <w:t> </w:t>
            </w:r>
            <w:r>
              <w:rPr>
                <w:rFonts w:ascii="宋体" w:hAnsi="宋体" w:cs="宋体" w:eastAsia="宋体" w:hint="default"/>
                <w:sz w:val="20"/>
                <w:szCs w:val="20"/>
              </w:rPr>
            </w:r>
          </w:p>
          <w:p>
            <w:pPr>
              <w:pStyle w:val="TableParagraph"/>
              <w:spacing w:line="260" w:lineRule="exact" w:before="24"/>
              <w:ind w:left="103" w:right="62"/>
              <w:jc w:val="both"/>
              <w:rPr>
                <w:rFonts w:ascii="宋体" w:hAnsi="宋体" w:cs="宋体" w:eastAsia="宋体" w:hint="default"/>
                <w:sz w:val="20"/>
                <w:szCs w:val="20"/>
              </w:rPr>
            </w:pPr>
            <w:r>
              <w:rPr>
                <w:rFonts w:ascii="宋体" w:hAnsi="宋体" w:cs="宋体" w:eastAsia="宋体" w:hint="default"/>
                <w:spacing w:val="28"/>
                <w:sz w:val="20"/>
                <w:szCs w:val="20"/>
              </w:rPr>
              <w:t>用友力合</w:t>
            </w:r>
            <w:r>
              <w:rPr>
                <w:rFonts w:ascii="宋体" w:hAnsi="宋体" w:cs="宋体" w:eastAsia="宋体" w:hint="default"/>
                <w:spacing w:val="-62"/>
                <w:sz w:val="20"/>
                <w:szCs w:val="20"/>
              </w:rPr>
              <w:t> </w:t>
            </w:r>
            <w:r>
              <w:rPr>
                <w:rFonts w:ascii="宋体" w:hAnsi="宋体" w:cs="宋体" w:eastAsia="宋体" w:hint="default"/>
                <w:sz w:val="20"/>
                <w:szCs w:val="20"/>
              </w:rPr>
              <w:t>金融</w:t>
            </w:r>
            <w:r>
              <w:rPr>
                <w:rFonts w:ascii="宋体" w:hAnsi="宋体" w:cs="宋体" w:eastAsia="宋体" w:hint="default"/>
                <w:spacing w:val="8"/>
                <w:sz w:val="20"/>
                <w:szCs w:val="20"/>
              </w:rPr>
              <w:t> </w:t>
            </w:r>
            <w:r>
              <w:rPr>
                <w:rFonts w:ascii="宋体" w:hAnsi="宋体" w:cs="宋体" w:eastAsia="宋体" w:hint="default"/>
                <w:sz w:val="20"/>
                <w:szCs w:val="20"/>
              </w:rPr>
              <w:t>服务</w:t>
            </w:r>
            <w:r>
              <w:rPr>
                <w:rFonts w:ascii="宋体" w:hAnsi="宋体" w:cs="宋体" w:eastAsia="宋体" w:hint="default"/>
                <w:spacing w:val="2"/>
                <w:w w:val="99"/>
                <w:sz w:val="20"/>
                <w:szCs w:val="20"/>
              </w:rPr>
              <w:t> </w:t>
            </w:r>
            <w:r>
              <w:rPr>
                <w:rFonts w:ascii="宋体" w:hAnsi="宋体" w:cs="宋体" w:eastAsia="宋体" w:hint="default"/>
                <w:sz w:val="20"/>
                <w:szCs w:val="20"/>
              </w:rPr>
              <w:t>有限公司</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99" w:right="0"/>
              <w:jc w:val="left"/>
              <w:rPr>
                <w:rFonts w:ascii="宋体" w:hAnsi="宋体" w:cs="宋体" w:eastAsia="宋体" w:hint="default"/>
                <w:sz w:val="20"/>
                <w:szCs w:val="20"/>
              </w:rPr>
            </w:pPr>
            <w:r>
              <w:rPr>
                <w:rFonts w:ascii="宋体"/>
                <w:sz w:val="20"/>
              </w:rPr>
              <w:t>66,804</w:t>
            </w:r>
          </w:p>
          <w:p>
            <w:pPr>
              <w:pStyle w:val="TableParagraph"/>
              <w:spacing w:line="260" w:lineRule="exact"/>
              <w:ind w:left="398" w:right="0"/>
              <w:jc w:val="left"/>
              <w:rPr>
                <w:rFonts w:ascii="宋体" w:hAnsi="宋体" w:cs="宋体" w:eastAsia="宋体" w:hint="default"/>
                <w:sz w:val="20"/>
                <w:szCs w:val="20"/>
              </w:rPr>
            </w:pPr>
            <w:r>
              <w:rPr>
                <w:rFonts w:ascii="宋体"/>
                <w:sz w:val="20"/>
              </w:rPr>
              <w:t>,124</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pacing w:val="38"/>
                <w:sz w:val="20"/>
                <w:szCs w:val="20"/>
              </w:rPr>
              <w:t>咨询管</w:t>
            </w:r>
            <w:r>
              <w:rPr>
                <w:rFonts w:ascii="宋体" w:hAnsi="宋体" w:cs="宋体" w:eastAsia="宋体" w:hint="default"/>
                <w:spacing w:val="-43"/>
                <w:sz w:val="20"/>
                <w:szCs w:val="20"/>
              </w:rPr>
              <w:t> </w:t>
            </w:r>
            <w:r>
              <w:rPr>
                <w:rFonts w:ascii="宋体" w:hAnsi="宋体" w:cs="宋体" w:eastAsia="宋体" w:hint="default"/>
                <w:sz w:val="20"/>
                <w:szCs w:val="20"/>
              </w:rPr>
            </w:r>
          </w:p>
          <w:p>
            <w:pPr>
              <w:pStyle w:val="TableParagraph"/>
              <w:spacing w:line="260" w:lineRule="exact" w:before="24"/>
              <w:ind w:left="103" w:right="98"/>
              <w:jc w:val="left"/>
              <w:rPr>
                <w:rFonts w:ascii="宋体" w:hAnsi="宋体" w:cs="宋体" w:eastAsia="宋体" w:hint="default"/>
                <w:sz w:val="20"/>
                <w:szCs w:val="20"/>
              </w:rPr>
            </w:pPr>
            <w:r>
              <w:rPr>
                <w:rFonts w:ascii="宋体" w:hAnsi="宋体" w:cs="宋体" w:eastAsia="宋体" w:hint="default"/>
                <w:spacing w:val="4"/>
                <w:sz w:val="20"/>
                <w:szCs w:val="20"/>
              </w:rPr>
              <w:t>理</w:t>
            </w:r>
            <w:r>
              <w:rPr>
                <w:rFonts w:ascii="宋体" w:hAnsi="宋体" w:cs="宋体" w:eastAsia="宋体" w:hint="default"/>
                <w:spacing w:val="4"/>
                <w:sz w:val="20"/>
                <w:szCs w:val="20"/>
              </w:rPr>
              <w:t>/</w:t>
            </w:r>
            <w:r>
              <w:rPr>
                <w:rFonts w:ascii="宋体" w:hAnsi="宋体" w:cs="宋体" w:eastAsia="宋体" w:hint="default"/>
                <w:spacing w:val="4"/>
                <w:sz w:val="20"/>
                <w:szCs w:val="20"/>
              </w:rPr>
              <w:t>计算</w:t>
            </w:r>
            <w:r>
              <w:rPr>
                <w:rFonts w:ascii="宋体" w:hAnsi="宋体" w:cs="宋体" w:eastAsia="宋体" w:hint="default"/>
                <w:spacing w:val="4"/>
                <w:w w:val="99"/>
                <w:sz w:val="20"/>
                <w:szCs w:val="20"/>
              </w:rPr>
              <w:t> </w:t>
            </w:r>
            <w:r>
              <w:rPr>
                <w:rFonts w:ascii="宋体" w:hAnsi="宋体" w:cs="宋体" w:eastAsia="宋体" w:hint="default"/>
                <w:sz w:val="20"/>
                <w:szCs w:val="20"/>
              </w:rPr>
              <w:t>机软件</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pacing w:val="9"/>
                <w:sz w:val="20"/>
                <w:szCs w:val="20"/>
              </w:rPr>
              <w:t>咨询管理</w:t>
            </w:r>
            <w:r>
              <w:rPr>
                <w:rFonts w:ascii="宋体" w:hAnsi="宋体" w:cs="宋体" w:eastAsia="宋体" w:hint="default"/>
                <w:spacing w:val="9"/>
                <w:sz w:val="20"/>
                <w:szCs w:val="20"/>
              </w:rPr>
              <w:t>/</w:t>
            </w:r>
            <w:r>
              <w:rPr>
                <w:rFonts w:ascii="宋体" w:hAnsi="宋体" w:cs="宋体" w:eastAsia="宋体" w:hint="default"/>
                <w:spacing w:val="9"/>
                <w:sz w:val="20"/>
                <w:szCs w:val="20"/>
              </w:rPr>
              <w:t>计算机软</w:t>
            </w:r>
            <w:r>
              <w:rPr>
                <w:rFonts w:ascii="宋体" w:hAnsi="宋体" w:cs="宋体" w:eastAsia="宋体" w:hint="default"/>
                <w:sz w:val="20"/>
                <w:szCs w:val="20"/>
              </w:rPr>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件</w:t>
            </w:r>
            <w:r>
              <w:rPr>
                <w:rFonts w:ascii="宋体" w:hAnsi="宋体" w:cs="宋体" w:eastAsia="宋体" w:hint="default"/>
                <w:sz w:val="20"/>
                <w:szCs w:val="20"/>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237" w:right="0"/>
              <w:jc w:val="left"/>
              <w:rPr>
                <w:rFonts w:ascii="宋体" w:hAnsi="宋体" w:cs="宋体" w:eastAsia="宋体" w:hint="default"/>
                <w:sz w:val="20"/>
                <w:szCs w:val="20"/>
              </w:rPr>
            </w:pPr>
            <w:r>
              <w:rPr>
                <w:rFonts w:ascii="宋体"/>
                <w:sz w:val="20"/>
              </w:rPr>
              <w:t>53.89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75" w:right="0"/>
              <w:jc w:val="left"/>
              <w:rPr>
                <w:rFonts w:ascii="宋体" w:hAnsi="宋体" w:cs="宋体" w:eastAsia="宋体" w:hint="default"/>
                <w:sz w:val="20"/>
                <w:szCs w:val="20"/>
              </w:rPr>
            </w:pPr>
            <w:r>
              <w:rPr>
                <w:rFonts w:ascii="宋体"/>
                <w:sz w:val="20"/>
              </w:rPr>
              <w:t>717,155</w:t>
            </w:r>
          </w:p>
          <w:p>
            <w:pPr>
              <w:pStyle w:val="TableParagraph"/>
              <w:spacing w:line="260" w:lineRule="exact"/>
              <w:ind w:left="475" w:right="0"/>
              <w:jc w:val="left"/>
              <w:rPr>
                <w:rFonts w:ascii="宋体" w:hAnsi="宋体" w:cs="宋体" w:eastAsia="宋体" w:hint="default"/>
                <w:sz w:val="20"/>
                <w:szCs w:val="20"/>
              </w:rPr>
            </w:pPr>
            <w:r>
              <w:rPr>
                <w:rFonts w:ascii="宋体"/>
                <w:sz w:val="20"/>
              </w:rPr>
              <w:t>,003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79" w:right="0"/>
              <w:jc w:val="left"/>
              <w:rPr>
                <w:rFonts w:ascii="宋体" w:hAnsi="宋体" w:cs="宋体" w:eastAsia="宋体" w:hint="default"/>
                <w:sz w:val="20"/>
                <w:szCs w:val="20"/>
              </w:rPr>
            </w:pPr>
            <w:r>
              <w:rPr>
                <w:rFonts w:ascii="宋体"/>
                <w:sz w:val="20"/>
              </w:rPr>
              <w:t>487,103</w:t>
            </w:r>
          </w:p>
          <w:p>
            <w:pPr>
              <w:pStyle w:val="TableParagraph"/>
              <w:spacing w:line="260" w:lineRule="exact"/>
              <w:ind w:left="480" w:right="0"/>
              <w:jc w:val="left"/>
              <w:rPr>
                <w:rFonts w:ascii="宋体" w:hAnsi="宋体" w:cs="宋体" w:eastAsia="宋体" w:hint="default"/>
                <w:sz w:val="20"/>
                <w:szCs w:val="20"/>
              </w:rPr>
            </w:pPr>
            <w:r>
              <w:rPr>
                <w:rFonts w:ascii="宋体"/>
                <w:sz w:val="20"/>
              </w:rPr>
              <w:t>,591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75" w:right="0"/>
              <w:jc w:val="left"/>
              <w:rPr>
                <w:rFonts w:ascii="宋体" w:hAnsi="宋体" w:cs="宋体" w:eastAsia="宋体" w:hint="default"/>
                <w:sz w:val="20"/>
                <w:szCs w:val="20"/>
              </w:rPr>
            </w:pPr>
            <w:r>
              <w:rPr>
                <w:rFonts w:ascii="宋体"/>
                <w:sz w:val="20"/>
              </w:rPr>
              <w:t>234,260</w:t>
            </w:r>
          </w:p>
          <w:p>
            <w:pPr>
              <w:pStyle w:val="TableParagraph"/>
              <w:spacing w:line="260" w:lineRule="exact"/>
              <w:ind w:left="475" w:right="0"/>
              <w:jc w:val="left"/>
              <w:rPr>
                <w:rFonts w:ascii="宋体" w:hAnsi="宋体" w:cs="宋体" w:eastAsia="宋体" w:hint="default"/>
                <w:sz w:val="20"/>
                <w:szCs w:val="20"/>
              </w:rPr>
            </w:pPr>
            <w:r>
              <w:rPr>
                <w:rFonts w:ascii="宋体"/>
                <w:sz w:val="20"/>
              </w:rPr>
              <w:t>,446</w:t>
            </w:r>
          </w:p>
        </w:tc>
      </w:tr>
    </w:tbl>
    <w:p>
      <w:pPr>
        <w:spacing w:line="240" w:lineRule="auto" w:before="12"/>
        <w:rPr>
          <w:rFonts w:ascii="宋体" w:hAnsi="宋体" w:cs="宋体" w:eastAsia="宋体" w:hint="default"/>
          <w:sz w:val="19"/>
          <w:szCs w:val="19"/>
        </w:rPr>
      </w:pPr>
    </w:p>
    <w:p>
      <w:pPr>
        <w:pStyle w:val="Heading3"/>
        <w:tabs>
          <w:tab w:pos="1057" w:val="left" w:leader="none"/>
        </w:tabs>
        <w:spacing w:line="240" w:lineRule="auto" w:before="36"/>
        <w:ind w:right="147"/>
        <w:jc w:val="left"/>
        <w:rPr>
          <w:b w:val="0"/>
          <w:bCs w:val="0"/>
        </w:rPr>
      </w:pPr>
      <w:r>
        <w:rPr>
          <w:rFonts w:ascii="宋体" w:hAnsi="宋体" w:cs="宋体" w:eastAsia="宋体" w:hint="default"/>
          <w:spacing w:val="-1"/>
        </w:rPr>
        <w:t>(</w:t>
      </w:r>
      <w:r>
        <w:rPr>
          <w:spacing w:val="-1"/>
        </w:rPr>
        <w:t>八</w:t>
      </w:r>
      <w:r>
        <w:rPr>
          <w:rFonts w:ascii="宋体" w:hAnsi="宋体" w:cs="宋体" w:eastAsia="宋体" w:hint="default"/>
          <w:spacing w:val="-1"/>
        </w:rPr>
        <w:t>)</w:t>
        <w:tab/>
      </w:r>
      <w:r>
        <w:rPr>
          <w:spacing w:val="-1"/>
        </w:rPr>
        <w:t>公司控制的结构化主体情况</w:t>
      </w:r>
      <w:r>
        <w:rPr>
          <w:b w:val="0"/>
          <w:bCs w:val="0"/>
          <w:spacing w:val="-1"/>
        </w:rPr>
      </w:r>
    </w:p>
    <w:p>
      <w:pPr>
        <w:pStyle w:val="BodyText"/>
        <w:tabs>
          <w:tab w:pos="1060" w:val="left" w:leader="none"/>
        </w:tabs>
        <w:spacing w:line="240" w:lineRule="auto" w:before="58"/>
        <w:ind w:right="147"/>
        <w:jc w:val="left"/>
      </w:pPr>
      <w:r>
        <w:rPr>
          <w:spacing w:val="-1"/>
        </w:rPr>
        <w:t>□适用</w:t>
        <w:tab/>
      </w:r>
      <w:r>
        <w:rPr>
          <w:spacing w:val="-2"/>
        </w:rPr>
        <w:t>√不适用</w:t>
      </w:r>
    </w:p>
    <w:p>
      <w:pPr>
        <w:spacing w:line="240" w:lineRule="auto" w:before="1"/>
        <w:rPr>
          <w:rFonts w:ascii="宋体" w:hAnsi="宋体" w:cs="宋体" w:eastAsia="宋体" w:hint="default"/>
          <w:sz w:val="25"/>
          <w:szCs w:val="25"/>
        </w:rPr>
      </w:pPr>
    </w:p>
    <w:p>
      <w:pPr>
        <w:pStyle w:val="Heading3"/>
        <w:tabs>
          <w:tab w:pos="1057" w:val="left" w:leader="none"/>
        </w:tabs>
        <w:spacing w:line="290" w:lineRule="auto"/>
        <w:ind w:right="5189"/>
        <w:jc w:val="left"/>
        <w:rPr>
          <w:b w:val="0"/>
          <w:bCs w:val="0"/>
        </w:rPr>
      </w:pPr>
      <w:r>
        <w:rPr>
          <w:spacing w:val="-1"/>
        </w:rPr>
        <w:t>三、公司关于公司未来发展的讨论与分析</w:t>
      </w:r>
      <w:r>
        <w:rPr>
          <w:spacing w:val="-88"/>
        </w:rPr>
        <w:t> </w:t>
      </w:r>
      <w:r>
        <w:rPr>
          <w:spacing w:val="-88"/>
        </w:rPr>
      </w:r>
      <w:r>
        <w:rPr>
          <w:rFonts w:ascii="宋体" w:hAnsi="宋体" w:cs="宋体" w:eastAsia="宋体" w:hint="default"/>
          <w:spacing w:val="-1"/>
        </w:rPr>
        <w:t>(</w:t>
      </w:r>
      <w:r>
        <w:rPr>
          <w:spacing w:val="-1"/>
        </w:rPr>
        <w:t>一</w:t>
      </w:r>
      <w:r>
        <w:rPr>
          <w:rFonts w:ascii="宋体" w:hAnsi="宋体" w:cs="宋体" w:eastAsia="宋体" w:hint="default"/>
          <w:spacing w:val="-1"/>
        </w:rPr>
        <w:t>)</w:t>
        <w:tab/>
      </w:r>
      <w:r>
        <w:rPr/>
        <w:t>行业格局和趋势</w:t>
      </w:r>
      <w:r>
        <w:rPr>
          <w:b w:val="0"/>
          <w:bCs w:val="0"/>
        </w:rPr>
      </w:r>
    </w:p>
    <w:p>
      <w:pPr>
        <w:pStyle w:val="BodyText"/>
        <w:tabs>
          <w:tab w:pos="1060" w:val="left" w:leader="none"/>
        </w:tabs>
        <w:spacing w:line="274" w:lineRule="exact" w:before="12"/>
        <w:ind w:right="147"/>
        <w:jc w:val="left"/>
      </w:pPr>
      <w:r>
        <w:rPr>
          <w:spacing w:val="-1"/>
        </w:rPr>
        <w:t>√适用</w:t>
        <w:tab/>
      </w:r>
      <w:r>
        <w:rPr>
          <w:spacing w:val="-2"/>
        </w:rPr>
        <w:t>□不适用</w:t>
      </w:r>
    </w:p>
    <w:p>
      <w:pPr>
        <w:pStyle w:val="BodyText"/>
        <w:spacing w:line="355" w:lineRule="auto"/>
        <w:ind w:right="147" w:firstLine="419"/>
        <w:jc w:val="both"/>
      </w:pPr>
      <w:r>
        <w:rPr>
          <w:spacing w:val="-5"/>
        </w:rPr>
        <w:t>公司所处行业的竞争格局和发展趋势，详见“第三节</w:t>
      </w:r>
      <w:r>
        <w:rPr>
          <w:spacing w:val="66"/>
        </w:rPr>
        <w:t> </w:t>
      </w:r>
      <w:r>
        <w:rPr>
          <w:spacing w:val="-4"/>
        </w:rPr>
        <w:t>公司业务概要”中“一、报告期内公司</w:t>
      </w:r>
      <w:r>
        <w:rPr>
          <w:w w:val="100"/>
        </w:rPr>
        <w:t> </w:t>
      </w:r>
      <w:r>
        <w:rPr/>
        <w:t>所从事的主要业务、经营模式及行业情况说明”中“（二）行业情况说明”。</w:t>
      </w:r>
    </w:p>
    <w:p>
      <w:pPr>
        <w:spacing w:line="240" w:lineRule="auto" w:before="13"/>
        <w:rPr>
          <w:rFonts w:ascii="宋体" w:hAnsi="宋体" w:cs="宋体" w:eastAsia="宋体" w:hint="default"/>
          <w:sz w:val="27"/>
          <w:szCs w:val="27"/>
        </w:rPr>
      </w:pPr>
    </w:p>
    <w:p>
      <w:pPr>
        <w:pStyle w:val="Heading3"/>
        <w:tabs>
          <w:tab w:pos="1057" w:val="left" w:leader="none"/>
        </w:tabs>
        <w:spacing w:line="240" w:lineRule="auto"/>
        <w:ind w:right="147"/>
        <w:jc w:val="left"/>
        <w:rPr>
          <w:b w:val="0"/>
          <w:bCs w:val="0"/>
        </w:rPr>
      </w:pPr>
      <w:r>
        <w:rPr>
          <w:rFonts w:ascii="宋体" w:hAnsi="宋体" w:cs="宋体" w:eastAsia="宋体" w:hint="default"/>
          <w:spacing w:val="-1"/>
        </w:rPr>
        <w:t>(</w:t>
      </w:r>
      <w:r>
        <w:rPr>
          <w:spacing w:val="-1"/>
        </w:rPr>
        <w:t>二</w:t>
      </w:r>
      <w:r>
        <w:rPr>
          <w:rFonts w:ascii="宋体" w:hAnsi="宋体" w:cs="宋体" w:eastAsia="宋体" w:hint="default"/>
          <w:spacing w:val="-1"/>
        </w:rPr>
        <w:t>)</w:t>
        <w:tab/>
      </w:r>
      <w:r>
        <w:rPr/>
        <w:t>公司发展战略</w:t>
      </w:r>
      <w:r>
        <w:rPr>
          <w:b w:val="0"/>
          <w:bCs w:val="0"/>
        </w:rPr>
      </w:r>
    </w:p>
    <w:p>
      <w:pPr>
        <w:pStyle w:val="BodyText"/>
        <w:tabs>
          <w:tab w:pos="1060" w:val="left" w:leader="none"/>
        </w:tabs>
        <w:spacing w:line="240" w:lineRule="auto" w:before="56"/>
        <w:ind w:left="642" w:right="155" w:hanging="425"/>
        <w:jc w:val="left"/>
      </w:pPr>
      <w:r>
        <w:rPr>
          <w:spacing w:val="-1"/>
        </w:rPr>
        <w:t>√适用</w:t>
        <w:tab/>
      </w:r>
      <w:r>
        <w:rPr>
          <w:spacing w:val="-2"/>
        </w:rPr>
        <w:t>□不适用</w:t>
      </w:r>
      <w:r>
        <w:rPr>
          <w:spacing w:val="-99"/>
        </w:rPr>
        <w:t> </w:t>
      </w:r>
      <w:r>
        <w:rPr>
          <w:spacing w:val="-99"/>
        </w:rPr>
      </w:r>
      <w:r>
        <w:rPr>
          <w:spacing w:val="-2"/>
        </w:rPr>
        <w:t>从全球范围看，由于受到全新一代信息技术的影响，传统企业向数字化转型升级的趋势愈发</w:t>
      </w:r>
    </w:p>
    <w:p>
      <w:pPr>
        <w:pStyle w:val="BodyText"/>
        <w:spacing w:line="355" w:lineRule="auto" w:before="133"/>
        <w:ind w:right="147"/>
        <w:jc w:val="left"/>
      </w:pPr>
      <w:r>
        <w:rPr>
          <w:spacing w:val="-1"/>
        </w:rPr>
        <w:t>明显，数字化原生企业快速增长，为企业服务产业带来了巨大的发展机遇，“数字化商业”的新</w:t>
      </w:r>
      <w:r>
        <w:rPr>
          <w:spacing w:val="-55"/>
        </w:rPr>
        <w:t> </w:t>
      </w:r>
      <w:r>
        <w:rPr>
          <w:spacing w:val="-55"/>
        </w:rPr>
      </w:r>
      <w:r>
        <w:rPr/>
        <w:t>时期已经到来。</w:t>
      </w:r>
    </w:p>
    <w:p>
      <w:pPr>
        <w:pStyle w:val="BodyText"/>
        <w:spacing w:line="357" w:lineRule="auto" w:before="32"/>
        <w:ind w:right="149" w:firstLine="424"/>
        <w:jc w:val="both"/>
      </w:pPr>
      <w:r>
        <w:rPr/>
        <w:t>在新的时期，公司将进一步加大力度推进用友</w:t>
      </w:r>
      <w:r>
        <w:rPr>
          <w:spacing w:val="-51"/>
        </w:rPr>
        <w:t> </w:t>
      </w:r>
      <w:r>
        <w:rPr>
          <w:rFonts w:ascii="宋体" w:hAnsi="宋体" w:cs="宋体" w:eastAsia="宋体" w:hint="default"/>
        </w:rPr>
        <w:t>3.0</w:t>
      </w:r>
      <w:r>
        <w:rPr>
          <w:rFonts w:ascii="宋体" w:hAnsi="宋体" w:cs="宋体" w:eastAsia="宋体" w:hint="default"/>
          <w:spacing w:val="-53"/>
        </w:rPr>
        <w:t> </w:t>
      </w:r>
      <w:r>
        <w:rPr/>
        <w:t>战略，以用友云为核心，加快用友数字化</w:t>
      </w:r>
      <w:r>
        <w:rPr>
          <w:w w:val="100"/>
        </w:rPr>
        <w:t> </w:t>
      </w:r>
      <w:r>
        <w:rPr>
          <w:spacing w:val="-1"/>
        </w:rPr>
        <w:t>商业应用基础设施建设，并通过这样一个基础设施级的服务来赋能企业客户，帮助众多的企业迈</w:t>
      </w:r>
      <w:r>
        <w:rPr>
          <w:spacing w:val="-55"/>
        </w:rPr>
        <w:t> </w:t>
      </w:r>
      <w:r>
        <w:rPr>
          <w:spacing w:val="-55"/>
        </w:rPr>
      </w:r>
      <w:r>
        <w:rPr>
          <w:spacing w:val="-1"/>
        </w:rPr>
        <w:t>向云端，实现创变；同时加快用友企业服务产业的共享平台建设，积极构建企业服务生态，赋能</w:t>
      </w:r>
      <w:r>
        <w:rPr>
          <w:spacing w:val="-55"/>
        </w:rPr>
        <w:t> </w:t>
      </w:r>
      <w:r>
        <w:rPr>
          <w:spacing w:val="-55"/>
        </w:rPr>
      </w:r>
      <w:r>
        <w:rPr/>
        <w:t>企业服务产业，支持整个产业向服务化和平台化转型发展。</w:t>
      </w:r>
    </w:p>
    <w:p>
      <w:pPr>
        <w:pStyle w:val="BodyText"/>
        <w:spacing w:line="357" w:lineRule="auto" w:before="30"/>
        <w:ind w:right="149" w:firstLine="424"/>
        <w:jc w:val="both"/>
      </w:pPr>
      <w:r>
        <w:rPr>
          <w:spacing w:val="-2"/>
        </w:rPr>
        <w:t>用友云赋能企业主要围绕四个方面来开展：一是服务企业的业务创新，帮助企业实现“敏经</w:t>
      </w:r>
      <w:r>
        <w:rPr>
          <w:w w:val="100"/>
        </w:rPr>
        <w:t> </w:t>
      </w:r>
      <w:r>
        <w:rPr>
          <w:spacing w:val="-1"/>
        </w:rPr>
        <w:t>营”；二是服务企业的管理变革，帮助企业实现“轻管理”；三是支持企业把金融服务嵌入，帮</w:t>
      </w:r>
      <w:r>
        <w:rPr>
          <w:spacing w:val="-55"/>
        </w:rPr>
        <w:t> </w:t>
      </w:r>
      <w:r>
        <w:rPr>
          <w:spacing w:val="-55"/>
        </w:rPr>
      </w:r>
      <w:r>
        <w:rPr/>
        <w:t>助企业实现“易金融”；四是服务企业的</w:t>
      </w:r>
      <w:r>
        <w:rPr>
          <w:spacing w:val="-34"/>
        </w:rPr>
        <w:t> </w:t>
      </w:r>
      <w:r>
        <w:rPr>
          <w:rFonts w:ascii="宋体" w:hAnsi="宋体" w:cs="宋体" w:eastAsia="宋体" w:hint="default"/>
        </w:rPr>
        <w:t>IT</w:t>
      </w:r>
      <w:r>
        <w:rPr>
          <w:rFonts w:ascii="宋体" w:hAnsi="宋体" w:cs="宋体" w:eastAsia="宋体" w:hint="default"/>
          <w:spacing w:val="-32"/>
        </w:rPr>
        <w:t> </w:t>
      </w:r>
      <w:r>
        <w:rPr/>
        <w:t>升级，帮助企业实现“简</w:t>
      </w:r>
      <w:r>
        <w:rPr>
          <w:spacing w:val="-34"/>
        </w:rPr>
        <w:t> </w:t>
      </w:r>
      <w:r>
        <w:rPr/>
        <w:t>IT”。“敏经营”、“轻</w:t>
      </w:r>
      <w:r>
        <w:rPr>
          <w:w w:val="100"/>
        </w:rPr>
        <w:t> </w:t>
      </w:r>
      <w:r>
        <w:rPr>
          <w:spacing w:val="-4"/>
        </w:rPr>
        <w:t>管理”、“易金融”和“简 </w:t>
      </w:r>
      <w:r>
        <w:rPr>
          <w:spacing w:val="-3"/>
        </w:rPr>
        <w:t>IT”是公司帮助传统企业实现创变的方式和途径，最终帮助企业实现</w:t>
      </w:r>
      <w:r>
        <w:rPr>
          <w:spacing w:val="-66"/>
        </w:rPr>
        <w:t> </w:t>
      </w:r>
      <w:r>
        <w:rPr>
          <w:spacing w:val="-66"/>
        </w:rPr>
      </w:r>
      <w:r>
        <w:rPr/>
        <w:t>“增长收入、降低成本、提高效率、控制风险”。</w:t>
      </w:r>
    </w:p>
    <w:p>
      <w:pPr>
        <w:pStyle w:val="BodyText"/>
        <w:spacing w:line="357" w:lineRule="auto" w:before="30"/>
        <w:ind w:right="148" w:firstLine="424"/>
        <w:jc w:val="both"/>
      </w:pPr>
      <w:r>
        <w:rPr>
          <w:spacing w:val="-2"/>
        </w:rPr>
        <w:t>用友云赋能企业服务产业主要有三个着力点：首先，把云计算的计算、存储和网络这样一些</w:t>
      </w:r>
      <w:r>
        <w:rPr>
          <w:w w:val="100"/>
        </w:rPr>
        <w:t> </w:t>
      </w:r>
      <w:r>
        <w:rPr>
          <w:spacing w:val="-6"/>
          <w:w w:val="100"/>
        </w:rPr>
        <w:t>基础能力服务与解决企业具体业务和管理问题的应用服务、数据服务、业务服务等各种服务打通，</w:t>
      </w:r>
      <w:r>
        <w:rPr>
          <w:w w:val="100"/>
        </w:rPr>
        <w:t> </w:t>
      </w:r>
      <w:r>
        <w:rPr>
          <w:spacing w:val="-1"/>
        </w:rPr>
        <w:t>解决企业上云“最后一公里”的问题，让云计算服务在各行各业、千家万户的企业真正落地，让</w:t>
      </w:r>
      <w:r>
        <w:rPr>
          <w:spacing w:val="-56"/>
        </w:rPr>
        <w:t> </w:t>
      </w:r>
      <w:r>
        <w:rPr>
          <w:spacing w:val="-56"/>
        </w:rPr>
      </w:r>
      <w:r>
        <w:rPr>
          <w:spacing w:val="-1"/>
        </w:rPr>
        <w:t>基础云计算服务商修的“高速路”跑起“车”来，共同实现云服务的真正价值；第二，用友云是</w:t>
      </w:r>
      <w:r>
        <w:rPr>
          <w:spacing w:val="-55"/>
        </w:rPr>
        <w:t> </w:t>
      </w:r>
      <w:r>
        <w:rPr>
          <w:spacing w:val="-55"/>
        </w:rPr>
      </w:r>
      <w:r>
        <w:rPr>
          <w:spacing w:val="-1"/>
        </w:rPr>
        <w:t>一个开放的生态化平台，除了自身提供的服务，还要聚合大量在不同领域、细分行业以及各种形</w:t>
      </w:r>
      <w:r>
        <w:rPr>
          <w:spacing w:val="-55"/>
        </w:rPr>
        <w:t> </w:t>
      </w:r>
      <w:r>
        <w:rPr>
          <w:spacing w:val="-55"/>
        </w:rPr>
      </w:r>
      <w:r>
        <w:rPr>
          <w:spacing w:val="-1"/>
        </w:rPr>
        <w:t>态的企业云服务提供商的服务，目标是要成为中国企业服务的第一大生态，平台上的服务互相打</w:t>
      </w:r>
    </w:p>
    <w:p>
      <w:pPr>
        <w:spacing w:after="0" w:line="357" w:lineRule="auto"/>
        <w:jc w:val="both"/>
        <w:sectPr>
          <w:pgSz w:w="11910" w:h="16840"/>
          <w:pgMar w:header="855" w:footer="1195" w:top="1320" w:bottom="1380" w:left="1580" w:right="1120"/>
        </w:sectPr>
      </w:pPr>
    </w:p>
    <w:p>
      <w:pPr>
        <w:spacing w:line="240" w:lineRule="auto" w:before="4"/>
        <w:rPr>
          <w:rFonts w:ascii="宋体" w:hAnsi="宋体" w:cs="宋体" w:eastAsia="宋体" w:hint="default"/>
          <w:sz w:val="9"/>
          <w:szCs w:val="9"/>
        </w:rPr>
      </w:pPr>
    </w:p>
    <w:p>
      <w:pPr>
        <w:pStyle w:val="BodyText"/>
        <w:spacing w:line="357" w:lineRule="auto" w:before="36"/>
        <w:ind w:left="138" w:right="148"/>
        <w:jc w:val="both"/>
      </w:pPr>
      <w:r>
        <w:rPr>
          <w:spacing w:val="-1"/>
        </w:rPr>
        <w:t>通，以一站式服务方式共同服务企业客户，同时带动和促进生态伙伴的繁荣发展；第三，用友云</w:t>
      </w:r>
      <w:r>
        <w:rPr>
          <w:spacing w:val="-55"/>
        </w:rPr>
        <w:t> </w:t>
      </w:r>
      <w:r>
        <w:rPr>
          <w:spacing w:val="-55"/>
        </w:rPr>
      </w:r>
      <w:r>
        <w:rPr>
          <w:spacing w:val="-1"/>
        </w:rPr>
        <w:t>通过提供商业应用的公共能力和领域服务，如技术、通信、支付、电子发票、电子合同、表单、</w:t>
      </w:r>
      <w:r>
        <w:rPr>
          <w:spacing w:val="-55"/>
        </w:rPr>
        <w:t> </w:t>
      </w:r>
      <w:r>
        <w:rPr>
          <w:spacing w:val="-55"/>
        </w:rPr>
      </w:r>
      <w:r>
        <w:rPr>
          <w:spacing w:val="-1"/>
        </w:rPr>
        <w:t>审批和各行各业客户都会用到的财务、人力、办公等服务，让生态伙伴可以聚焦在其自己的核心</w:t>
      </w:r>
      <w:r>
        <w:rPr>
          <w:spacing w:val="-55"/>
        </w:rPr>
        <w:t> </w:t>
      </w:r>
      <w:r>
        <w:rPr>
          <w:spacing w:val="-55"/>
        </w:rPr>
      </w:r>
      <w:r>
        <w:rPr/>
        <w:t>领域或细分行业，在用友云平台上快速创新，从而推动企业服务产业的整体能力发展。</w:t>
      </w:r>
    </w:p>
    <w:p>
      <w:pPr>
        <w:spacing w:line="240" w:lineRule="auto" w:before="12"/>
        <w:rPr>
          <w:rFonts w:ascii="宋体" w:hAnsi="宋体" w:cs="宋体" w:eastAsia="宋体" w:hint="default"/>
          <w:sz w:val="4"/>
          <w:szCs w:val="4"/>
        </w:rPr>
      </w:pPr>
    </w:p>
    <w:p>
      <w:pPr>
        <w:spacing w:line="4969" w:lineRule="exact"/>
        <w:ind w:left="137" w:right="0" w:firstLine="0"/>
        <w:rPr>
          <w:rFonts w:ascii="宋体" w:hAnsi="宋体" w:cs="宋体" w:eastAsia="宋体" w:hint="default"/>
          <w:sz w:val="20"/>
          <w:szCs w:val="20"/>
        </w:rPr>
      </w:pPr>
      <w:r>
        <w:rPr>
          <w:rFonts w:ascii="宋体" w:hAnsi="宋体" w:cs="宋体" w:eastAsia="宋体" w:hint="default"/>
          <w:position w:val="-98"/>
          <w:sz w:val="20"/>
          <w:szCs w:val="20"/>
        </w:rPr>
        <w:drawing>
          <wp:inline distT="0" distB="0" distL="0" distR="0">
            <wp:extent cx="5537704" cy="3155823"/>
            <wp:effectExtent l="0" t="0" r="0" b="0"/>
            <wp:docPr id="33" name="image18.jpeg" descr=""/>
            <wp:cNvGraphicFramePr>
              <a:graphicFrameLocks noChangeAspect="1"/>
            </wp:cNvGraphicFramePr>
            <a:graphic>
              <a:graphicData uri="http://schemas.openxmlformats.org/drawingml/2006/picture">
                <pic:pic>
                  <pic:nvPicPr>
                    <pic:cNvPr id="34" name="image18.jpeg"/>
                    <pic:cNvPicPr/>
                  </pic:nvPicPr>
                  <pic:blipFill>
                    <a:blip r:embed="rId38" cstate="print"/>
                    <a:stretch>
                      <a:fillRect/>
                    </a:stretch>
                  </pic:blipFill>
                  <pic:spPr>
                    <a:xfrm>
                      <a:off x="0" y="0"/>
                      <a:ext cx="5537704" cy="3155823"/>
                    </a:xfrm>
                    <a:prstGeom prst="rect">
                      <a:avLst/>
                    </a:prstGeom>
                  </pic:spPr>
                </pic:pic>
              </a:graphicData>
            </a:graphic>
          </wp:inline>
        </w:drawing>
      </w:r>
      <w:r>
        <w:rPr>
          <w:rFonts w:ascii="宋体" w:hAnsi="宋体" w:cs="宋体" w:eastAsia="宋体" w:hint="default"/>
          <w:position w:val="-98"/>
          <w:sz w:val="20"/>
          <w:szCs w:val="20"/>
        </w:rPr>
      </w:r>
    </w:p>
    <w:p>
      <w:pPr>
        <w:spacing w:line="240" w:lineRule="auto" w:before="10"/>
        <w:rPr>
          <w:rFonts w:ascii="宋体" w:hAnsi="宋体" w:cs="宋体" w:eastAsia="宋体" w:hint="default"/>
          <w:sz w:val="19"/>
          <w:szCs w:val="19"/>
        </w:rPr>
      </w:pPr>
    </w:p>
    <w:p>
      <w:pPr>
        <w:pStyle w:val="Heading3"/>
        <w:spacing w:line="240" w:lineRule="auto"/>
        <w:ind w:left="138" w:right="0"/>
        <w:jc w:val="both"/>
        <w:rPr>
          <w:b w:val="0"/>
          <w:bCs w:val="0"/>
        </w:rPr>
      </w:pPr>
      <w:r>
        <w:rPr>
          <w:rFonts w:ascii="宋体" w:hAnsi="宋体" w:cs="宋体" w:eastAsia="宋体" w:hint="default"/>
        </w:rPr>
        <w:t>(</w:t>
      </w:r>
      <w:r>
        <w:rPr/>
        <w:t>三</w:t>
      </w:r>
      <w:r>
        <w:rPr>
          <w:rFonts w:ascii="宋体" w:hAnsi="宋体" w:cs="宋体" w:eastAsia="宋体" w:hint="default"/>
        </w:rPr>
        <w:t>)  </w:t>
      </w:r>
      <w:r>
        <w:rPr>
          <w:rFonts w:ascii="宋体" w:hAnsi="宋体" w:cs="宋体" w:eastAsia="宋体" w:hint="default"/>
          <w:spacing w:val="100"/>
        </w:rPr>
        <w:t> </w:t>
      </w:r>
      <w:r>
        <w:rPr/>
        <w:t>经营计划</w:t>
      </w:r>
      <w:r>
        <w:rPr>
          <w:b w:val="0"/>
          <w:bCs w:val="0"/>
        </w:rPr>
      </w:r>
    </w:p>
    <w:p>
      <w:pPr>
        <w:pStyle w:val="BodyText"/>
        <w:spacing w:line="273" w:lineRule="exact" w:before="58"/>
        <w:ind w:left="138" w:right="0"/>
        <w:jc w:val="both"/>
      </w:pPr>
      <w:r>
        <w:rPr/>
        <w:t>√适用</w:t>
      </w:r>
      <w:r>
        <w:rPr>
          <w:spacing w:val="104"/>
        </w:rPr>
        <w:t> </w:t>
      </w:r>
      <w:r>
        <w:rPr/>
        <w:t>□不适用</w:t>
      </w:r>
    </w:p>
    <w:p>
      <w:pPr>
        <w:pStyle w:val="BodyText"/>
        <w:spacing w:line="357" w:lineRule="auto"/>
        <w:ind w:left="138" w:right="148" w:firstLine="424"/>
        <w:jc w:val="both"/>
      </w:pPr>
      <w:r>
        <w:rPr>
          <w:rFonts w:ascii="宋体" w:hAnsi="宋体" w:cs="宋体" w:eastAsia="宋体" w:hint="default"/>
        </w:rPr>
        <w:t>2018</w:t>
      </w:r>
      <w:r>
        <w:rPr>
          <w:rFonts w:ascii="宋体" w:hAnsi="宋体" w:cs="宋体" w:eastAsia="宋体" w:hint="default"/>
          <w:spacing w:val="-39"/>
        </w:rPr>
        <w:t> </w:t>
      </w:r>
      <w:r>
        <w:rPr>
          <w:spacing w:val="-3"/>
        </w:rPr>
        <w:t>年，公司将继续坚定执行用友</w:t>
      </w:r>
      <w:r>
        <w:rPr>
          <w:spacing w:val="-35"/>
        </w:rPr>
        <w:t> </w:t>
      </w:r>
      <w:r>
        <w:rPr>
          <w:rFonts w:ascii="宋体" w:hAnsi="宋体" w:cs="宋体" w:eastAsia="宋体" w:hint="default"/>
        </w:rPr>
        <w:t>3.0</w:t>
      </w:r>
      <w:r>
        <w:rPr>
          <w:rFonts w:ascii="宋体" w:hAnsi="宋体" w:cs="宋体" w:eastAsia="宋体" w:hint="default"/>
          <w:spacing w:val="-37"/>
        </w:rPr>
        <w:t> </w:t>
      </w:r>
      <w:r>
        <w:rPr>
          <w:spacing w:val="-3"/>
        </w:rPr>
        <w:t>战略，加力加速用友云、金融服务规模化发展，保持</w:t>
      </w:r>
      <w:r>
        <w:rPr>
          <w:w w:val="100"/>
        </w:rPr>
        <w:t> </w:t>
      </w:r>
      <w:r>
        <w:rPr>
          <w:spacing w:val="-1"/>
        </w:rPr>
        <w:t>软件业务效益化增长，升级客户经营体系，战略加强并购、投资，发现、培养、引进年轻人才、</w:t>
      </w:r>
      <w:r>
        <w:rPr>
          <w:spacing w:val="-55"/>
        </w:rPr>
        <w:t> </w:t>
      </w:r>
      <w:r>
        <w:rPr>
          <w:spacing w:val="-55"/>
        </w:rPr>
      </w:r>
      <w:r>
        <w:rPr/>
        <w:t>尖端人才，革新制度，提高效率，抓住产业窗口期，成就世界级用友。</w:t>
      </w:r>
    </w:p>
    <w:p>
      <w:pPr>
        <w:pStyle w:val="BodyText"/>
        <w:spacing w:line="357" w:lineRule="auto" w:before="30"/>
        <w:ind w:left="138" w:right="148" w:firstLine="424"/>
        <w:jc w:val="both"/>
      </w:pPr>
      <w:r>
        <w:rPr>
          <w:spacing w:val="-7"/>
        </w:rPr>
        <w:t>云服务业务：公司将加力加速，突破产品和运营，规模化营销，提高市场份额，抢占窗口期。</w:t>
      </w:r>
      <w:r>
        <w:rPr>
          <w:w w:val="100"/>
        </w:rPr>
        <w:t> </w:t>
      </w:r>
      <w:r>
        <w:rPr>
          <w:spacing w:val="-1"/>
        </w:rPr>
        <w:t>加强产业研究和产品管理，瞄准关键市场，聚焦发展；按数字化商业和社会级计算思维，深入用</w:t>
      </w:r>
      <w:r>
        <w:rPr>
          <w:spacing w:val="-55"/>
        </w:rPr>
        <w:t> </w:t>
      </w:r>
      <w:r>
        <w:rPr>
          <w:spacing w:val="-55"/>
        </w:rPr>
      </w:r>
      <w:r>
        <w:rPr>
          <w:spacing w:val="-9"/>
        </w:rPr>
        <w:t>户，抓住痛点</w:t>
      </w:r>
      <w:r>
        <w:rPr>
          <w:rFonts w:ascii="宋体" w:hAnsi="宋体" w:cs="宋体" w:eastAsia="宋体" w:hint="default"/>
          <w:spacing w:val="-9"/>
        </w:rPr>
        <w:t>/</w:t>
      </w:r>
      <w:r>
        <w:rPr>
          <w:spacing w:val="-9"/>
        </w:rPr>
        <w:t>刚需，选准场景，突出数据，继续研发出高客户价值和体验的王牌产品（含平台），</w:t>
      </w:r>
      <w:r>
        <w:rPr>
          <w:spacing w:val="-22"/>
        </w:rPr>
        <w:t> </w:t>
      </w:r>
      <w:r>
        <w:rPr>
          <w:spacing w:val="-22"/>
        </w:rPr>
      </w:r>
      <w:r>
        <w:rPr/>
        <w:t>引领数字化商业创新，实现智慧企业；</w:t>
      </w:r>
      <w:r>
        <w:rPr>
          <w:rFonts w:ascii="宋体" w:hAnsi="宋体" w:cs="宋体" w:eastAsia="宋体" w:hint="default"/>
        </w:rPr>
        <w:t>PaaS</w:t>
      </w:r>
      <w:r>
        <w:rPr/>
        <w:t>、</w:t>
      </w:r>
      <w:r>
        <w:rPr>
          <w:rFonts w:ascii="宋体" w:hAnsi="宋体" w:cs="宋体" w:eastAsia="宋体" w:hint="default"/>
        </w:rPr>
        <w:t>SaaS</w:t>
      </w:r>
      <w:r>
        <w:rPr/>
        <w:t>、</w:t>
      </w:r>
      <w:r>
        <w:rPr>
          <w:rFonts w:ascii="宋体" w:hAnsi="宋体" w:cs="宋体" w:eastAsia="宋体" w:hint="default"/>
        </w:rPr>
        <w:t>BaaS</w:t>
      </w:r>
      <w:r>
        <w:rPr/>
        <w:t>、</w:t>
      </w:r>
      <w:r>
        <w:rPr>
          <w:rFonts w:ascii="宋体" w:hAnsi="宋体" w:cs="宋体" w:eastAsia="宋体" w:hint="default"/>
        </w:rPr>
        <w:t>DaaS</w:t>
      </w:r>
      <w:r>
        <w:rPr>
          <w:rFonts w:ascii="宋体" w:hAnsi="宋体" w:cs="宋体" w:eastAsia="宋体" w:hint="default"/>
          <w:spacing w:val="-32"/>
        </w:rPr>
        <w:t> </w:t>
      </w:r>
      <w:r>
        <w:rPr/>
        <w:t>并举，一些服务转按</w:t>
      </w:r>
      <w:r>
        <w:rPr>
          <w:spacing w:val="-32"/>
        </w:rPr>
        <w:t> </w:t>
      </w:r>
      <w:r>
        <w:rPr>
          <w:rFonts w:ascii="宋体" w:hAnsi="宋体" w:cs="宋体" w:eastAsia="宋体" w:hint="default"/>
        </w:rPr>
        <w:t>BaaS</w:t>
      </w:r>
      <w:r>
        <w:rPr>
          <w:rFonts w:ascii="宋体" w:hAnsi="宋体" w:cs="宋体" w:eastAsia="宋体" w:hint="default"/>
          <w:spacing w:val="-35"/>
        </w:rPr>
        <w:t> </w:t>
      </w:r>
      <w:r>
        <w:rPr>
          <w:spacing w:val="-3"/>
        </w:rPr>
        <w:t>模式</w:t>
      </w:r>
      <w:r>
        <w:rPr>
          <w:spacing w:val="-3"/>
          <w:w w:val="100"/>
        </w:rPr>
        <w:t> </w:t>
      </w:r>
      <w:r>
        <w:rPr>
          <w:spacing w:val="-1"/>
        </w:rPr>
        <w:t>运营；强化运营体系和能力，多种方式加强市场营销，显著提升用友云品牌影响力；完善云服务</w:t>
      </w:r>
      <w:r>
        <w:rPr>
          <w:spacing w:val="-55"/>
        </w:rPr>
        <w:t> </w:t>
      </w:r>
      <w:r>
        <w:rPr>
          <w:spacing w:val="-55"/>
        </w:rPr>
      </w:r>
      <w:r>
        <w:rPr/>
        <w:t>业务对应的支持体系。</w:t>
      </w:r>
    </w:p>
    <w:p>
      <w:pPr>
        <w:pStyle w:val="BodyText"/>
        <w:spacing w:line="357" w:lineRule="auto" w:before="30"/>
        <w:ind w:left="138" w:right="148" w:firstLine="424"/>
        <w:jc w:val="both"/>
      </w:pPr>
      <w:r>
        <w:rPr>
          <w:spacing w:val="-2"/>
        </w:rPr>
        <w:t>金融服务业务：公司将采用规模自营及与第三方金融机构广泛合作的模式稳健推进，加强场</w:t>
      </w:r>
      <w:r>
        <w:rPr>
          <w:w w:val="100"/>
        </w:rPr>
        <w:t> </w:t>
      </w:r>
      <w:r>
        <w:rPr>
          <w:spacing w:val="-1"/>
        </w:rPr>
        <w:t>景，深化融合，开展优势数据金融服务，实现利润化增长。公司将继续推进金融自营业务的申牌</w:t>
      </w:r>
      <w:r>
        <w:rPr>
          <w:spacing w:val="-55"/>
        </w:rPr>
        <w:t> </w:t>
      </w:r>
      <w:r>
        <w:rPr>
          <w:spacing w:val="-55"/>
        </w:rPr>
      </w:r>
      <w:r>
        <w:rPr>
          <w:spacing w:val="-3"/>
        </w:rPr>
        <w:t>工作，</w:t>
      </w:r>
      <w:r>
        <w:rPr>
          <w:rFonts w:ascii="宋体" w:hAnsi="宋体" w:cs="宋体" w:eastAsia="宋体" w:hint="default"/>
          <w:spacing w:val="-3"/>
        </w:rPr>
        <w:t>2018 </w:t>
      </w:r>
      <w:r>
        <w:rPr>
          <w:spacing w:val="-3"/>
        </w:rPr>
        <w:t>年基本完成申牌布局。在全面推进金融服务业务的同时，继续加强金融合规和风险管</w:t>
      </w:r>
      <w:r>
        <w:rPr>
          <w:spacing w:val="-72"/>
        </w:rPr>
        <w:t> </w:t>
      </w:r>
      <w:r>
        <w:rPr>
          <w:spacing w:val="-72"/>
        </w:rPr>
      </w:r>
      <w:r>
        <w:rPr/>
        <w:t>控。</w:t>
      </w:r>
    </w:p>
    <w:p>
      <w:pPr>
        <w:pStyle w:val="BodyText"/>
        <w:spacing w:line="357" w:lineRule="auto" w:before="30"/>
        <w:ind w:left="138" w:right="0" w:firstLine="424"/>
        <w:jc w:val="left"/>
      </w:pPr>
      <w:r>
        <w:rPr>
          <w:spacing w:val="-2"/>
        </w:rPr>
        <w:t>软件业务：在保证客户满意度的基础上，进一步提高软件业务利润率，实现效益化的稳定增</w:t>
      </w:r>
      <w:r>
        <w:rPr>
          <w:w w:val="100"/>
        </w:rPr>
        <w:t> </w:t>
      </w:r>
      <w:r>
        <w:rPr>
          <w:spacing w:val="-1"/>
        </w:rPr>
        <w:t>长。充分融合云服务和金融服务，拉动软件产品的销售。推进模式化、标准化、云化的客户交付</w:t>
      </w:r>
    </w:p>
    <w:p>
      <w:pPr>
        <w:spacing w:after="0" w:line="357" w:lineRule="auto"/>
        <w:jc w:val="left"/>
        <w:sectPr>
          <w:pgSz w:w="11910" w:h="16840"/>
          <w:pgMar w:header="855" w:footer="1195" w:top="1320" w:bottom="1380" w:left="1660" w:right="1120"/>
        </w:sectPr>
      </w:pPr>
    </w:p>
    <w:p>
      <w:pPr>
        <w:spacing w:line="240" w:lineRule="auto" w:before="4"/>
        <w:rPr>
          <w:rFonts w:ascii="宋体" w:hAnsi="宋体" w:cs="宋体" w:eastAsia="宋体" w:hint="default"/>
          <w:sz w:val="9"/>
          <w:szCs w:val="9"/>
        </w:rPr>
      </w:pPr>
    </w:p>
    <w:p>
      <w:pPr>
        <w:pStyle w:val="BodyText"/>
        <w:spacing w:line="357" w:lineRule="auto" w:before="36"/>
        <w:ind w:left="138" w:right="0"/>
        <w:jc w:val="left"/>
      </w:pPr>
      <w:r>
        <w:rPr>
          <w:spacing w:val="-1"/>
        </w:rPr>
        <w:t>及收费模式，继续加大力度做好老客户服务经营工作，提高签约质量及水平。实施和运维全面采</w:t>
      </w:r>
      <w:r>
        <w:rPr>
          <w:spacing w:val="-55"/>
        </w:rPr>
        <w:t> </w:t>
      </w:r>
      <w:r>
        <w:rPr>
          <w:spacing w:val="-55"/>
        </w:rPr>
      </w:r>
      <w:r>
        <w:rPr/>
        <w:t>用扁平化社交协同服务提供模式，推行“友空间”应用。</w:t>
      </w:r>
    </w:p>
    <w:p>
      <w:pPr>
        <w:pStyle w:val="BodyText"/>
        <w:spacing w:line="355" w:lineRule="auto" w:before="30"/>
        <w:ind w:left="138" w:right="148" w:firstLine="424"/>
        <w:jc w:val="both"/>
      </w:pPr>
      <w:r>
        <w:rPr>
          <w:spacing w:val="-2"/>
        </w:rPr>
        <w:t>改革人才发展机制，加速推进干部队伍和基层人才年轻化发展，激发已有人才的潜力、创造</w:t>
      </w:r>
      <w:r>
        <w:rPr>
          <w:w w:val="100"/>
        </w:rPr>
        <w:t> </w:t>
      </w:r>
      <w:r>
        <w:rPr>
          <w:spacing w:val="-1"/>
        </w:rPr>
        <w:t>力，并积极引进符合互联网企业经营要求的技术和运营人才，发现、培养、引进尖端领域或行业</w:t>
      </w:r>
      <w:r>
        <w:rPr>
          <w:spacing w:val="-55"/>
        </w:rPr>
        <w:t> </w:t>
      </w:r>
      <w:r>
        <w:rPr>
          <w:spacing w:val="-55"/>
        </w:rPr>
      </w:r>
      <w:r>
        <w:rPr/>
        <w:t>的专家，培养、引进尖端技术专家、科学家。</w:t>
      </w:r>
    </w:p>
    <w:p>
      <w:pPr>
        <w:pStyle w:val="BodyText"/>
        <w:spacing w:line="357" w:lineRule="auto" w:before="32"/>
        <w:ind w:left="138" w:right="148" w:firstLine="424"/>
        <w:jc w:val="both"/>
      </w:pPr>
      <w:r>
        <w:rPr>
          <w:spacing w:val="-2"/>
        </w:rPr>
        <w:t>改革业务运营与管理组织模式，推进制度革新，坚持高效率业务模式，升级客户经营体系，</w:t>
      </w:r>
      <w:r>
        <w:rPr>
          <w:spacing w:val="-3"/>
          <w:w w:val="100"/>
        </w:rPr>
        <w:t> </w:t>
      </w:r>
      <w:r>
        <w:rPr>
          <w:spacing w:val="-1"/>
        </w:rPr>
        <w:t>从客户经营向客户运营升级转型，建立基于客户成功的云服务、金融服务的客户运营体系，全面</w:t>
      </w:r>
      <w:r>
        <w:rPr>
          <w:spacing w:val="-55"/>
        </w:rPr>
        <w:t> </w:t>
      </w:r>
      <w:r>
        <w:rPr>
          <w:spacing w:val="-55"/>
        </w:rPr>
      </w:r>
      <w:r>
        <w:rPr/>
        <w:t>加快推进“数字化用友”的建设工作。</w:t>
      </w:r>
    </w:p>
    <w:p>
      <w:pPr>
        <w:pStyle w:val="BodyText"/>
        <w:spacing w:line="357" w:lineRule="auto" w:before="31"/>
        <w:ind w:left="138" w:right="148" w:firstLine="424"/>
        <w:jc w:val="both"/>
      </w:pPr>
      <w:r>
        <w:rPr>
          <w:spacing w:val="-2"/>
        </w:rPr>
        <w:t>为快速实现公司产业布局，促进公司核心业务快速发展与转型，公司将结合资本市场、投资</w:t>
      </w:r>
      <w:r>
        <w:rPr>
          <w:w w:val="100"/>
        </w:rPr>
        <w:t> </w:t>
      </w:r>
      <w:r>
        <w:rPr>
          <w:spacing w:val="-1"/>
        </w:rPr>
        <w:t>等金融力量，加强战略并购与投资，快速抢占企业服务产业版图。继续做好市值管理，促进公司</w:t>
      </w:r>
      <w:r>
        <w:rPr>
          <w:spacing w:val="-55"/>
        </w:rPr>
        <w:t> </w:t>
      </w:r>
      <w:r>
        <w:rPr>
          <w:spacing w:val="-55"/>
        </w:rPr>
      </w:r>
      <w:r>
        <w:rPr/>
        <w:t>战略产业发展。</w:t>
      </w:r>
    </w:p>
    <w:p>
      <w:pPr>
        <w:pStyle w:val="Heading3"/>
        <w:tabs>
          <w:tab w:pos="977" w:val="left" w:leader="none"/>
        </w:tabs>
        <w:spacing w:line="240" w:lineRule="auto" w:before="90"/>
        <w:ind w:left="138" w:right="0"/>
        <w:jc w:val="left"/>
        <w:rPr>
          <w:b w:val="0"/>
          <w:bCs w:val="0"/>
        </w:rPr>
      </w:pPr>
      <w:r>
        <w:rPr>
          <w:rFonts w:ascii="宋体" w:hAnsi="宋体" w:cs="宋体" w:eastAsia="宋体" w:hint="default"/>
          <w:spacing w:val="-1"/>
        </w:rPr>
        <w:t>(</w:t>
      </w:r>
      <w:r>
        <w:rPr>
          <w:spacing w:val="-1"/>
        </w:rPr>
        <w:t>四</w:t>
      </w:r>
      <w:r>
        <w:rPr>
          <w:rFonts w:ascii="宋体" w:hAnsi="宋体" w:cs="宋体" w:eastAsia="宋体" w:hint="default"/>
          <w:spacing w:val="-1"/>
        </w:rPr>
        <w:t>)</w:t>
        <w:tab/>
      </w:r>
      <w:r>
        <w:rPr/>
        <w:t>可能面对的风险</w:t>
      </w:r>
      <w:r>
        <w:rPr>
          <w:b w:val="0"/>
          <w:bCs w:val="0"/>
        </w:rPr>
      </w:r>
    </w:p>
    <w:p>
      <w:pPr>
        <w:tabs>
          <w:tab w:pos="980" w:val="left" w:leader="none"/>
        </w:tabs>
        <w:spacing w:before="56"/>
        <w:ind w:left="138" w:right="6768" w:firstLine="0"/>
        <w:jc w:val="left"/>
        <w:rPr>
          <w:rFonts w:ascii="宋体" w:hAnsi="宋体" w:cs="宋体" w:eastAsia="宋体" w:hint="default"/>
          <w:sz w:val="21"/>
          <w:szCs w:val="21"/>
        </w:rPr>
      </w:pPr>
      <w:r>
        <w:rPr>
          <w:rFonts w:ascii="宋体" w:hAnsi="宋体" w:cs="宋体" w:eastAsia="宋体" w:hint="default"/>
          <w:spacing w:val="-1"/>
          <w:sz w:val="21"/>
          <w:szCs w:val="21"/>
        </w:rPr>
        <w:t>√适用</w:t>
        <w:tab/>
      </w:r>
      <w:r>
        <w:rPr>
          <w:rFonts w:ascii="宋体" w:hAnsi="宋体" w:cs="宋体" w:eastAsia="宋体" w:hint="default"/>
          <w:spacing w:val="-2"/>
          <w:sz w:val="21"/>
          <w:szCs w:val="21"/>
        </w:rPr>
        <w:t>□不适用</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b/>
          <w:bCs/>
          <w:sz w:val="21"/>
          <w:szCs w:val="21"/>
        </w:rPr>
        <w:t>1</w:t>
      </w:r>
      <w:r>
        <w:rPr>
          <w:rFonts w:ascii="宋体" w:hAnsi="宋体" w:cs="宋体" w:eastAsia="宋体" w:hint="default"/>
          <w:b/>
          <w:bCs/>
          <w:sz w:val="21"/>
          <w:szCs w:val="21"/>
        </w:rPr>
        <w:t>、公司可能面对的风险</w:t>
      </w:r>
      <w:r>
        <w:rPr>
          <w:rFonts w:ascii="宋体" w:hAnsi="宋体" w:cs="宋体" w:eastAsia="宋体" w:hint="default"/>
          <w:sz w:val="21"/>
          <w:szCs w:val="21"/>
        </w:rPr>
      </w:r>
    </w:p>
    <w:p>
      <w:pPr>
        <w:pStyle w:val="BodyText"/>
        <w:spacing w:line="355" w:lineRule="auto" w:before="133"/>
        <w:ind w:left="562" w:right="0"/>
        <w:jc w:val="left"/>
      </w:pPr>
      <w:r>
        <w:rPr>
          <w:spacing w:val="-5"/>
        </w:rPr>
        <w:t>一是各路厂商（含大型互联网公司）进入企业互联网（</w:t>
      </w:r>
      <w:r>
        <w:rPr>
          <w:rFonts w:ascii="宋体" w:hAnsi="宋体" w:cs="宋体" w:eastAsia="宋体" w:hint="default"/>
          <w:spacing w:val="-5"/>
        </w:rPr>
        <w:t>To </w:t>
      </w:r>
      <w:r>
        <w:rPr>
          <w:rFonts w:ascii="宋体" w:hAnsi="宋体" w:cs="宋体" w:eastAsia="宋体" w:hint="default"/>
          <w:spacing w:val="-6"/>
        </w:rPr>
        <w:t>B</w:t>
      </w:r>
      <w:r>
        <w:rPr>
          <w:spacing w:val="-6"/>
        </w:rPr>
        <w:t>）市场，企业服务产业竞争加剧；</w:t>
      </w:r>
      <w:r>
        <w:rPr>
          <w:spacing w:val="-90"/>
        </w:rPr>
        <w:t> </w:t>
      </w:r>
      <w:r>
        <w:rPr>
          <w:spacing w:val="-90"/>
        </w:rPr>
      </w:r>
      <w:r>
        <w:rPr/>
        <w:t>二是互联网金融业务发展风险控制。</w:t>
      </w:r>
    </w:p>
    <w:p>
      <w:pPr>
        <w:pStyle w:val="Heading3"/>
        <w:spacing w:line="240" w:lineRule="auto" w:before="32"/>
        <w:ind w:left="138" w:right="0"/>
        <w:jc w:val="left"/>
        <w:rPr>
          <w:b w:val="0"/>
          <w:bCs w:val="0"/>
        </w:rPr>
      </w:pPr>
      <w:r>
        <w:rPr>
          <w:rFonts w:ascii="宋体" w:hAnsi="宋体" w:cs="宋体" w:eastAsia="宋体" w:hint="default"/>
        </w:rPr>
        <w:t>2</w:t>
      </w:r>
      <w:r>
        <w:rPr/>
        <w:t>、应对措施</w:t>
      </w:r>
      <w:r>
        <w:rPr>
          <w:b w:val="0"/>
          <w:bCs w:val="0"/>
        </w:rPr>
      </w:r>
    </w:p>
    <w:p>
      <w:pPr>
        <w:pStyle w:val="BodyText"/>
        <w:spacing w:line="355" w:lineRule="auto" w:before="136"/>
        <w:ind w:left="138" w:right="150" w:firstLine="424"/>
        <w:jc w:val="both"/>
      </w:pPr>
      <w:r>
        <w:rPr/>
        <w:t>一是公司将按照 </w:t>
      </w:r>
      <w:r>
        <w:rPr>
          <w:rFonts w:ascii="宋体" w:hAnsi="宋体" w:cs="宋体" w:eastAsia="宋体" w:hint="default"/>
        </w:rPr>
        <w:t>2018</w:t>
      </w:r>
      <w:r>
        <w:rPr>
          <w:rFonts w:ascii="宋体" w:hAnsi="宋体" w:cs="宋体" w:eastAsia="宋体" w:hint="default"/>
          <w:spacing w:val="-67"/>
        </w:rPr>
        <w:t> </w:t>
      </w:r>
      <w:r>
        <w:rPr>
          <w:spacing w:val="-5"/>
        </w:rPr>
        <w:t>年经营策略要求，全方位推进公司云服务、软件和金融服务业务，落实</w:t>
      </w:r>
      <w:r>
        <w:rPr>
          <w:w w:val="100"/>
        </w:rPr>
        <w:t> </w:t>
      </w:r>
      <w:r>
        <w:rPr/>
        <w:t>各项经营措施，确保云服务收入、云服务产品、云服务客户目标全面达成；</w:t>
      </w:r>
    </w:p>
    <w:p>
      <w:pPr>
        <w:pStyle w:val="BodyText"/>
        <w:spacing w:line="355" w:lineRule="auto" w:before="32"/>
        <w:ind w:left="138" w:right="148" w:firstLine="424"/>
        <w:jc w:val="right"/>
      </w:pPr>
      <w:r>
        <w:rPr>
          <w:w w:val="100"/>
        </w:rPr>
        <w:t>二是</w:t>
      </w:r>
      <w:r>
        <w:rPr>
          <w:spacing w:val="-61"/>
          <w:w w:val="100"/>
        </w:rPr>
        <w:t> </w:t>
      </w:r>
      <w:r>
        <w:rPr>
          <w:rFonts w:ascii="宋体" w:hAnsi="宋体" w:cs="宋体" w:eastAsia="宋体" w:hint="default"/>
          <w:w w:val="100"/>
        </w:rPr>
        <w:t>To</w:t>
      </w:r>
      <w:r>
        <w:rPr>
          <w:rFonts w:ascii="宋体" w:hAnsi="宋体" w:cs="宋体" w:eastAsia="宋体" w:hint="default"/>
          <w:spacing w:val="-47"/>
          <w:w w:val="100"/>
        </w:rPr>
        <w:t> </w:t>
      </w:r>
      <w:r>
        <w:rPr>
          <w:rFonts w:ascii="宋体" w:hAnsi="宋体" w:cs="宋体" w:eastAsia="宋体" w:hint="default"/>
          <w:w w:val="100"/>
        </w:rPr>
        <w:t>B</w:t>
      </w:r>
      <w:r>
        <w:rPr>
          <w:rFonts w:ascii="宋体" w:hAnsi="宋体" w:cs="宋体" w:eastAsia="宋体" w:hint="default"/>
          <w:spacing w:val="-63"/>
          <w:w w:val="100"/>
        </w:rPr>
        <w:t> </w:t>
      </w:r>
      <w:r>
        <w:rPr>
          <w:spacing w:val="-8"/>
          <w:w w:val="100"/>
        </w:rPr>
        <w:t>服务市场具有较高的行业壁垒，公司具有</w:t>
      </w:r>
      <w:r>
        <w:rPr>
          <w:spacing w:val="-59"/>
          <w:w w:val="100"/>
        </w:rPr>
        <w:t> </w:t>
      </w:r>
      <w:r>
        <w:rPr>
          <w:rFonts w:ascii="宋体" w:hAnsi="宋体" w:cs="宋体" w:eastAsia="宋体" w:hint="default"/>
          <w:spacing w:val="-2"/>
          <w:w w:val="100"/>
        </w:rPr>
        <w:t>30</w:t>
      </w:r>
      <w:r>
        <w:rPr>
          <w:rFonts w:ascii="宋体" w:hAnsi="宋体" w:cs="宋体" w:eastAsia="宋体" w:hint="default"/>
          <w:spacing w:val="-61"/>
          <w:w w:val="100"/>
        </w:rPr>
        <w:t> </w:t>
      </w:r>
      <w:r>
        <w:rPr>
          <w:spacing w:val="-2"/>
          <w:w w:val="100"/>
        </w:rPr>
        <w:t>年为客户提供应用和服务的经验能力，</w:t>
      </w:r>
      <w:r>
        <w:rPr>
          <w:w w:val="100"/>
        </w:rPr>
        <w:t> </w:t>
      </w:r>
      <w:r>
        <w:rPr>
          <w:spacing w:val="-7"/>
        </w:rPr>
        <w:t>以及知识资源、人才、技术及品牌等优势，公司将采取积极措施，充分发挥公司已有的竞争优势；</w:t>
      </w:r>
      <w:r>
        <w:rPr>
          <w:spacing w:val="-35"/>
        </w:rPr>
        <w:t> </w:t>
      </w:r>
      <w:r>
        <w:rPr>
          <w:spacing w:val="-35"/>
        </w:rPr>
      </w:r>
      <w:r>
        <w:rPr>
          <w:spacing w:val="-2"/>
        </w:rPr>
        <w:t>三是公司拥有众多优质老客户的基础，可以快速引流客户到云服务及金融服务应用，实现云</w:t>
      </w:r>
    </w:p>
    <w:p>
      <w:pPr>
        <w:pStyle w:val="BodyText"/>
        <w:spacing w:line="355" w:lineRule="auto" w:before="34"/>
        <w:ind w:left="562" w:right="0" w:hanging="425"/>
        <w:jc w:val="left"/>
      </w:pPr>
      <w:r>
        <w:rPr/>
        <w:t>业务的规模化发展；</w:t>
      </w:r>
      <w:r>
        <w:rPr>
          <w:w w:val="100"/>
        </w:rPr>
        <w:t> </w:t>
      </w:r>
      <w:r>
        <w:rPr>
          <w:spacing w:val="-2"/>
        </w:rPr>
        <w:t>四是公司将继续深化产品发展策略，从客户角度出发，提供高客户价值、高用户体验产品，</w:t>
      </w:r>
    </w:p>
    <w:p>
      <w:pPr>
        <w:pStyle w:val="BodyText"/>
        <w:spacing w:line="357" w:lineRule="auto" w:before="32"/>
        <w:ind w:left="562" w:right="144" w:hanging="425"/>
        <w:jc w:val="left"/>
      </w:pPr>
      <w:r>
        <w:rPr/>
        <w:t>加强生态融合，实现产品的易交付化，提高财务收益；</w:t>
      </w:r>
      <w:r>
        <w:rPr>
          <w:w w:val="100"/>
        </w:rPr>
        <w:t> </w:t>
      </w:r>
      <w:r>
        <w:rPr/>
        <w:t>五是公司将严格按照国家对金融业务的监管要求，完善自身业务，加强合规及风险管控；</w:t>
      </w:r>
      <w:r>
        <w:rPr>
          <w:w w:val="100"/>
        </w:rPr>
        <w:t> </w:t>
      </w:r>
      <w:r>
        <w:rPr>
          <w:spacing w:val="-3"/>
        </w:rPr>
        <w:t>六是公司将积极向国家金融监管机构申请金融牌照，</w:t>
      </w:r>
      <w:r>
        <w:rPr>
          <w:rFonts w:ascii="宋体" w:hAnsi="宋体" w:cs="宋体" w:eastAsia="宋体" w:hint="default"/>
          <w:spacing w:val="-3"/>
        </w:rPr>
        <w:t>2018</w:t>
      </w:r>
      <w:r>
        <w:rPr>
          <w:rFonts w:ascii="宋体" w:hAnsi="宋体" w:cs="宋体" w:eastAsia="宋体" w:hint="default"/>
          <w:spacing w:val="-24"/>
        </w:rPr>
        <w:t> </w:t>
      </w:r>
      <w:r>
        <w:rPr/>
        <w:t>年争取基本完成金融自营业务的牌</w:t>
      </w:r>
    </w:p>
    <w:p>
      <w:pPr>
        <w:pStyle w:val="BodyText"/>
        <w:spacing w:line="240" w:lineRule="auto" w:before="30"/>
        <w:ind w:left="138" w:right="0"/>
        <w:jc w:val="left"/>
      </w:pPr>
      <w:r>
        <w:rPr/>
        <w:t>照申请审批工作。</w:t>
      </w:r>
    </w:p>
    <w:p>
      <w:pPr>
        <w:spacing w:line="240" w:lineRule="auto" w:before="10"/>
        <w:rPr>
          <w:rFonts w:ascii="宋体" w:hAnsi="宋体" w:cs="宋体" w:eastAsia="宋体" w:hint="default"/>
          <w:sz w:val="14"/>
          <w:szCs w:val="14"/>
        </w:rPr>
      </w:pPr>
    </w:p>
    <w:p>
      <w:pPr>
        <w:pStyle w:val="Heading3"/>
        <w:tabs>
          <w:tab w:pos="977" w:val="left" w:leader="none"/>
        </w:tabs>
        <w:spacing w:line="240" w:lineRule="auto"/>
        <w:ind w:left="138" w:right="0"/>
        <w:jc w:val="left"/>
        <w:rPr>
          <w:b w:val="0"/>
          <w:bCs w:val="0"/>
        </w:rPr>
      </w:pPr>
      <w:r>
        <w:rPr>
          <w:rFonts w:ascii="宋体" w:hAnsi="宋体" w:cs="宋体" w:eastAsia="宋体" w:hint="default"/>
          <w:spacing w:val="-1"/>
        </w:rPr>
        <w:t>(</w:t>
      </w:r>
      <w:r>
        <w:rPr>
          <w:spacing w:val="-1"/>
        </w:rPr>
        <w:t>五</w:t>
      </w:r>
      <w:r>
        <w:rPr>
          <w:rFonts w:ascii="宋体" w:hAnsi="宋体" w:cs="宋体" w:eastAsia="宋体" w:hint="default"/>
          <w:spacing w:val="-1"/>
        </w:rPr>
        <w:t>)</w:t>
        <w:tab/>
      </w:r>
      <w:r>
        <w:rPr/>
        <w:t>其他</w:t>
      </w:r>
      <w:r>
        <w:rPr>
          <w:b w:val="0"/>
          <w:bCs w:val="0"/>
        </w:rPr>
      </w:r>
    </w:p>
    <w:p>
      <w:pPr>
        <w:pStyle w:val="BodyText"/>
        <w:tabs>
          <w:tab w:pos="980" w:val="left" w:leader="none"/>
        </w:tabs>
        <w:spacing w:line="240" w:lineRule="auto" w:before="56"/>
        <w:ind w:left="138" w:right="0"/>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left="138" w:right="0"/>
        <w:jc w:val="left"/>
        <w:rPr>
          <w:b w:val="0"/>
          <w:bCs w:val="0"/>
        </w:rPr>
      </w:pPr>
      <w:r>
        <w:rPr/>
        <w:t>四、公司因不适用准则规定或国家秘密、商业秘密等特殊原因，未按准则披露的情况和原因说明</w:t>
      </w:r>
      <w:r>
        <w:rPr>
          <w:b w:val="0"/>
          <w:bCs w:val="0"/>
        </w:rPr>
      </w:r>
    </w:p>
    <w:p>
      <w:pPr>
        <w:pStyle w:val="BodyText"/>
        <w:tabs>
          <w:tab w:pos="980" w:val="left" w:leader="none"/>
        </w:tabs>
        <w:spacing w:line="240" w:lineRule="auto" w:before="58"/>
        <w:ind w:left="138" w:right="0"/>
        <w:jc w:val="left"/>
      </w:pPr>
      <w:r>
        <w:rPr>
          <w:spacing w:val="-1"/>
        </w:rPr>
        <w:t>□适用</w:t>
        <w:tab/>
      </w:r>
      <w:r>
        <w:rPr>
          <w:spacing w:val="-2"/>
        </w:rPr>
        <w:t>√不适用</w:t>
      </w:r>
    </w:p>
    <w:p>
      <w:pPr>
        <w:spacing w:after="0" w:line="240" w:lineRule="auto"/>
        <w:jc w:val="left"/>
        <w:sectPr>
          <w:pgSz w:w="11910" w:h="16840"/>
          <w:pgMar w:header="855" w:footer="1195" w:top="1320" w:bottom="1380" w:left="1660" w:right="1120"/>
        </w:sectPr>
      </w:pPr>
    </w:p>
    <w:p>
      <w:pPr>
        <w:spacing w:line="240" w:lineRule="auto" w:before="12"/>
        <w:rPr>
          <w:rFonts w:ascii="宋体" w:hAnsi="宋体" w:cs="宋体" w:eastAsia="宋体" w:hint="default"/>
          <w:sz w:val="9"/>
          <w:szCs w:val="9"/>
        </w:rPr>
      </w:pPr>
    </w:p>
    <w:p>
      <w:pPr>
        <w:pStyle w:val="Heading1"/>
        <w:tabs>
          <w:tab w:pos="1322" w:val="left" w:leader="none"/>
        </w:tabs>
        <w:spacing w:line="240" w:lineRule="auto"/>
        <w:ind w:right="0"/>
        <w:jc w:val="center"/>
        <w:rPr>
          <w:b w:val="0"/>
          <w:bCs w:val="0"/>
        </w:rPr>
      </w:pPr>
      <w:bookmarkStart w:name="_TOC_250007" w:id="5"/>
      <w:r>
        <w:rPr>
          <w:w w:val="95"/>
        </w:rPr>
        <w:t>第五节</w:t>
        <w:tab/>
      </w:r>
      <w:r>
        <w:rPr/>
        <w:t>重要事项</w:t>
      </w:r>
      <w:bookmarkEnd w:id="5"/>
      <w:r>
        <w:rPr>
          <w:b w:val="0"/>
          <w:bCs w:val="0"/>
        </w:rPr>
      </w:r>
    </w:p>
    <w:p>
      <w:pPr>
        <w:spacing w:line="240" w:lineRule="auto" w:before="4"/>
        <w:rPr>
          <w:rFonts w:ascii="黑体" w:hAnsi="黑体" w:cs="黑体" w:eastAsia="黑体" w:hint="default"/>
          <w:b/>
          <w:bCs/>
          <w:sz w:val="19"/>
          <w:szCs w:val="19"/>
        </w:rPr>
      </w:pPr>
    </w:p>
    <w:p>
      <w:pPr>
        <w:pStyle w:val="Heading3"/>
        <w:spacing w:line="240" w:lineRule="auto"/>
        <w:ind w:right="147"/>
        <w:jc w:val="left"/>
        <w:rPr>
          <w:b w:val="0"/>
          <w:bCs w:val="0"/>
        </w:rPr>
      </w:pPr>
      <w:r>
        <w:rPr/>
        <w:t>一、普通股利润分配或资本公积金转增预案</w:t>
      </w:r>
      <w:r>
        <w:rPr>
          <w:b w:val="0"/>
          <w:bCs w:val="0"/>
        </w:rPr>
      </w:r>
    </w:p>
    <w:p>
      <w:pPr>
        <w:pStyle w:val="Heading3"/>
        <w:spacing w:line="240" w:lineRule="auto" w:before="58"/>
        <w:ind w:right="147"/>
        <w:jc w:val="left"/>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30"/>
        </w:rPr>
        <w:t> </w:t>
      </w:r>
      <w:r>
        <w:rPr/>
        <w:t>现金分红政策的制定、执行或调整情况</w:t>
      </w:r>
      <w:r>
        <w:rPr>
          <w:b w:val="0"/>
          <w:bCs w:val="0"/>
        </w:rPr>
      </w:r>
    </w:p>
    <w:p>
      <w:pPr>
        <w:pStyle w:val="BodyText"/>
        <w:tabs>
          <w:tab w:pos="1060" w:val="left" w:leader="none"/>
        </w:tabs>
        <w:spacing w:line="274" w:lineRule="exact" w:before="29"/>
        <w:ind w:right="147"/>
        <w:jc w:val="left"/>
      </w:pPr>
      <w:r>
        <w:rPr>
          <w:spacing w:val="-1"/>
        </w:rPr>
        <w:t>√适用</w:t>
        <w:tab/>
      </w:r>
      <w:r>
        <w:rPr>
          <w:spacing w:val="-2"/>
        </w:rPr>
        <w:t>□不适用</w:t>
      </w:r>
    </w:p>
    <w:p>
      <w:pPr>
        <w:pStyle w:val="BodyText"/>
        <w:spacing w:line="274" w:lineRule="exact"/>
        <w:ind w:right="147"/>
        <w:jc w:val="left"/>
      </w:pPr>
      <w:r>
        <w:rPr/>
        <w:t>公司</w:t>
      </w:r>
      <w:r>
        <w:rPr>
          <w:spacing w:val="-54"/>
        </w:rPr>
        <w:t> </w:t>
      </w:r>
      <w:r>
        <w:rPr>
          <w:rFonts w:ascii="宋体" w:hAnsi="宋体" w:cs="宋体" w:eastAsia="宋体" w:hint="default"/>
        </w:rPr>
        <w:t>2017</w:t>
      </w:r>
      <w:r>
        <w:rPr>
          <w:rFonts w:ascii="宋体" w:hAnsi="宋体" w:cs="宋体" w:eastAsia="宋体" w:hint="default"/>
          <w:spacing w:val="-56"/>
        </w:rPr>
        <w:t> </w:t>
      </w:r>
      <w:r>
        <w:rPr/>
        <w:t>年度利润分配预案</w:t>
      </w:r>
    </w:p>
    <w:p>
      <w:pPr>
        <w:spacing w:line="240" w:lineRule="auto" w:before="1"/>
        <w:rPr>
          <w:rFonts w:ascii="宋体" w:hAnsi="宋体" w:cs="宋体" w:eastAsia="宋体" w:hint="default"/>
          <w:sz w:val="16"/>
          <w:szCs w:val="16"/>
        </w:rPr>
      </w:pPr>
    </w:p>
    <w:p>
      <w:pPr>
        <w:pStyle w:val="BodyText"/>
        <w:spacing w:line="314" w:lineRule="auto"/>
        <w:ind w:right="147" w:firstLine="419"/>
        <w:jc w:val="both"/>
      </w:pPr>
      <w:r>
        <w:rPr>
          <w:spacing w:val="-5"/>
        </w:rPr>
        <w:t>经安永华明会计师事务所（特殊普通合伙）审计确认，</w:t>
      </w:r>
      <w:r>
        <w:rPr>
          <w:rFonts w:ascii="宋体" w:hAnsi="宋体" w:cs="宋体" w:eastAsia="宋体" w:hint="default"/>
          <w:spacing w:val="-5"/>
        </w:rPr>
        <w:t>2017</w:t>
      </w:r>
      <w:r>
        <w:rPr>
          <w:spacing w:val="-5"/>
        </w:rPr>
        <w:t>年度公司实现净利润</w:t>
      </w:r>
      <w:r>
        <w:rPr>
          <w:rFonts w:ascii="宋体" w:hAnsi="宋体" w:cs="宋体" w:eastAsia="宋体" w:hint="default"/>
          <w:spacing w:val="-5"/>
        </w:rPr>
        <w:t>329,392,</w:t>
      </w:r>
      <w:r>
        <w:rPr>
          <w:rFonts w:ascii="宋体" w:hAnsi="宋体" w:cs="宋体" w:eastAsia="宋体" w:hint="default"/>
          <w:spacing w:val="-3"/>
        </w:rPr>
        <w:t> </w:t>
      </w:r>
      <w:r>
        <w:rPr>
          <w:rFonts w:ascii="宋体" w:hAnsi="宋体" w:cs="宋体" w:eastAsia="宋体" w:hint="default"/>
        </w:rPr>
        <w:t>628</w:t>
      </w:r>
      <w:r>
        <w:rPr>
          <w:rFonts w:ascii="宋体" w:hAnsi="宋体" w:cs="宋体" w:eastAsia="宋体" w:hint="default"/>
          <w:w w:val="100"/>
        </w:rPr>
        <w:t> </w:t>
      </w:r>
      <w:r>
        <w:rPr>
          <w:spacing w:val="-2"/>
        </w:rPr>
        <w:t>元。公司以</w:t>
      </w:r>
      <w:r>
        <w:rPr>
          <w:rFonts w:ascii="宋体" w:hAnsi="宋体" w:cs="宋体" w:eastAsia="宋体" w:hint="default"/>
          <w:spacing w:val="-2"/>
        </w:rPr>
        <w:t>2017</w:t>
      </w:r>
      <w:r>
        <w:rPr>
          <w:spacing w:val="-2"/>
        </w:rPr>
        <w:t>年度净利润</w:t>
      </w:r>
      <w:r>
        <w:rPr>
          <w:rFonts w:ascii="宋体" w:hAnsi="宋体" w:cs="宋体" w:eastAsia="宋体" w:hint="default"/>
          <w:spacing w:val="-2"/>
        </w:rPr>
        <w:t>329,392,</w:t>
      </w:r>
      <w:r>
        <w:rPr>
          <w:rFonts w:ascii="宋体" w:hAnsi="宋体" w:cs="宋体" w:eastAsia="宋体" w:hint="default"/>
        </w:rPr>
        <w:t> </w:t>
      </w:r>
      <w:r>
        <w:rPr>
          <w:rFonts w:ascii="宋体" w:hAnsi="宋体" w:cs="宋体" w:eastAsia="宋体" w:hint="default"/>
          <w:spacing w:val="-2"/>
        </w:rPr>
        <w:t>628</w:t>
      </w:r>
      <w:r>
        <w:rPr>
          <w:spacing w:val="-2"/>
        </w:rPr>
        <w:t>元为基数，提取</w:t>
      </w:r>
      <w:r>
        <w:rPr>
          <w:rFonts w:ascii="宋体" w:hAnsi="宋体" w:cs="宋体" w:eastAsia="宋体" w:hint="default"/>
          <w:spacing w:val="-2"/>
        </w:rPr>
        <w:t>10%</w:t>
      </w:r>
      <w:r>
        <w:rPr>
          <w:spacing w:val="-2"/>
        </w:rPr>
        <w:t>的法定盈余公积金</w:t>
      </w:r>
      <w:r>
        <w:rPr>
          <w:rFonts w:ascii="宋体" w:hAnsi="宋体" w:cs="宋体" w:eastAsia="宋体" w:hint="default"/>
          <w:spacing w:val="-2"/>
        </w:rPr>
        <w:t>32,939,263</w:t>
      </w:r>
      <w:r>
        <w:rPr>
          <w:spacing w:val="-2"/>
        </w:rPr>
        <w:t>元，提</w:t>
      </w:r>
      <w:r>
        <w:rPr>
          <w:spacing w:val="-98"/>
        </w:rPr>
        <w:t> </w:t>
      </w:r>
      <w:r>
        <w:rPr>
          <w:spacing w:val="-98"/>
        </w:rPr>
      </w:r>
      <w:r>
        <w:rPr>
          <w:spacing w:val="-3"/>
        </w:rPr>
        <w:t>取</w:t>
      </w:r>
      <w:r>
        <w:rPr>
          <w:rFonts w:ascii="宋体" w:hAnsi="宋体" w:cs="宋体" w:eastAsia="宋体" w:hint="default"/>
          <w:spacing w:val="-3"/>
        </w:rPr>
        <w:t>5%</w:t>
      </w:r>
      <w:r>
        <w:rPr>
          <w:spacing w:val="-3"/>
        </w:rPr>
        <w:t>任意盈余公积金</w:t>
      </w:r>
      <w:r>
        <w:rPr>
          <w:rFonts w:ascii="宋体" w:hAnsi="宋体" w:cs="宋体" w:eastAsia="宋体" w:hint="default"/>
          <w:spacing w:val="-3"/>
        </w:rPr>
        <w:t>16,469,631</w:t>
      </w:r>
      <w:r>
        <w:rPr>
          <w:spacing w:val="-3"/>
        </w:rPr>
        <w:t>元，加往年累积的未分配利润</w:t>
      </w:r>
      <w:r>
        <w:rPr>
          <w:rFonts w:ascii="宋体" w:hAnsi="宋体" w:cs="宋体" w:eastAsia="宋体" w:hint="default"/>
          <w:spacing w:val="-3"/>
        </w:rPr>
        <w:t>975,569,312</w:t>
      </w:r>
      <w:r>
        <w:rPr>
          <w:spacing w:val="-3"/>
        </w:rPr>
        <w:t>元，本次实际可供分配</w:t>
      </w:r>
      <w:r>
        <w:rPr>
          <w:spacing w:val="-47"/>
        </w:rPr>
        <w:t> </w:t>
      </w:r>
      <w:r>
        <w:rPr>
          <w:spacing w:val="-47"/>
        </w:rPr>
      </w:r>
      <w:r>
        <w:rPr>
          <w:spacing w:val="6"/>
        </w:rPr>
        <w:t>的利润为</w:t>
      </w:r>
      <w:r>
        <w:rPr>
          <w:rFonts w:ascii="宋体" w:hAnsi="宋体" w:cs="宋体" w:eastAsia="宋体" w:hint="default"/>
          <w:spacing w:val="6"/>
        </w:rPr>
        <w:t>1,255,553,046</w:t>
      </w:r>
      <w:r>
        <w:rPr>
          <w:spacing w:val="6"/>
        </w:rPr>
        <w:t>元；公司以</w:t>
      </w:r>
      <w:r>
        <w:rPr>
          <w:rFonts w:ascii="宋体" w:hAnsi="宋体" w:cs="宋体" w:eastAsia="宋体" w:hint="default"/>
          <w:spacing w:val="6"/>
        </w:rPr>
        <w:t>2017</w:t>
      </w:r>
      <w:r>
        <w:rPr>
          <w:spacing w:val="6"/>
        </w:rPr>
        <w:t>年末总股本</w:t>
      </w:r>
      <w:r>
        <w:rPr>
          <w:rFonts w:ascii="宋体" w:hAnsi="宋体" w:cs="宋体" w:eastAsia="宋体" w:hint="default"/>
          <w:spacing w:val="6"/>
        </w:rPr>
        <w:t>1,464,217,811</w:t>
      </w:r>
      <w:r>
        <w:rPr>
          <w:spacing w:val="6"/>
        </w:rPr>
        <w:t>股扣除将注销的回购股份</w:t>
      </w:r>
      <w:r>
        <w:rPr>
          <w:spacing w:val="-18"/>
        </w:rPr>
        <w:t> </w:t>
      </w:r>
      <w:r>
        <w:rPr>
          <w:spacing w:val="-18"/>
        </w:rPr>
      </w:r>
      <w:r>
        <w:rPr>
          <w:rFonts w:ascii="宋体" w:hAnsi="宋体" w:cs="宋体" w:eastAsia="宋体" w:hint="default"/>
          <w:spacing w:val="-1"/>
        </w:rPr>
        <w:t>2,991,583</w:t>
      </w:r>
      <w:r>
        <w:rPr>
          <w:spacing w:val="-1"/>
        </w:rPr>
        <w:t>股后的</w:t>
      </w:r>
      <w:r>
        <w:rPr>
          <w:rFonts w:ascii="宋体" w:hAnsi="宋体" w:cs="宋体" w:eastAsia="宋体" w:hint="default"/>
          <w:spacing w:val="-1"/>
        </w:rPr>
        <w:t>1,461,226,228</w:t>
      </w:r>
      <w:r>
        <w:rPr>
          <w:spacing w:val="-1"/>
        </w:rPr>
        <w:t>股为基数</w:t>
      </w:r>
      <w:r>
        <w:rPr>
          <w:rFonts w:ascii="宋体" w:hAnsi="宋体" w:cs="宋体" w:eastAsia="宋体" w:hint="default"/>
          <w:spacing w:val="-1"/>
        </w:rPr>
        <w:t>,</w:t>
      </w:r>
      <w:r>
        <w:rPr>
          <w:spacing w:val="-1"/>
        </w:rPr>
        <w:t>拟向全体股东每</w:t>
      </w:r>
      <w:r>
        <w:rPr>
          <w:rFonts w:ascii="宋体" w:hAnsi="宋体" w:cs="宋体" w:eastAsia="宋体" w:hint="default"/>
          <w:spacing w:val="-1"/>
        </w:rPr>
        <w:t>10</w:t>
      </w:r>
      <w:r>
        <w:rPr>
          <w:spacing w:val="-1"/>
        </w:rPr>
        <w:t>股派发现金股利</w:t>
      </w:r>
      <w:r>
        <w:rPr>
          <w:rFonts w:ascii="宋体" w:hAnsi="宋体" w:cs="宋体" w:eastAsia="宋体" w:hint="default"/>
          <w:spacing w:val="-1"/>
        </w:rPr>
        <w:t>1.5</w:t>
      </w:r>
      <w:r>
        <w:rPr>
          <w:spacing w:val="-1"/>
        </w:rPr>
        <w:t>元</w:t>
      </w:r>
      <w:r>
        <w:rPr>
          <w:rFonts w:ascii="宋体" w:hAnsi="宋体" w:cs="宋体" w:eastAsia="宋体" w:hint="default"/>
          <w:spacing w:val="-1"/>
        </w:rPr>
        <w:t>(</w:t>
      </w:r>
      <w:r>
        <w:rPr>
          <w:spacing w:val="-1"/>
        </w:rPr>
        <w:t>含税</w:t>
      </w:r>
      <w:r>
        <w:rPr>
          <w:rFonts w:ascii="宋体" w:hAnsi="宋体" w:cs="宋体" w:eastAsia="宋体" w:hint="default"/>
          <w:spacing w:val="-1"/>
        </w:rPr>
        <w:t>)</w:t>
      </w:r>
      <w:r>
        <w:rPr>
          <w:spacing w:val="-1"/>
        </w:rPr>
        <w:t>，共计</w:t>
      </w:r>
      <w:r>
        <w:rPr>
          <w:spacing w:val="-47"/>
        </w:rPr>
        <w:t> </w:t>
      </w:r>
      <w:r>
        <w:rPr>
          <w:spacing w:val="-47"/>
        </w:rPr>
      </w:r>
      <w:r>
        <w:rPr/>
        <w:t>派发现金股利</w:t>
      </w:r>
      <w:r>
        <w:rPr>
          <w:rFonts w:ascii="宋体" w:hAnsi="宋体" w:cs="宋体" w:eastAsia="宋体" w:hint="default"/>
        </w:rPr>
        <w:t>219,183,934</w:t>
      </w:r>
      <w:r>
        <w:rPr/>
        <w:t>元，派发现金股利后，公司未分配利润余额为</w:t>
      </w:r>
      <w:r>
        <w:rPr>
          <w:rFonts w:ascii="宋体" w:hAnsi="宋体" w:cs="宋体" w:eastAsia="宋体" w:hint="default"/>
        </w:rPr>
        <w:t>1,036,369,112</w:t>
      </w:r>
      <w:r>
        <w:rPr/>
        <w:t>元。</w:t>
      </w:r>
    </w:p>
    <w:p>
      <w:pPr>
        <w:pStyle w:val="BodyText"/>
        <w:spacing w:line="314" w:lineRule="auto" w:before="20"/>
        <w:ind w:right="104" w:firstLine="419"/>
        <w:jc w:val="both"/>
      </w:pPr>
      <w:r>
        <w:rPr>
          <w:spacing w:val="28"/>
        </w:rPr>
        <w:t>公司以</w:t>
      </w:r>
      <w:r>
        <w:rPr>
          <w:spacing w:val="-61"/>
        </w:rPr>
        <w:t> </w:t>
      </w:r>
      <w:r>
        <w:rPr>
          <w:rFonts w:ascii="宋体" w:hAnsi="宋体" w:cs="宋体" w:eastAsia="宋体" w:hint="default"/>
        </w:rPr>
        <w:t>2017</w:t>
      </w:r>
      <w:r>
        <w:rPr>
          <w:rFonts w:ascii="宋体" w:hAnsi="宋体" w:cs="宋体" w:eastAsia="宋体" w:hint="default"/>
          <w:spacing w:val="-61"/>
        </w:rPr>
        <w:t> </w:t>
      </w:r>
      <w:r>
        <w:rPr/>
        <w:t>年</w:t>
      </w:r>
      <w:r>
        <w:rPr>
          <w:spacing w:val="-61"/>
        </w:rPr>
        <w:t> </w:t>
      </w:r>
      <w:r>
        <w:rPr/>
        <w:t>末</w:t>
      </w:r>
      <w:r>
        <w:rPr>
          <w:spacing w:val="-61"/>
        </w:rPr>
        <w:t> </w:t>
      </w:r>
      <w:r>
        <w:rPr/>
        <w:t>总</w:t>
      </w:r>
      <w:r>
        <w:rPr>
          <w:spacing w:val="-61"/>
        </w:rPr>
        <w:t> </w:t>
      </w:r>
      <w:r>
        <w:rPr/>
        <w:t>股</w:t>
      </w:r>
      <w:r>
        <w:rPr>
          <w:spacing w:val="-64"/>
        </w:rPr>
        <w:t> </w:t>
      </w:r>
      <w:r>
        <w:rPr/>
        <w:t>本</w:t>
      </w:r>
      <w:r>
        <w:rPr>
          <w:spacing w:val="-60"/>
        </w:rPr>
        <w:t> </w:t>
      </w:r>
      <w:r>
        <w:rPr>
          <w:rFonts w:ascii="宋体" w:hAnsi="宋体" w:cs="宋体" w:eastAsia="宋体" w:hint="default"/>
        </w:rPr>
        <w:t>1,464,217,811</w:t>
      </w:r>
      <w:r>
        <w:rPr>
          <w:rFonts w:ascii="宋体" w:hAnsi="宋体" w:cs="宋体" w:eastAsia="宋体" w:hint="default"/>
          <w:spacing w:val="-61"/>
        </w:rPr>
        <w:t> </w:t>
      </w:r>
      <w:r>
        <w:rPr/>
        <w:t>股</w:t>
      </w:r>
      <w:r>
        <w:rPr>
          <w:spacing w:val="-61"/>
        </w:rPr>
        <w:t> </w:t>
      </w:r>
      <w:r>
        <w:rPr/>
        <w:t>扣</w:t>
      </w:r>
      <w:r>
        <w:rPr>
          <w:spacing w:val="-61"/>
        </w:rPr>
        <w:t> </w:t>
      </w:r>
      <w:r>
        <w:rPr/>
        <w:t>除</w:t>
      </w:r>
      <w:r>
        <w:rPr>
          <w:spacing w:val="-64"/>
        </w:rPr>
        <w:t> </w:t>
      </w:r>
      <w:r>
        <w:rPr/>
        <w:t>将</w:t>
      </w:r>
      <w:r>
        <w:rPr>
          <w:spacing w:val="-61"/>
        </w:rPr>
        <w:t> </w:t>
      </w:r>
      <w:r>
        <w:rPr/>
        <w:t>注</w:t>
      </w:r>
      <w:r>
        <w:rPr>
          <w:spacing w:val="-61"/>
        </w:rPr>
        <w:t> </w:t>
      </w:r>
      <w:r>
        <w:rPr/>
        <w:t>销</w:t>
      </w:r>
      <w:r>
        <w:rPr>
          <w:spacing w:val="-61"/>
        </w:rPr>
        <w:t> </w:t>
      </w:r>
      <w:r>
        <w:rPr/>
        <w:t>的</w:t>
      </w:r>
      <w:r>
        <w:rPr>
          <w:spacing w:val="-61"/>
        </w:rPr>
        <w:t> </w:t>
      </w:r>
      <w:r>
        <w:rPr/>
        <w:t>回</w:t>
      </w:r>
      <w:r>
        <w:rPr>
          <w:spacing w:val="-61"/>
        </w:rPr>
        <w:t> </w:t>
      </w:r>
      <w:r>
        <w:rPr/>
        <w:t>购</w:t>
      </w:r>
      <w:r>
        <w:rPr>
          <w:spacing w:val="-61"/>
        </w:rPr>
        <w:t> </w:t>
      </w:r>
      <w:r>
        <w:rPr/>
        <w:t>股</w:t>
      </w:r>
      <w:r>
        <w:rPr>
          <w:spacing w:val="-61"/>
        </w:rPr>
        <w:t> </w:t>
      </w:r>
      <w:r>
        <w:rPr/>
        <w:t>份</w:t>
      </w:r>
      <w:r>
        <w:rPr>
          <w:spacing w:val="-59"/>
        </w:rPr>
        <w:t> </w:t>
      </w:r>
      <w:r>
        <w:rPr>
          <w:rFonts w:ascii="宋体" w:hAnsi="宋体" w:cs="宋体" w:eastAsia="宋体" w:hint="default"/>
        </w:rPr>
        <w:t>2,991,583</w:t>
      </w:r>
      <w:r>
        <w:rPr>
          <w:rFonts w:ascii="宋体" w:hAnsi="宋体" w:cs="宋体" w:eastAsia="宋体" w:hint="default"/>
          <w:spacing w:val="-61"/>
        </w:rPr>
        <w:t> </w:t>
      </w:r>
      <w:r>
        <w:rPr>
          <w:spacing w:val="28"/>
        </w:rPr>
        <w:t>股后的</w:t>
      </w:r>
      <w:r>
        <w:rPr>
          <w:spacing w:val="-62"/>
        </w:rPr>
        <w:t> </w:t>
      </w:r>
      <w:r>
        <w:rPr>
          <w:rFonts w:ascii="宋体" w:hAnsi="宋体" w:cs="宋体" w:eastAsia="宋体" w:hint="default"/>
          <w:spacing w:val="-3"/>
        </w:rPr>
        <w:t>1,461,226,228</w:t>
      </w:r>
      <w:r>
        <w:rPr>
          <w:spacing w:val="-3"/>
        </w:rPr>
        <w:t>股为基数，拟向全体股东每</w:t>
      </w:r>
      <w:r>
        <w:rPr>
          <w:rFonts w:ascii="宋体" w:hAnsi="宋体" w:cs="宋体" w:eastAsia="宋体" w:hint="default"/>
          <w:spacing w:val="-3"/>
        </w:rPr>
        <w:t>10</w:t>
      </w:r>
      <w:r>
        <w:rPr>
          <w:spacing w:val="-3"/>
        </w:rPr>
        <w:t>股转增</w:t>
      </w:r>
      <w:r>
        <w:rPr>
          <w:rFonts w:ascii="宋体" w:hAnsi="宋体" w:cs="宋体" w:eastAsia="宋体" w:hint="default"/>
          <w:spacing w:val="-3"/>
        </w:rPr>
        <w:t>3</w:t>
      </w:r>
      <w:r>
        <w:rPr>
          <w:spacing w:val="-3"/>
        </w:rPr>
        <w:t>股，共计转增 </w:t>
      </w:r>
      <w:r>
        <w:rPr>
          <w:rFonts w:ascii="宋体" w:hAnsi="宋体" w:cs="宋体" w:eastAsia="宋体" w:hint="default"/>
        </w:rPr>
        <w:t>438,367,868</w:t>
      </w:r>
      <w:r>
        <w:rPr>
          <w:rFonts w:ascii="宋体" w:hAnsi="宋体" w:cs="宋体" w:eastAsia="宋体" w:hint="default"/>
          <w:spacing w:val="54"/>
        </w:rPr>
        <w:t> </w:t>
      </w:r>
      <w:r>
        <w:rPr>
          <w:spacing w:val="-6"/>
        </w:rPr>
        <w:t>股，转增股本后</w:t>
      </w:r>
    </w:p>
    <w:p>
      <w:pPr>
        <w:pStyle w:val="BodyText"/>
        <w:spacing w:line="314" w:lineRule="auto" w:before="20"/>
        <w:ind w:left="638" w:right="147" w:hanging="420"/>
        <w:jc w:val="left"/>
      </w:pPr>
      <w:r>
        <w:rPr/>
        <w:t>，公司总股本</w:t>
      </w:r>
      <w:r>
        <w:rPr>
          <w:rFonts w:ascii="宋体" w:hAnsi="宋体" w:cs="宋体" w:eastAsia="宋体" w:hint="default"/>
        </w:rPr>
        <w:t>1,899,594,096 </w:t>
      </w:r>
      <w:r>
        <w:rPr/>
        <w:t>股，资本公积余额 </w:t>
      </w:r>
      <w:r>
        <w:rPr>
          <w:rFonts w:ascii="宋体" w:hAnsi="宋体" w:cs="宋体" w:eastAsia="宋体" w:hint="default"/>
        </w:rPr>
        <w:t>1,249,914,539</w:t>
      </w:r>
      <w:r>
        <w:rPr>
          <w:rFonts w:ascii="宋体" w:hAnsi="宋体" w:cs="宋体" w:eastAsia="宋体" w:hint="default"/>
          <w:spacing w:val="-3"/>
        </w:rPr>
        <w:t> </w:t>
      </w:r>
      <w:r>
        <w:rPr>
          <w:spacing w:val="-3"/>
        </w:rPr>
        <w:t>元。</w:t>
      </w:r>
      <w:r>
        <w:rPr>
          <w:spacing w:val="-3"/>
          <w:w w:val="100"/>
        </w:rPr>
        <w:t> </w:t>
      </w:r>
      <w:r>
        <w:rPr>
          <w:spacing w:val="-4"/>
        </w:rPr>
        <w:t>公司将在本次年度股东大会后注销上述回购的</w:t>
      </w:r>
      <w:r>
        <w:rPr>
          <w:rFonts w:ascii="宋体" w:hAnsi="宋体" w:cs="宋体" w:eastAsia="宋体" w:hint="default"/>
          <w:spacing w:val="-4"/>
        </w:rPr>
        <w:t>2,991,583</w:t>
      </w:r>
      <w:r>
        <w:rPr>
          <w:spacing w:val="-4"/>
        </w:rPr>
        <w:t>股，待注销后，再实施上述利润分配</w:t>
      </w:r>
    </w:p>
    <w:p>
      <w:pPr>
        <w:pStyle w:val="BodyText"/>
        <w:spacing w:line="240" w:lineRule="auto" w:before="20"/>
        <w:ind w:right="147"/>
        <w:jc w:val="left"/>
      </w:pPr>
      <w:r>
        <w:rPr/>
        <w:t>预案和资本公积金转增股本预案。</w:t>
      </w:r>
    </w:p>
    <w:p>
      <w:pPr>
        <w:spacing w:line="240" w:lineRule="auto" w:before="12"/>
        <w:rPr>
          <w:rFonts w:ascii="宋体" w:hAnsi="宋体" w:cs="宋体" w:eastAsia="宋体" w:hint="default"/>
          <w:sz w:val="25"/>
          <w:szCs w:val="25"/>
        </w:rPr>
      </w:pPr>
    </w:p>
    <w:p>
      <w:pPr>
        <w:pStyle w:val="Heading3"/>
        <w:spacing w:line="240" w:lineRule="auto"/>
        <w:ind w:right="147"/>
        <w:jc w:val="left"/>
        <w:rPr>
          <w:b w:val="0"/>
          <w:bCs w:val="0"/>
        </w:rPr>
      </w:pPr>
      <w:r>
        <w:rPr>
          <w:rFonts w:ascii="Calibri" w:hAnsi="Calibri" w:cs="Calibri" w:eastAsia="Calibri" w:hint="default"/>
        </w:rPr>
        <w:t>(</w:t>
      </w:r>
      <w:r>
        <w:rPr/>
        <w:t>二</w:t>
      </w:r>
      <w:r>
        <w:rPr>
          <w:rFonts w:ascii="Calibri" w:hAnsi="Calibri" w:cs="Calibri" w:eastAsia="Calibri" w:hint="default"/>
        </w:rPr>
        <w:t>)</w:t>
      </w:r>
      <w:r>
        <w:rPr>
          <w:rFonts w:ascii="Calibri" w:hAnsi="Calibri" w:cs="Calibri" w:eastAsia="Calibri" w:hint="default"/>
          <w:spacing w:val="26"/>
        </w:rPr>
        <w:t> </w:t>
      </w:r>
      <w:r>
        <w:rPr/>
        <w:t>公司近三年（含报告期）的普通股股利分配方案或预案、资本公积金转增股本方案或预案</w:t>
      </w:r>
      <w:r>
        <w:rPr>
          <w:b w:val="0"/>
          <w:bCs w:val="0"/>
        </w:rPr>
      </w:r>
    </w:p>
    <w:p>
      <w:pPr>
        <w:pStyle w:val="BodyText"/>
        <w:tabs>
          <w:tab w:pos="1051" w:val="left" w:leader="none"/>
        </w:tabs>
        <w:spacing w:line="240" w:lineRule="auto" w:before="32"/>
        <w:ind w:left="0" w:right="150"/>
        <w:jc w:val="right"/>
      </w:pPr>
      <w:r>
        <w:rPr>
          <w:spacing w:val="-1"/>
        </w:rPr>
        <w:t>单位：元</w:t>
        <w:tab/>
      </w:r>
      <w:r>
        <w:rPr>
          <w:spacing w:val="-2"/>
        </w:rPr>
        <w:t>币种：人民币</w:t>
      </w: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970"/>
        <w:gridCol w:w="1169"/>
        <w:gridCol w:w="1145"/>
        <w:gridCol w:w="965"/>
        <w:gridCol w:w="1580"/>
        <w:gridCol w:w="1541"/>
        <w:gridCol w:w="1454"/>
      </w:tblGrid>
      <w:tr>
        <w:trPr>
          <w:trHeight w:val="1644" w:hRule="exact"/>
        </w:trPr>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72" w:lineRule="exact"/>
              <w:ind w:left="268" w:right="266"/>
              <w:jc w:val="left"/>
              <w:rPr>
                <w:rFonts w:ascii="宋体" w:hAnsi="宋体" w:cs="宋体" w:eastAsia="宋体" w:hint="default"/>
                <w:sz w:val="21"/>
                <w:szCs w:val="21"/>
              </w:rPr>
            </w:pPr>
            <w:r>
              <w:rPr>
                <w:rFonts w:ascii="宋体" w:hAnsi="宋体" w:cs="宋体" w:eastAsia="宋体" w:hint="default"/>
                <w:sz w:val="21"/>
                <w:szCs w:val="21"/>
              </w:rPr>
              <w:t>分红</w:t>
            </w:r>
            <w:r>
              <w:rPr>
                <w:rFonts w:ascii="宋体" w:hAnsi="宋体" w:cs="宋体" w:eastAsia="宋体" w:hint="default"/>
                <w:spacing w:val="-103"/>
                <w:sz w:val="21"/>
                <w:szCs w:val="21"/>
              </w:rPr>
              <w:t> </w:t>
            </w:r>
            <w:r>
              <w:rPr>
                <w:rFonts w:ascii="宋体" w:hAnsi="宋体" w:cs="宋体" w:eastAsia="宋体" w:hint="default"/>
                <w:sz w:val="21"/>
                <w:szCs w:val="21"/>
              </w:rPr>
              <w:t>年度</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2"/>
              <w:ind w:left="105" w:right="104"/>
              <w:jc w:val="center"/>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1"/>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股送</w:t>
            </w:r>
            <w:r>
              <w:rPr>
                <w:rFonts w:ascii="宋体" w:hAnsi="宋体" w:cs="宋体" w:eastAsia="宋体" w:hint="default"/>
                <w:w w:val="100"/>
                <w:sz w:val="21"/>
                <w:szCs w:val="21"/>
              </w:rPr>
              <w:t> </w:t>
            </w:r>
            <w:r>
              <w:rPr>
                <w:rFonts w:ascii="宋体" w:hAnsi="宋体" w:cs="宋体" w:eastAsia="宋体" w:hint="default"/>
                <w:sz w:val="21"/>
                <w:szCs w:val="21"/>
              </w:rPr>
              <w:t>红股数</w:t>
            </w:r>
          </w:p>
          <w:p>
            <w:pPr>
              <w:pStyle w:val="TableParagraph"/>
              <w:spacing w:line="249" w:lineRule="exact"/>
              <w:ind w:left="1" w:right="0"/>
              <w:jc w:val="center"/>
              <w:rPr>
                <w:rFonts w:ascii="宋体" w:hAnsi="宋体" w:cs="宋体" w:eastAsia="宋体" w:hint="default"/>
                <w:sz w:val="21"/>
                <w:szCs w:val="21"/>
              </w:rPr>
            </w:pPr>
            <w:r>
              <w:rPr>
                <w:rFonts w:ascii="宋体" w:hAnsi="宋体" w:cs="宋体" w:eastAsia="宋体" w:hint="default"/>
                <w:sz w:val="21"/>
                <w:szCs w:val="21"/>
              </w:rPr>
              <w:t>（股）</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2"/>
              <w:ind w:left="146" w:right="101" w:hanging="44"/>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60"/>
                <w:sz w:val="21"/>
                <w:szCs w:val="21"/>
              </w:rPr>
              <w:t> </w:t>
            </w:r>
            <w:r>
              <w:rPr>
                <w:rFonts w:ascii="宋体" w:hAnsi="宋体" w:cs="宋体" w:eastAsia="宋体" w:hint="default"/>
                <w:sz w:val="21"/>
                <w:szCs w:val="21"/>
              </w:rPr>
              <w:t>10</w:t>
            </w:r>
            <w:r>
              <w:rPr>
                <w:rFonts w:ascii="宋体" w:hAnsi="宋体" w:cs="宋体" w:eastAsia="宋体" w:hint="default"/>
                <w:spacing w:val="-60"/>
                <w:sz w:val="21"/>
                <w:szCs w:val="21"/>
              </w:rPr>
              <w:t> </w:t>
            </w:r>
            <w:r>
              <w:rPr>
                <w:rFonts w:ascii="宋体" w:hAnsi="宋体" w:cs="宋体" w:eastAsia="宋体" w:hint="default"/>
                <w:spacing w:val="-3"/>
                <w:sz w:val="21"/>
                <w:szCs w:val="21"/>
              </w:rPr>
              <w:t>股派</w:t>
            </w:r>
            <w:r>
              <w:rPr>
                <w:rFonts w:ascii="宋体" w:hAnsi="宋体" w:cs="宋体" w:eastAsia="宋体" w:hint="default"/>
                <w:spacing w:val="-3"/>
                <w:w w:val="100"/>
                <w:sz w:val="21"/>
                <w:szCs w:val="21"/>
              </w:rPr>
              <w:t> </w:t>
            </w:r>
            <w:r>
              <w:rPr>
                <w:rFonts w:ascii="宋体" w:hAnsi="宋体" w:cs="宋体" w:eastAsia="宋体" w:hint="default"/>
                <w:sz w:val="21"/>
                <w:szCs w:val="21"/>
              </w:rPr>
              <w:t>息数</w:t>
            </w:r>
            <w:r>
              <w:rPr>
                <w:rFonts w:ascii="宋体" w:hAnsi="宋体" w:cs="宋体" w:eastAsia="宋体" w:hint="default"/>
                <w:sz w:val="21"/>
                <w:szCs w:val="21"/>
              </w:rPr>
              <w:t>(</w:t>
            </w:r>
            <w:r>
              <w:rPr>
                <w:rFonts w:ascii="宋体" w:hAnsi="宋体" w:cs="宋体" w:eastAsia="宋体" w:hint="default"/>
                <w:sz w:val="21"/>
                <w:szCs w:val="21"/>
              </w:rPr>
              <w:t>元</w:t>
            </w:r>
            <w:r>
              <w:rPr>
                <w:rFonts w:ascii="宋体" w:hAnsi="宋体" w:cs="宋体" w:eastAsia="宋体" w:hint="default"/>
                <w:sz w:val="21"/>
                <w:szCs w:val="21"/>
              </w:rPr>
              <w:t>)</w:t>
            </w:r>
          </w:p>
          <w:p>
            <w:pPr>
              <w:pStyle w:val="TableParagraph"/>
              <w:spacing w:line="249" w:lineRule="exact"/>
              <w:ind w:left="146" w:right="0"/>
              <w:jc w:val="left"/>
              <w:rPr>
                <w:rFonts w:ascii="宋体" w:hAnsi="宋体" w:cs="宋体" w:eastAsia="宋体" w:hint="default"/>
                <w:sz w:val="21"/>
                <w:szCs w:val="21"/>
              </w:rPr>
            </w:pPr>
            <w:r>
              <w:rPr>
                <w:rFonts w:ascii="宋体" w:hAnsi="宋体" w:cs="宋体" w:eastAsia="宋体" w:hint="default"/>
                <w:sz w:val="21"/>
                <w:szCs w:val="21"/>
              </w:rPr>
              <w:t>（含税）</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2"/>
              <w:ind w:left="160" w:right="107" w:hanging="51"/>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2"/>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股</w:t>
            </w:r>
            <w:r>
              <w:rPr>
                <w:rFonts w:ascii="宋体" w:hAnsi="宋体" w:cs="宋体" w:eastAsia="宋体" w:hint="default"/>
                <w:w w:val="100"/>
                <w:sz w:val="21"/>
                <w:szCs w:val="21"/>
              </w:rPr>
              <w:t> </w:t>
            </w:r>
            <w:r>
              <w:rPr>
                <w:rFonts w:ascii="宋体" w:hAnsi="宋体" w:cs="宋体" w:eastAsia="宋体" w:hint="default"/>
                <w:sz w:val="21"/>
                <w:szCs w:val="21"/>
              </w:rPr>
              <w:t>转增数</w:t>
            </w:r>
          </w:p>
          <w:p>
            <w:pPr>
              <w:pStyle w:val="TableParagraph"/>
              <w:spacing w:line="249" w:lineRule="exact"/>
              <w:ind w:left="160" w:right="0"/>
              <w:jc w:val="left"/>
              <w:rPr>
                <w:rFonts w:ascii="宋体" w:hAnsi="宋体" w:cs="宋体" w:eastAsia="宋体" w:hint="default"/>
                <w:sz w:val="21"/>
                <w:szCs w:val="21"/>
              </w:rPr>
            </w:pPr>
            <w:r>
              <w:rPr>
                <w:rFonts w:ascii="宋体" w:hAnsi="宋体" w:cs="宋体" w:eastAsia="宋体" w:hint="default"/>
                <w:sz w:val="21"/>
                <w:szCs w:val="21"/>
              </w:rPr>
              <w:t>（股）</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2"/>
              <w:ind w:left="153" w:right="151"/>
              <w:jc w:val="center"/>
              <w:rPr>
                <w:rFonts w:ascii="宋体" w:hAnsi="宋体" w:cs="宋体" w:eastAsia="宋体" w:hint="default"/>
                <w:sz w:val="21"/>
                <w:szCs w:val="21"/>
              </w:rPr>
            </w:pPr>
            <w:r>
              <w:rPr>
                <w:rFonts w:ascii="宋体" w:hAnsi="宋体" w:cs="宋体" w:eastAsia="宋体" w:hint="default"/>
                <w:spacing w:val="-1"/>
                <w:sz w:val="21"/>
                <w:szCs w:val="21"/>
              </w:rPr>
              <w:t>现金分红的数</w:t>
            </w:r>
            <w:r>
              <w:rPr>
                <w:rFonts w:ascii="宋体" w:hAnsi="宋体" w:cs="宋体" w:eastAsia="宋体" w:hint="default"/>
                <w:w w:val="100"/>
                <w:sz w:val="21"/>
                <w:szCs w:val="21"/>
              </w:rPr>
              <w:t> </w:t>
            </w:r>
            <w:r>
              <w:rPr>
                <w:rFonts w:ascii="宋体" w:hAnsi="宋体" w:cs="宋体" w:eastAsia="宋体" w:hint="default"/>
                <w:sz w:val="21"/>
                <w:szCs w:val="21"/>
              </w:rPr>
              <w:t>额</w:t>
            </w:r>
          </w:p>
          <w:p>
            <w:pPr>
              <w:pStyle w:val="TableParagraph"/>
              <w:spacing w:line="249" w:lineRule="exact"/>
              <w:ind w:left="2" w:right="0"/>
              <w:jc w:val="center"/>
              <w:rPr>
                <w:rFonts w:ascii="宋体" w:hAnsi="宋体" w:cs="宋体" w:eastAsia="宋体" w:hint="default"/>
                <w:sz w:val="21"/>
                <w:szCs w:val="21"/>
              </w:rPr>
            </w:pPr>
            <w:r>
              <w:rPr>
                <w:rFonts w:ascii="宋体" w:hAnsi="宋体" w:cs="宋体" w:eastAsia="宋体" w:hint="default"/>
                <w:sz w:val="21"/>
                <w:szCs w:val="21"/>
              </w:rPr>
              <w:t>（含税）</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05"/>
              <w:ind w:left="134" w:right="132"/>
              <w:jc w:val="center"/>
              <w:rPr>
                <w:rFonts w:ascii="宋体" w:hAnsi="宋体" w:cs="宋体" w:eastAsia="宋体" w:hint="default"/>
                <w:sz w:val="21"/>
                <w:szCs w:val="21"/>
              </w:rPr>
            </w:pPr>
            <w:r>
              <w:rPr>
                <w:rFonts w:ascii="宋体" w:hAnsi="宋体" w:cs="宋体" w:eastAsia="宋体" w:hint="default"/>
                <w:spacing w:val="-1"/>
                <w:sz w:val="21"/>
                <w:szCs w:val="21"/>
              </w:rPr>
              <w:t>分红年度合并</w:t>
            </w:r>
            <w:r>
              <w:rPr>
                <w:rFonts w:ascii="宋体" w:hAnsi="宋体" w:cs="宋体" w:eastAsia="宋体" w:hint="default"/>
                <w:w w:val="100"/>
                <w:sz w:val="21"/>
                <w:szCs w:val="21"/>
              </w:rPr>
              <w:t> </w:t>
            </w:r>
            <w:r>
              <w:rPr>
                <w:rFonts w:ascii="宋体" w:hAnsi="宋体" w:cs="宋体" w:eastAsia="宋体" w:hint="default"/>
                <w:spacing w:val="-1"/>
                <w:sz w:val="21"/>
                <w:szCs w:val="21"/>
              </w:rPr>
              <w:t>报表中归属于</w:t>
            </w:r>
            <w:r>
              <w:rPr>
                <w:rFonts w:ascii="宋体" w:hAnsi="宋体" w:cs="宋体" w:eastAsia="宋体" w:hint="default"/>
                <w:w w:val="100"/>
                <w:sz w:val="21"/>
                <w:szCs w:val="21"/>
              </w:rPr>
              <w:t> </w:t>
            </w:r>
            <w:r>
              <w:rPr>
                <w:rFonts w:ascii="宋体" w:hAnsi="宋体" w:cs="宋体" w:eastAsia="宋体" w:hint="default"/>
                <w:spacing w:val="-2"/>
                <w:sz w:val="21"/>
                <w:szCs w:val="21"/>
              </w:rPr>
              <w:t>上市公司普通</w:t>
            </w:r>
            <w:r>
              <w:rPr>
                <w:rFonts w:ascii="宋体" w:hAnsi="宋体" w:cs="宋体" w:eastAsia="宋体" w:hint="default"/>
                <w:spacing w:val="-3"/>
                <w:w w:val="100"/>
                <w:sz w:val="21"/>
                <w:szCs w:val="21"/>
              </w:rPr>
              <w:t> </w:t>
            </w:r>
            <w:r>
              <w:rPr>
                <w:rFonts w:ascii="宋体" w:hAnsi="宋体" w:cs="宋体" w:eastAsia="宋体" w:hint="default"/>
                <w:spacing w:val="-1"/>
                <w:sz w:val="21"/>
                <w:szCs w:val="21"/>
              </w:rPr>
              <w:t>股股东的净利</w:t>
            </w:r>
            <w:r>
              <w:rPr>
                <w:rFonts w:ascii="宋体" w:hAnsi="宋体" w:cs="宋体" w:eastAsia="宋体" w:hint="default"/>
                <w:w w:val="100"/>
                <w:sz w:val="21"/>
                <w:szCs w:val="21"/>
              </w:rPr>
              <w:t> </w:t>
            </w:r>
            <w:r>
              <w:rPr>
                <w:rFonts w:ascii="宋体" w:hAnsi="宋体" w:cs="宋体" w:eastAsia="宋体" w:hint="default"/>
                <w:sz w:val="21"/>
                <w:szCs w:val="21"/>
              </w:rPr>
              <w:t>润</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占合并报表</w:t>
            </w:r>
          </w:p>
          <w:p>
            <w:pPr>
              <w:pStyle w:val="TableParagraph"/>
              <w:spacing w:line="237" w:lineRule="auto"/>
              <w:ind w:left="196" w:right="192"/>
              <w:jc w:val="center"/>
              <w:rPr>
                <w:rFonts w:ascii="宋体" w:hAnsi="宋体" w:cs="宋体" w:eastAsia="宋体" w:hint="default"/>
                <w:sz w:val="21"/>
                <w:szCs w:val="21"/>
              </w:rPr>
            </w:pPr>
            <w:r>
              <w:rPr>
                <w:rFonts w:ascii="宋体" w:hAnsi="宋体" w:cs="宋体" w:eastAsia="宋体" w:hint="default"/>
                <w:sz w:val="21"/>
                <w:szCs w:val="21"/>
              </w:rPr>
              <w:t>中归属于上</w:t>
            </w:r>
            <w:r>
              <w:rPr>
                <w:rFonts w:ascii="宋体" w:hAnsi="宋体" w:cs="宋体" w:eastAsia="宋体" w:hint="default"/>
                <w:w w:val="100"/>
                <w:sz w:val="21"/>
                <w:szCs w:val="21"/>
              </w:rPr>
              <w:t> </w:t>
            </w:r>
            <w:r>
              <w:rPr>
                <w:rFonts w:ascii="宋体" w:hAnsi="宋体" w:cs="宋体" w:eastAsia="宋体" w:hint="default"/>
                <w:sz w:val="21"/>
                <w:szCs w:val="21"/>
              </w:rPr>
              <w:t>市公司普通</w:t>
            </w:r>
            <w:r>
              <w:rPr>
                <w:rFonts w:ascii="宋体" w:hAnsi="宋体" w:cs="宋体" w:eastAsia="宋体" w:hint="default"/>
                <w:w w:val="100"/>
                <w:sz w:val="21"/>
                <w:szCs w:val="21"/>
              </w:rPr>
              <w:t> </w:t>
            </w:r>
            <w:r>
              <w:rPr>
                <w:rFonts w:ascii="宋体" w:hAnsi="宋体" w:cs="宋体" w:eastAsia="宋体" w:hint="default"/>
                <w:sz w:val="21"/>
                <w:szCs w:val="21"/>
              </w:rPr>
              <w:t>股股东的净</w:t>
            </w:r>
            <w:r>
              <w:rPr>
                <w:rFonts w:ascii="宋体" w:hAnsi="宋体" w:cs="宋体" w:eastAsia="宋体" w:hint="default"/>
                <w:w w:val="100"/>
                <w:sz w:val="21"/>
                <w:szCs w:val="21"/>
              </w:rPr>
              <w:t> </w:t>
            </w:r>
            <w:r>
              <w:rPr>
                <w:rFonts w:ascii="宋体" w:hAnsi="宋体" w:cs="宋体" w:eastAsia="宋体" w:hint="default"/>
                <w:sz w:val="21"/>
                <w:szCs w:val="21"/>
              </w:rPr>
              <w:t>利润的比率</w:t>
            </w:r>
            <w:r>
              <w:rPr>
                <w:rFonts w:ascii="宋体" w:hAnsi="宋体" w:cs="宋体" w:eastAsia="宋体" w:hint="default"/>
                <w:w w:val="100"/>
                <w:sz w:val="21"/>
                <w:szCs w:val="21"/>
              </w:rPr>
              <w:t> </w:t>
            </w:r>
            <w:r>
              <w:rPr>
                <w:rFonts w:ascii="宋体" w:hAnsi="宋体" w:cs="宋体" w:eastAsia="宋体" w:hint="default"/>
                <w:sz w:val="21"/>
                <w:szCs w:val="21"/>
              </w:rPr>
              <w:t>(%)</w:t>
            </w:r>
          </w:p>
        </w:tc>
      </w:tr>
      <w:tr>
        <w:trPr>
          <w:trHeight w:val="283" w:hRule="exact"/>
        </w:trPr>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w w:val="100"/>
                <w:sz w:val="21"/>
              </w:rPr>
              <w:t>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1.5</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w w:val="100"/>
                <w:sz w:val="21"/>
              </w:rPr>
              <w:t>3</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219,183,934</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389,080,894</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z w:val="21"/>
              </w:rPr>
              <w:t>56</w:t>
            </w:r>
          </w:p>
        </w:tc>
      </w:tr>
      <w:tr>
        <w:trPr>
          <w:trHeight w:val="283" w:hRule="exact"/>
        </w:trPr>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2016</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1.3</w:t>
            </w:r>
          </w:p>
        </w:tc>
        <w:tc>
          <w:tcPr>
            <w:tcW w:w="965"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190,348,315</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197,391,725</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96</w:t>
            </w:r>
          </w:p>
        </w:tc>
      </w:tr>
      <w:tr>
        <w:trPr>
          <w:trHeight w:val="283" w:hRule="exact"/>
        </w:trPr>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1.5</w:t>
            </w:r>
          </w:p>
        </w:tc>
        <w:tc>
          <w:tcPr>
            <w:tcW w:w="965"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219,644,016</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323,745,309</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68</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p>
      <w:pPr>
        <w:pStyle w:val="Heading3"/>
        <w:spacing w:line="240" w:lineRule="auto" w:before="36"/>
        <w:ind w:right="147"/>
        <w:jc w:val="left"/>
        <w:rPr>
          <w:b w:val="0"/>
          <w:bCs w:val="0"/>
        </w:rPr>
      </w:pPr>
      <w:r>
        <w:rPr>
          <w:rFonts w:ascii="Calibri" w:hAnsi="Calibri" w:cs="Calibri" w:eastAsia="Calibri" w:hint="default"/>
        </w:rPr>
        <w:t>(</w:t>
      </w:r>
      <w:r>
        <w:rPr/>
        <w:t>三</w:t>
      </w:r>
      <w:r>
        <w:rPr>
          <w:rFonts w:ascii="Calibri" w:hAnsi="Calibri" w:cs="Calibri" w:eastAsia="Calibri" w:hint="default"/>
        </w:rPr>
        <w:t>)</w:t>
      </w:r>
      <w:r>
        <w:rPr>
          <w:rFonts w:ascii="Calibri" w:hAnsi="Calibri" w:cs="Calibri" w:eastAsia="Calibri" w:hint="default"/>
          <w:spacing w:val="31"/>
        </w:rPr>
        <w:t> </w:t>
      </w:r>
      <w:r>
        <w:rPr/>
        <w:t>以现金方式要约回购股份计入现金分红的情况</w:t>
      </w:r>
      <w:r>
        <w:rPr>
          <w:b w:val="0"/>
          <w:bCs w:val="0"/>
        </w:rPr>
      </w:r>
    </w:p>
    <w:p>
      <w:pPr>
        <w:pStyle w:val="BodyText"/>
        <w:spacing w:line="240" w:lineRule="auto" w:before="29"/>
        <w:ind w:right="147"/>
        <w:jc w:val="left"/>
      </w:pPr>
      <w:r>
        <w:rPr/>
        <w:t>□适用</w:t>
      </w:r>
      <w:r>
        <w:rPr>
          <w:spacing w:val="-1"/>
        </w:rPr>
        <w:t> </w:t>
      </w:r>
      <w:r>
        <w:rPr/>
        <w:t>√不适用</w:t>
      </w:r>
    </w:p>
    <w:p>
      <w:pPr>
        <w:spacing w:line="240" w:lineRule="auto" w:before="4"/>
        <w:rPr>
          <w:rFonts w:ascii="宋体" w:hAnsi="宋体" w:cs="宋体" w:eastAsia="宋体" w:hint="default"/>
          <w:sz w:val="27"/>
          <w:szCs w:val="27"/>
        </w:rPr>
      </w:pPr>
    </w:p>
    <w:p>
      <w:pPr>
        <w:pStyle w:val="Heading3"/>
        <w:spacing w:line="272" w:lineRule="exact"/>
        <w:ind w:left="638" w:right="137" w:hanging="420"/>
        <w:jc w:val="left"/>
        <w:rPr>
          <w:b w:val="0"/>
          <w:bCs w:val="0"/>
        </w:rPr>
      </w:pPr>
      <w:r>
        <w:rPr>
          <w:rFonts w:ascii="Calibri" w:hAnsi="Calibri" w:cs="Calibri" w:eastAsia="Calibri" w:hint="default"/>
        </w:rPr>
        <w:t>(</w:t>
      </w:r>
      <w:r>
        <w:rPr/>
        <w:t>四</w:t>
      </w:r>
      <w:r>
        <w:rPr>
          <w:rFonts w:ascii="Calibri" w:hAnsi="Calibri" w:cs="Calibri" w:eastAsia="Calibri" w:hint="default"/>
        </w:rPr>
        <w:t>)</w:t>
      </w:r>
      <w:r>
        <w:rPr>
          <w:rFonts w:ascii="Calibri" w:hAnsi="Calibri" w:cs="Calibri" w:eastAsia="Calibri" w:hint="default"/>
          <w:spacing w:val="9"/>
        </w:rPr>
        <w:t> </w:t>
      </w:r>
      <w:r>
        <w:rPr/>
        <w:t>报告期内盈利且母公司可供普通股股东分配利润为正，但未提出普通股现金利润分配方案预</w:t>
      </w:r>
      <w:r>
        <w:rPr>
          <w:w w:val="100"/>
        </w:rPr>
        <w:t> </w:t>
      </w:r>
      <w:r>
        <w:rPr/>
        <w:t>案的，公司应当详细披露原因以及未分配利润的用途和使用计划</w:t>
      </w:r>
      <w:r>
        <w:rPr>
          <w:b w:val="0"/>
          <w:bCs w:val="0"/>
        </w:rPr>
      </w:r>
    </w:p>
    <w:p>
      <w:pPr>
        <w:pStyle w:val="BodyText"/>
        <w:spacing w:line="240" w:lineRule="auto" w:before="34"/>
        <w:ind w:right="147"/>
        <w:jc w:val="left"/>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right="147"/>
        <w:jc w:val="left"/>
        <w:rPr>
          <w:b w:val="0"/>
          <w:bCs w:val="0"/>
        </w:rPr>
      </w:pPr>
      <w:r>
        <w:rPr/>
        <w:t>二、承诺事项履行情况</w:t>
      </w:r>
      <w:r>
        <w:rPr>
          <w:b w:val="0"/>
          <w:bCs w:val="0"/>
        </w:rPr>
      </w:r>
    </w:p>
    <w:p>
      <w:pPr>
        <w:pStyle w:val="Heading3"/>
        <w:tabs>
          <w:tab w:pos="784" w:val="left" w:leader="none"/>
        </w:tabs>
        <w:spacing w:line="274" w:lineRule="exact" w:before="82"/>
        <w:ind w:left="784" w:right="155" w:hanging="567"/>
        <w:jc w:val="left"/>
        <w:rPr>
          <w:b w:val="0"/>
          <w:bCs w:val="0"/>
        </w:rPr>
      </w:pPr>
      <w:r>
        <w:rPr>
          <w:rFonts w:ascii="Calibri" w:hAnsi="Calibri" w:cs="Calibri" w:eastAsia="Calibri" w:hint="default"/>
        </w:rPr>
        <w:t>(</w:t>
      </w:r>
      <w:r>
        <w:rPr/>
        <w:t>一</w:t>
      </w:r>
      <w:r>
        <w:rPr>
          <w:rFonts w:ascii="Calibri" w:hAnsi="Calibri" w:cs="Calibri" w:eastAsia="Calibri" w:hint="default"/>
        </w:rPr>
        <w:t>)</w:t>
        <w:tab/>
      </w:r>
      <w:r>
        <w:rPr/>
        <w:t>公司实际控制人、股东、关联方、收购人以及公司等承诺相关方在报告期内或持续到报告</w:t>
      </w:r>
      <w:r>
        <w:rPr>
          <w:spacing w:val="-66"/>
        </w:rPr>
        <w:t> </w:t>
      </w:r>
      <w:r>
        <w:rPr>
          <w:spacing w:val="-66"/>
        </w:rPr>
      </w:r>
      <w:r>
        <w:rPr/>
        <w:t>期内的承诺事项</w:t>
      </w:r>
      <w:r>
        <w:rPr>
          <w:b w:val="0"/>
          <w:bCs w:val="0"/>
        </w:rPr>
      </w:r>
    </w:p>
    <w:p>
      <w:pPr>
        <w:pStyle w:val="BodyText"/>
        <w:spacing w:line="240" w:lineRule="auto" w:before="31"/>
        <w:ind w:right="147"/>
        <w:jc w:val="left"/>
      </w:pPr>
      <w:r>
        <w:rPr/>
        <w:t>□适用</w:t>
      </w:r>
      <w:r>
        <w:rPr>
          <w:spacing w:val="-1"/>
        </w:rPr>
        <w:t> </w:t>
      </w:r>
      <w:r>
        <w:rPr/>
        <w:t>√不适用</w:t>
      </w:r>
    </w:p>
    <w:p>
      <w:pPr>
        <w:spacing w:after="0" w:line="240" w:lineRule="auto"/>
        <w:jc w:val="left"/>
        <w:sectPr>
          <w:pgSz w:w="11910" w:h="16840"/>
          <w:pgMar w:header="855" w:footer="1195" w:top="1320" w:bottom="1380" w:left="1580" w:right="1120"/>
        </w:sectPr>
      </w:pPr>
    </w:p>
    <w:p>
      <w:pPr>
        <w:spacing w:line="240" w:lineRule="auto" w:before="4"/>
        <w:rPr>
          <w:rFonts w:ascii="宋体" w:hAnsi="宋体" w:cs="宋体" w:eastAsia="宋体" w:hint="default"/>
          <w:sz w:val="9"/>
          <w:szCs w:val="9"/>
        </w:rPr>
      </w:pPr>
    </w:p>
    <w:p>
      <w:pPr>
        <w:pStyle w:val="Heading3"/>
        <w:tabs>
          <w:tab w:pos="784" w:val="left" w:leader="none"/>
        </w:tabs>
        <w:spacing w:line="266" w:lineRule="auto" w:before="36"/>
        <w:ind w:right="910"/>
        <w:jc w:val="left"/>
        <w:rPr>
          <w:b w:val="0"/>
          <w:bCs w:val="0"/>
        </w:rPr>
      </w:pPr>
      <w:r>
        <w:rPr>
          <w:rFonts w:ascii="Calibri" w:hAnsi="Calibri" w:cs="Calibri" w:eastAsia="Calibri" w:hint="default"/>
        </w:rPr>
        <w:t>(</w:t>
      </w:r>
      <w:r>
        <w:rPr/>
        <w:t>二</w:t>
      </w:r>
      <w:r>
        <w:rPr>
          <w:rFonts w:ascii="Calibri" w:hAnsi="Calibri" w:cs="Calibri" w:eastAsia="Calibri" w:hint="default"/>
        </w:rPr>
        <w:t>)</w:t>
        <w:tab/>
      </w:r>
      <w:r>
        <w:rPr>
          <w:spacing w:val="-1"/>
        </w:rPr>
        <w:t>公司资产或项目存在盈利预测，且报告期仍处在盈利预测期间，公司就资产或项目</w:t>
      </w:r>
      <w:r>
        <w:rPr>
          <w:spacing w:val="-75"/>
        </w:rPr>
        <w:t> </w:t>
      </w:r>
      <w:r>
        <w:rPr>
          <w:spacing w:val="-75"/>
        </w:rPr>
      </w:r>
      <w:r>
        <w:rPr/>
        <w:t>是否达到原盈利预测及其原因作出说明</w:t>
      </w:r>
      <w:r>
        <w:rPr>
          <w:b w:val="0"/>
          <w:bCs w:val="0"/>
        </w:rPr>
      </w:r>
    </w:p>
    <w:p>
      <w:pPr>
        <w:pStyle w:val="BodyText"/>
        <w:spacing w:line="248" w:lineRule="exact"/>
        <w:ind w:right="99"/>
        <w:jc w:val="left"/>
      </w:pPr>
      <w:r>
        <w:rPr/>
        <w:t>□已达到 □未达到 √不适用</w:t>
      </w:r>
    </w:p>
    <w:p>
      <w:pPr>
        <w:pStyle w:val="Heading3"/>
        <w:spacing w:line="240" w:lineRule="auto" w:before="58"/>
        <w:ind w:right="99"/>
        <w:jc w:val="left"/>
        <w:rPr>
          <w:b w:val="0"/>
          <w:bCs w:val="0"/>
        </w:rPr>
      </w:pPr>
      <w:r>
        <w:rPr/>
        <w:t>三、报告期内资金被占用情况及清欠进展情况</w:t>
      </w:r>
      <w:r>
        <w:rPr>
          <w:b w:val="0"/>
          <w:bCs w:val="0"/>
        </w:rPr>
      </w:r>
    </w:p>
    <w:p>
      <w:pPr>
        <w:pStyle w:val="BodyText"/>
        <w:spacing w:line="240" w:lineRule="auto" w:before="56"/>
        <w:ind w:right="99"/>
        <w:jc w:val="left"/>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right="99"/>
        <w:jc w:val="left"/>
        <w:rPr>
          <w:b w:val="0"/>
          <w:bCs w:val="0"/>
        </w:rPr>
      </w:pPr>
      <w:r>
        <w:rPr/>
        <w:t>四、公司对会计师事务所“非标准意见审计报告”的说明</w:t>
      </w:r>
      <w:r>
        <w:rPr>
          <w:b w:val="0"/>
          <w:bCs w:val="0"/>
        </w:rPr>
      </w:r>
    </w:p>
    <w:p>
      <w:pPr>
        <w:pStyle w:val="BodyText"/>
        <w:spacing w:line="240" w:lineRule="auto" w:before="58"/>
        <w:ind w:right="99"/>
        <w:jc w:val="left"/>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right="99"/>
        <w:jc w:val="left"/>
        <w:rPr>
          <w:b w:val="0"/>
          <w:bCs w:val="0"/>
        </w:rPr>
      </w:pPr>
      <w:r>
        <w:rPr/>
        <w:t>五、公司对会计政策、会计估计变更或重大会计差错更正原因和影响的分析说明</w:t>
      </w:r>
      <w:r>
        <w:rPr>
          <w:b w:val="0"/>
          <w:bCs w:val="0"/>
        </w:rPr>
      </w:r>
    </w:p>
    <w:p>
      <w:pPr>
        <w:pStyle w:val="Heading3"/>
        <w:tabs>
          <w:tab w:pos="1057" w:val="left" w:leader="none"/>
        </w:tabs>
        <w:spacing w:line="240" w:lineRule="auto" w:before="56"/>
        <w:ind w:right="99"/>
        <w:jc w:val="left"/>
        <w:rPr>
          <w:b w:val="0"/>
          <w:bCs w:val="0"/>
        </w:rPr>
      </w:pPr>
      <w:r>
        <w:rPr/>
        <w:t>（一）</w:t>
        <w:tab/>
        <w:t>公司对会计政策、会计估计变更原因及影响的分析说明</w:t>
      </w:r>
      <w:r>
        <w:rPr>
          <w:b w:val="0"/>
          <w:bCs w:val="0"/>
        </w:rPr>
      </w:r>
    </w:p>
    <w:p>
      <w:pPr>
        <w:tabs>
          <w:tab w:pos="1060" w:val="left" w:leader="none"/>
        </w:tabs>
        <w:spacing w:line="340" w:lineRule="auto" w:before="59"/>
        <w:ind w:left="218" w:right="7383" w:firstLine="0"/>
        <w:jc w:val="left"/>
        <w:rPr>
          <w:rFonts w:ascii="宋体" w:hAnsi="宋体" w:cs="宋体" w:eastAsia="宋体" w:hint="default"/>
          <w:sz w:val="21"/>
          <w:szCs w:val="21"/>
        </w:rPr>
      </w:pPr>
      <w:r>
        <w:rPr>
          <w:rFonts w:ascii="宋体" w:hAnsi="宋体" w:cs="宋体" w:eastAsia="宋体" w:hint="default"/>
          <w:spacing w:val="-1"/>
          <w:sz w:val="21"/>
          <w:szCs w:val="21"/>
        </w:rPr>
        <w:t>√适用</w:t>
        <w:tab/>
      </w:r>
      <w:r>
        <w:rPr>
          <w:rFonts w:ascii="宋体" w:hAnsi="宋体" w:cs="宋体" w:eastAsia="宋体" w:hint="default"/>
          <w:spacing w:val="-2"/>
          <w:sz w:val="21"/>
          <w:szCs w:val="21"/>
        </w:rPr>
        <w:t>□不适用</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b/>
          <w:bCs/>
          <w:sz w:val="21"/>
          <w:szCs w:val="21"/>
        </w:rPr>
        <w:t>1</w:t>
      </w:r>
      <w:r>
        <w:rPr>
          <w:rFonts w:ascii="宋体" w:hAnsi="宋体" w:cs="宋体" w:eastAsia="宋体" w:hint="default"/>
          <w:b/>
          <w:bCs/>
          <w:sz w:val="21"/>
          <w:szCs w:val="21"/>
        </w:rPr>
        <w:t>、会计政策变更</w:t>
      </w:r>
      <w:r>
        <w:rPr>
          <w:rFonts w:ascii="宋体" w:hAnsi="宋体" w:cs="宋体" w:eastAsia="宋体" w:hint="default"/>
          <w:sz w:val="21"/>
          <w:szCs w:val="21"/>
        </w:rPr>
      </w:r>
    </w:p>
    <w:p>
      <w:pPr>
        <w:pStyle w:val="Heading3"/>
        <w:spacing w:line="240" w:lineRule="auto" w:before="97"/>
        <w:ind w:right="99"/>
        <w:jc w:val="left"/>
        <w:rPr>
          <w:b w:val="0"/>
          <w:bCs w:val="0"/>
        </w:rPr>
      </w:pPr>
      <w:r>
        <w:rPr/>
        <w:t>（</w:t>
      </w:r>
      <w:r>
        <w:rPr>
          <w:rFonts w:ascii="宋体" w:hAnsi="宋体" w:cs="宋体" w:eastAsia="宋体" w:hint="default"/>
        </w:rPr>
        <w:t>1</w:t>
      </w:r>
      <w:r>
        <w:rPr/>
        <w:t>）资产处置损益列报方式变更</w:t>
      </w:r>
      <w:r>
        <w:rPr>
          <w:b w:val="0"/>
          <w:bCs w:val="0"/>
        </w:rPr>
      </w:r>
    </w:p>
    <w:p>
      <w:pPr>
        <w:spacing w:line="240" w:lineRule="auto" w:before="3"/>
        <w:rPr>
          <w:rFonts w:ascii="宋体" w:hAnsi="宋体" w:cs="宋体" w:eastAsia="宋体" w:hint="default"/>
          <w:b/>
          <w:bCs/>
          <w:sz w:val="14"/>
          <w:szCs w:val="14"/>
        </w:rPr>
      </w:pPr>
    </w:p>
    <w:p>
      <w:pPr>
        <w:pStyle w:val="BodyText"/>
        <w:spacing w:line="297" w:lineRule="auto"/>
        <w:ind w:right="227" w:firstLine="525"/>
        <w:jc w:val="both"/>
      </w:pPr>
      <w:r>
        <w:rPr/>
        <w:t>根据《财政部关于修订印发一般企业财务报表格式的通知》</w:t>
      </w:r>
      <w:r>
        <w:rPr>
          <w:rFonts w:ascii="宋体" w:hAnsi="宋体" w:cs="宋体" w:eastAsia="宋体" w:hint="default"/>
        </w:rPr>
        <w:t>(</w:t>
      </w:r>
      <w:r>
        <w:rPr/>
        <w:t>财会</w:t>
      </w:r>
      <w:r>
        <w:rPr>
          <w:rFonts w:ascii="宋体" w:hAnsi="宋体" w:cs="宋体" w:eastAsia="宋体" w:hint="default"/>
        </w:rPr>
        <w:t>[2017]30</w:t>
      </w:r>
      <w:r>
        <w:rPr>
          <w:rFonts w:ascii="宋体" w:hAnsi="宋体" w:cs="宋体" w:eastAsia="宋体" w:hint="default"/>
          <w:spacing w:val="7"/>
        </w:rPr>
        <w:t> </w:t>
      </w:r>
      <w:r>
        <w:rPr/>
        <w:t>号</w:t>
      </w:r>
      <w:r>
        <w:rPr>
          <w:rFonts w:ascii="宋体" w:hAnsi="宋体" w:cs="宋体" w:eastAsia="宋体" w:hint="default"/>
        </w:rPr>
        <w:t>)</w:t>
      </w:r>
      <w:r>
        <w:rPr/>
        <w:t>要求，本集</w:t>
      </w:r>
      <w:r>
        <w:rPr>
          <w:w w:val="100"/>
        </w:rPr>
        <w:t> </w:t>
      </w:r>
      <w:r>
        <w:rPr>
          <w:spacing w:val="-2"/>
        </w:rPr>
        <w:t>团在利润表中的“营业利润”项目之上单独列报“资产处置收益”项目，原在“营业外收入”和</w:t>
      </w:r>
      <w:r>
        <w:rPr>
          <w:spacing w:val="-15"/>
        </w:rPr>
        <w:t> </w:t>
      </w:r>
      <w:r>
        <w:rPr>
          <w:spacing w:val="-15"/>
        </w:rPr>
      </w:r>
      <w:r>
        <w:rPr>
          <w:spacing w:val="-2"/>
        </w:rPr>
        <w:t>“营业外支出”的部分非流动资产处置损益，改为在“资产处置收益”中列报；本集团相应追溯</w:t>
      </w:r>
      <w:r>
        <w:rPr>
          <w:spacing w:val="-15"/>
        </w:rPr>
        <w:t> </w:t>
      </w:r>
      <w:r>
        <w:rPr>
          <w:spacing w:val="-15"/>
        </w:rPr>
      </w:r>
      <w:r>
        <w:rPr/>
        <w:t>重述了比较利润表。该会计政策变更对合并及公司净利润和股东权益无影响。</w:t>
      </w:r>
    </w:p>
    <w:p>
      <w:pPr>
        <w:pStyle w:val="Heading3"/>
        <w:spacing w:line="240" w:lineRule="auto" w:before="135"/>
        <w:ind w:right="99"/>
        <w:jc w:val="left"/>
        <w:rPr>
          <w:b w:val="0"/>
          <w:bCs w:val="0"/>
        </w:rPr>
      </w:pPr>
      <w:r>
        <w:rPr/>
        <w:t>（</w:t>
      </w:r>
      <w:r>
        <w:rPr>
          <w:rFonts w:ascii="宋体" w:hAnsi="宋体" w:cs="宋体" w:eastAsia="宋体" w:hint="default"/>
        </w:rPr>
        <w:t>2</w:t>
      </w:r>
      <w:r>
        <w:rPr/>
        <w:t>）政府补助列报方式变更</w:t>
      </w:r>
      <w:r>
        <w:rPr>
          <w:b w:val="0"/>
          <w:bCs w:val="0"/>
        </w:rPr>
      </w:r>
    </w:p>
    <w:p>
      <w:pPr>
        <w:spacing w:line="240" w:lineRule="auto" w:before="3"/>
        <w:rPr>
          <w:rFonts w:ascii="宋体" w:hAnsi="宋体" w:cs="宋体" w:eastAsia="宋体" w:hint="default"/>
          <w:b/>
          <w:bCs/>
          <w:sz w:val="14"/>
          <w:szCs w:val="14"/>
        </w:rPr>
      </w:pPr>
    </w:p>
    <w:p>
      <w:pPr>
        <w:pStyle w:val="BodyText"/>
        <w:spacing w:line="297" w:lineRule="auto"/>
        <w:ind w:right="227" w:firstLine="525"/>
        <w:jc w:val="both"/>
      </w:pPr>
      <w:r>
        <w:rPr>
          <w:spacing w:val="-3"/>
        </w:rPr>
        <w:t>根据《关于印发修订〈企业会计准则第</w:t>
      </w:r>
      <w:r>
        <w:rPr>
          <w:spacing w:val="-34"/>
        </w:rPr>
        <w:t> </w:t>
      </w:r>
      <w:r>
        <w:rPr>
          <w:rFonts w:ascii="宋体" w:hAnsi="宋体" w:cs="宋体" w:eastAsia="宋体" w:hint="default"/>
        </w:rPr>
        <w:t>16</w:t>
      </w:r>
      <w:r>
        <w:rPr>
          <w:rFonts w:ascii="宋体" w:hAnsi="宋体" w:cs="宋体" w:eastAsia="宋体" w:hint="default"/>
          <w:spacing w:val="-34"/>
        </w:rPr>
        <w:t> </w:t>
      </w:r>
      <w:r>
        <w:rPr>
          <w:spacing w:val="-3"/>
        </w:rPr>
        <w:t>号——政府补助〉的通知》</w:t>
      </w:r>
      <w:r>
        <w:rPr>
          <w:rFonts w:ascii="宋体" w:hAnsi="宋体" w:cs="宋体" w:eastAsia="宋体" w:hint="default"/>
          <w:spacing w:val="-3"/>
        </w:rPr>
        <w:t>(</w:t>
      </w:r>
      <w:r>
        <w:rPr>
          <w:spacing w:val="-3"/>
        </w:rPr>
        <w:t>财会</w:t>
      </w:r>
      <w:r>
        <w:rPr>
          <w:rFonts w:ascii="宋体" w:hAnsi="宋体" w:cs="宋体" w:eastAsia="宋体" w:hint="default"/>
          <w:spacing w:val="-3"/>
        </w:rPr>
        <w:t>[2017]15</w:t>
      </w:r>
      <w:r>
        <w:rPr>
          <w:rFonts w:ascii="宋体" w:hAnsi="宋体" w:cs="宋体" w:eastAsia="宋体" w:hint="default"/>
          <w:spacing w:val="-34"/>
        </w:rPr>
        <w:t> </w:t>
      </w:r>
      <w:r>
        <w:rPr/>
        <w:t>号</w:t>
      </w:r>
      <w:r>
        <w:rPr>
          <w:rFonts w:ascii="宋体" w:hAnsi="宋体" w:cs="宋体" w:eastAsia="宋体" w:hint="default"/>
        </w:rPr>
        <w:t>)</w:t>
      </w:r>
      <w:r>
        <w:rPr/>
        <w:t>要</w:t>
      </w:r>
      <w:r>
        <w:rPr>
          <w:w w:val="100"/>
        </w:rPr>
        <w:t> </w:t>
      </w:r>
      <w:r>
        <w:rPr>
          <w:spacing w:val="-2"/>
        </w:rPr>
        <w:t>求，本集团在利润表中的“营业利润”项目之上单独列报“其他收益”项目，与企业日常活动相</w:t>
      </w:r>
      <w:r>
        <w:rPr>
          <w:spacing w:val="-15"/>
        </w:rPr>
        <w:t> </w:t>
      </w:r>
      <w:r>
        <w:rPr>
          <w:spacing w:val="-15"/>
        </w:rPr>
      </w:r>
      <w:r>
        <w:rPr>
          <w:spacing w:val="-1"/>
        </w:rPr>
        <w:t>关的政府补助由在“营业外收入”中列报改为在“其他收益”中列报；按照该准则的衔接规定，</w:t>
      </w:r>
      <w:r>
        <w:rPr>
          <w:spacing w:val="-56"/>
        </w:rPr>
        <w:t> </w:t>
      </w:r>
      <w:r>
        <w:rPr>
          <w:spacing w:val="-56"/>
        </w:rPr>
      </w:r>
      <w:r>
        <w:rPr/>
        <w:t>本集团对</w:t>
      </w:r>
      <w:r>
        <w:rPr>
          <w:spacing w:val="-53"/>
        </w:rPr>
        <w:t> </w:t>
      </w:r>
      <w:r>
        <w:rPr>
          <w:rFonts w:ascii="宋体" w:hAnsi="宋体" w:cs="宋体" w:eastAsia="宋体" w:hint="default"/>
        </w:rPr>
        <w:t>2017</w:t>
      </w:r>
      <w:r>
        <w:rPr>
          <w:rFonts w:ascii="宋体" w:hAnsi="宋体" w:cs="宋体" w:eastAsia="宋体" w:hint="default"/>
          <w:spacing w:val="-53"/>
        </w:rPr>
        <w:t> </w:t>
      </w:r>
      <w:r>
        <w:rPr/>
        <w:t>年</w:t>
      </w:r>
      <w:r>
        <w:rPr>
          <w:spacing w:val="-53"/>
        </w:rPr>
        <w:t> </w:t>
      </w:r>
      <w:r>
        <w:rPr>
          <w:rFonts w:ascii="宋体" w:hAnsi="宋体" w:cs="宋体" w:eastAsia="宋体" w:hint="default"/>
        </w:rPr>
        <w:t>1</w:t>
      </w:r>
      <w:r>
        <w:rPr>
          <w:rFonts w:ascii="宋体" w:hAnsi="宋体" w:cs="宋体" w:eastAsia="宋体" w:hint="default"/>
          <w:spacing w:val="-55"/>
        </w:rPr>
        <w:t> </w:t>
      </w:r>
      <w:r>
        <w:rPr/>
        <w:t>月</w:t>
      </w:r>
      <w:r>
        <w:rPr>
          <w:spacing w:val="-52"/>
        </w:rPr>
        <w:t> </w:t>
      </w:r>
      <w:r>
        <w:rPr>
          <w:rFonts w:ascii="宋体" w:hAnsi="宋体" w:cs="宋体" w:eastAsia="宋体" w:hint="default"/>
        </w:rPr>
        <w:t>1</w:t>
      </w:r>
      <w:r>
        <w:rPr>
          <w:rFonts w:ascii="宋体" w:hAnsi="宋体" w:cs="宋体" w:eastAsia="宋体" w:hint="default"/>
          <w:spacing w:val="-53"/>
        </w:rPr>
        <w:t> </w:t>
      </w:r>
      <w:r>
        <w:rPr/>
        <w:t>日前存在的政府补助采用未来适用法处理，对</w:t>
      </w:r>
      <w:r>
        <w:rPr>
          <w:spacing w:val="-53"/>
        </w:rPr>
        <w:t> </w:t>
      </w:r>
      <w:r>
        <w:rPr>
          <w:rFonts w:ascii="宋体" w:hAnsi="宋体" w:cs="宋体" w:eastAsia="宋体" w:hint="default"/>
        </w:rPr>
        <w:t>2017</w:t>
      </w:r>
      <w:r>
        <w:rPr>
          <w:rFonts w:ascii="宋体" w:hAnsi="宋体" w:cs="宋体" w:eastAsia="宋体" w:hint="default"/>
          <w:spacing w:val="-55"/>
        </w:rPr>
        <w:t> </w:t>
      </w:r>
      <w:r>
        <w:rPr/>
        <w:t>年</w:t>
      </w:r>
      <w:r>
        <w:rPr>
          <w:spacing w:val="-52"/>
        </w:rPr>
        <w:t> </w:t>
      </w:r>
      <w:r>
        <w:rPr>
          <w:rFonts w:ascii="宋体" w:hAnsi="宋体" w:cs="宋体" w:eastAsia="宋体" w:hint="default"/>
        </w:rPr>
        <w:t>1</w:t>
      </w:r>
      <w:r>
        <w:rPr>
          <w:rFonts w:ascii="宋体" w:hAnsi="宋体" w:cs="宋体" w:eastAsia="宋体" w:hint="default"/>
          <w:spacing w:val="-53"/>
        </w:rPr>
        <w:t> </w:t>
      </w:r>
      <w:r>
        <w:rPr/>
        <w:t>月</w:t>
      </w:r>
      <w:r>
        <w:rPr>
          <w:spacing w:val="-53"/>
        </w:rPr>
        <w:t> </w:t>
      </w:r>
      <w:r>
        <w:rPr>
          <w:rFonts w:ascii="宋体" w:hAnsi="宋体" w:cs="宋体" w:eastAsia="宋体" w:hint="default"/>
        </w:rPr>
        <w:t>1</w:t>
      </w:r>
      <w:r>
        <w:rPr>
          <w:rFonts w:ascii="宋体" w:hAnsi="宋体" w:cs="宋体" w:eastAsia="宋体" w:hint="default"/>
          <w:spacing w:val="-53"/>
        </w:rPr>
        <w:t> </w:t>
      </w:r>
      <w:r>
        <w:rPr/>
        <w:t>日至该准则</w:t>
      </w:r>
    </w:p>
    <w:p>
      <w:pPr>
        <w:pStyle w:val="BodyText"/>
        <w:spacing w:line="297" w:lineRule="auto" w:before="13"/>
        <w:ind w:right="224"/>
        <w:jc w:val="left"/>
      </w:pPr>
      <w:r>
        <w:rPr/>
        <w:t>施行日</w:t>
      </w:r>
      <w:r>
        <w:rPr>
          <w:rFonts w:ascii="宋体" w:hAnsi="宋体" w:cs="宋体" w:eastAsia="宋体" w:hint="default"/>
        </w:rPr>
        <w:t>(2017</w:t>
      </w:r>
      <w:r>
        <w:rPr>
          <w:rFonts w:ascii="宋体" w:hAnsi="宋体" w:cs="宋体" w:eastAsia="宋体" w:hint="default"/>
          <w:spacing w:val="-43"/>
        </w:rPr>
        <w:t> </w:t>
      </w:r>
      <w:r>
        <w:rPr/>
        <w:t>年</w:t>
      </w:r>
      <w:r>
        <w:rPr>
          <w:spacing w:val="-41"/>
        </w:rPr>
        <w:t> </w:t>
      </w:r>
      <w:r>
        <w:rPr>
          <w:rFonts w:ascii="宋体" w:hAnsi="宋体" w:cs="宋体" w:eastAsia="宋体" w:hint="default"/>
        </w:rPr>
        <w:t>6</w:t>
      </w:r>
      <w:r>
        <w:rPr>
          <w:rFonts w:ascii="宋体" w:hAnsi="宋体" w:cs="宋体" w:eastAsia="宋体" w:hint="default"/>
          <w:spacing w:val="-41"/>
        </w:rPr>
        <w:t> </w:t>
      </w:r>
      <w:r>
        <w:rPr/>
        <w:t>月</w:t>
      </w:r>
      <w:r>
        <w:rPr>
          <w:spacing w:val="-41"/>
        </w:rPr>
        <w:t> </w:t>
      </w:r>
      <w:r>
        <w:rPr>
          <w:rFonts w:ascii="宋体" w:hAnsi="宋体" w:cs="宋体" w:eastAsia="宋体" w:hint="default"/>
        </w:rPr>
        <w:t>12</w:t>
      </w:r>
      <w:r>
        <w:rPr>
          <w:rFonts w:ascii="宋体" w:hAnsi="宋体" w:cs="宋体" w:eastAsia="宋体" w:hint="default"/>
          <w:spacing w:val="-40"/>
        </w:rPr>
        <w:t> </w:t>
      </w:r>
      <w:r>
        <w:rPr/>
        <w:t>日</w:t>
      </w:r>
      <w:r>
        <w:rPr>
          <w:rFonts w:ascii="宋体" w:hAnsi="宋体" w:cs="宋体" w:eastAsia="宋体" w:hint="default"/>
        </w:rPr>
        <w:t>)</w:t>
      </w:r>
      <w:r>
        <w:rPr/>
        <w:t>之间新增的政府补助根据本准则进行调整。该会计政策变更对合并及</w:t>
      </w:r>
      <w:r>
        <w:rPr>
          <w:w w:val="100"/>
        </w:rPr>
        <w:t> </w:t>
      </w:r>
      <w:r>
        <w:rPr/>
        <w:t>公司净利润和股东权益无影响。</w:t>
      </w:r>
    </w:p>
    <w:p>
      <w:pPr>
        <w:spacing w:line="240" w:lineRule="auto" w:before="13"/>
        <w:rPr>
          <w:rFonts w:ascii="宋体" w:hAnsi="宋体" w:cs="宋体" w:eastAsia="宋体" w:hint="default"/>
          <w:sz w:val="12"/>
          <w:szCs w:val="12"/>
        </w:rPr>
      </w:pPr>
    </w:p>
    <w:tbl>
      <w:tblPr>
        <w:tblW w:w="0" w:type="auto"/>
        <w:jc w:val="left"/>
        <w:tblInd w:w="105" w:type="dxa"/>
        <w:tblLayout w:type="fixed"/>
        <w:tblCellMar>
          <w:top w:w="0" w:type="dxa"/>
          <w:left w:w="0" w:type="dxa"/>
          <w:bottom w:w="0" w:type="dxa"/>
          <w:right w:w="0" w:type="dxa"/>
        </w:tblCellMar>
        <w:tblLook w:val="01E0"/>
      </w:tblPr>
      <w:tblGrid>
        <w:gridCol w:w="1810"/>
        <w:gridCol w:w="1810"/>
        <w:gridCol w:w="1810"/>
        <w:gridCol w:w="1810"/>
        <w:gridCol w:w="1810"/>
      </w:tblGrid>
      <w:tr>
        <w:trPr>
          <w:trHeight w:val="283" w:hRule="exact"/>
        </w:trPr>
        <w:tc>
          <w:tcPr>
            <w:tcW w:w="1810" w:type="dxa"/>
            <w:vMerge w:val="restart"/>
            <w:tcBorders>
              <w:top w:val="single" w:sz="4" w:space="0" w:color="000000"/>
              <w:left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受影响的报表项</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目</w:t>
            </w:r>
          </w:p>
        </w:tc>
        <w:tc>
          <w:tcPr>
            <w:tcW w:w="36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36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2016</w:t>
            </w:r>
            <w:r>
              <w:rPr>
                <w:rFonts w:ascii="宋体" w:hAnsi="宋体" w:cs="宋体" w:eastAsia="宋体" w:hint="default"/>
                <w:spacing w:val="-51"/>
                <w:sz w:val="21"/>
                <w:szCs w:val="21"/>
              </w:rPr>
              <w:t> </w:t>
            </w:r>
            <w:r>
              <w:rPr>
                <w:rFonts w:ascii="宋体" w:hAnsi="宋体" w:cs="宋体" w:eastAsia="宋体" w:hint="default"/>
                <w:sz w:val="21"/>
                <w:szCs w:val="21"/>
              </w:rPr>
              <w:t>年</w:t>
            </w:r>
          </w:p>
        </w:tc>
      </w:tr>
      <w:tr>
        <w:trPr>
          <w:trHeight w:val="281" w:hRule="exact"/>
        </w:trPr>
        <w:tc>
          <w:tcPr>
            <w:tcW w:w="1810" w:type="dxa"/>
            <w:vMerge/>
            <w:tcBorders>
              <w:left w:val="single" w:sz="4" w:space="0" w:color="000000"/>
              <w:bottom w:val="single" w:sz="4" w:space="0" w:color="000000"/>
              <w:right w:val="single" w:sz="4" w:space="0" w:color="000000"/>
            </w:tcBorders>
          </w:tcPr>
          <w:p>
            <w:pP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83" w:right="0"/>
              <w:jc w:val="left"/>
              <w:rPr>
                <w:rFonts w:ascii="宋体" w:hAnsi="宋体" w:cs="宋体" w:eastAsia="宋体" w:hint="default"/>
                <w:sz w:val="21"/>
                <w:szCs w:val="21"/>
              </w:rPr>
            </w:pPr>
            <w:r>
              <w:rPr>
                <w:rFonts w:ascii="宋体" w:hAnsi="宋体" w:cs="宋体" w:eastAsia="宋体" w:hint="default"/>
                <w:sz w:val="21"/>
                <w:szCs w:val="21"/>
              </w:rPr>
              <w:t>变更前</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83" w:right="0"/>
              <w:jc w:val="left"/>
              <w:rPr>
                <w:rFonts w:ascii="宋体" w:hAnsi="宋体" w:cs="宋体" w:eastAsia="宋体" w:hint="default"/>
                <w:sz w:val="21"/>
                <w:szCs w:val="21"/>
              </w:rPr>
            </w:pPr>
            <w:r>
              <w:rPr>
                <w:rFonts w:ascii="宋体" w:hAnsi="宋体" w:cs="宋体" w:eastAsia="宋体" w:hint="default"/>
                <w:sz w:val="21"/>
                <w:szCs w:val="21"/>
              </w:rPr>
              <w:t>变更后</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83" w:right="0"/>
              <w:jc w:val="left"/>
              <w:rPr>
                <w:rFonts w:ascii="宋体" w:hAnsi="宋体" w:cs="宋体" w:eastAsia="宋体" w:hint="default"/>
                <w:sz w:val="21"/>
                <w:szCs w:val="21"/>
              </w:rPr>
            </w:pPr>
            <w:r>
              <w:rPr>
                <w:rFonts w:ascii="宋体" w:hAnsi="宋体" w:cs="宋体" w:eastAsia="宋体" w:hint="default"/>
                <w:sz w:val="21"/>
                <w:szCs w:val="21"/>
              </w:rPr>
              <w:t>变更前</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83" w:right="0"/>
              <w:jc w:val="left"/>
              <w:rPr>
                <w:rFonts w:ascii="宋体" w:hAnsi="宋体" w:cs="宋体" w:eastAsia="宋体" w:hint="default"/>
                <w:sz w:val="21"/>
                <w:szCs w:val="21"/>
              </w:rPr>
            </w:pPr>
            <w:r>
              <w:rPr>
                <w:rFonts w:ascii="宋体" w:hAnsi="宋体" w:cs="宋体" w:eastAsia="宋体" w:hint="default"/>
                <w:sz w:val="21"/>
                <w:szCs w:val="21"/>
              </w:rPr>
              <w:t>变更后</w:t>
            </w:r>
          </w:p>
        </w:tc>
      </w:tr>
      <w:tr>
        <w:trPr>
          <w:trHeight w:val="283" w:hRule="exact"/>
        </w:trPr>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其他收益</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w w:val="100"/>
                <w:sz w:val="21"/>
              </w:rPr>
              <w:t>-</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387,312,627</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w w:val="100"/>
                <w:sz w:val="21"/>
              </w:rPr>
              <w:t>-</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w w:val="100"/>
                <w:sz w:val="21"/>
              </w:rPr>
              <w:t>-</w:t>
            </w:r>
          </w:p>
        </w:tc>
      </w:tr>
      <w:tr>
        <w:trPr>
          <w:trHeight w:val="555" w:hRule="exact"/>
        </w:trPr>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资产</w:t>
            </w:r>
            <w:r>
              <w:rPr>
                <w:rFonts w:ascii="宋体" w:hAnsi="宋体" w:cs="宋体" w:eastAsia="宋体" w:hint="default"/>
                <w:spacing w:val="-3"/>
                <w:w w:val="100"/>
                <w:sz w:val="21"/>
                <w:szCs w:val="21"/>
              </w:rPr>
              <w:t>处</w:t>
            </w:r>
            <w:r>
              <w:rPr>
                <w:rFonts w:ascii="宋体" w:hAnsi="宋体" w:cs="宋体" w:eastAsia="宋体" w:hint="default"/>
                <w:w w:val="100"/>
                <w:sz w:val="21"/>
                <w:szCs w:val="21"/>
              </w:rPr>
              <w:t>置</w:t>
            </w:r>
            <w:r>
              <w:rPr>
                <w:rFonts w:ascii="宋体" w:hAnsi="宋体" w:cs="宋体" w:eastAsia="宋体" w:hint="default"/>
                <w:spacing w:val="-3"/>
                <w:w w:val="100"/>
                <w:sz w:val="21"/>
                <w:szCs w:val="21"/>
              </w:rPr>
              <w:t>收</w:t>
            </w:r>
            <w:r>
              <w:rPr>
                <w:rFonts w:ascii="宋体" w:hAnsi="宋体" w:cs="宋体" w:eastAsia="宋体" w:hint="default"/>
                <w:spacing w:val="-89"/>
                <w:w w:val="100"/>
                <w:sz w:val="21"/>
                <w:szCs w:val="21"/>
              </w:rPr>
              <w:t>益</w:t>
            </w:r>
            <w:r>
              <w:rPr>
                <w:rFonts w:ascii="宋体" w:hAnsi="宋体" w:cs="宋体" w:eastAsia="宋体" w:hint="default"/>
                <w:w w:val="100"/>
                <w:sz w:val="21"/>
                <w:szCs w:val="21"/>
              </w:rPr>
              <w:t>（损</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失）</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01"/>
              <w:jc w:val="right"/>
              <w:rPr>
                <w:rFonts w:ascii="宋体" w:hAnsi="宋体" w:cs="宋体" w:eastAsia="宋体" w:hint="default"/>
                <w:sz w:val="21"/>
                <w:szCs w:val="21"/>
              </w:rPr>
            </w:pPr>
            <w:r>
              <w:rPr>
                <w:rFonts w:ascii="宋体"/>
                <w:w w:val="100"/>
                <w:sz w:val="21"/>
              </w:rPr>
              <w:t>-</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99"/>
              <w:jc w:val="right"/>
              <w:rPr>
                <w:rFonts w:ascii="宋体" w:hAnsi="宋体" w:cs="宋体" w:eastAsia="宋体" w:hint="default"/>
                <w:sz w:val="21"/>
                <w:szCs w:val="21"/>
              </w:rPr>
            </w:pPr>
            <w:r>
              <w:rPr>
                <w:rFonts w:ascii="宋体"/>
                <w:spacing w:val="-1"/>
                <w:sz w:val="21"/>
              </w:rPr>
              <w:t>405,547</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01"/>
              <w:jc w:val="right"/>
              <w:rPr>
                <w:rFonts w:ascii="宋体" w:hAnsi="宋体" w:cs="宋体" w:eastAsia="宋体" w:hint="default"/>
                <w:sz w:val="21"/>
                <w:szCs w:val="21"/>
              </w:rPr>
            </w:pPr>
            <w:r>
              <w:rPr>
                <w:rFonts w:ascii="宋体"/>
                <w:w w:val="100"/>
                <w:sz w:val="21"/>
              </w:rPr>
              <w:t>-</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98"/>
              <w:jc w:val="right"/>
              <w:rPr>
                <w:rFonts w:ascii="宋体" w:hAnsi="宋体" w:cs="宋体" w:eastAsia="宋体" w:hint="default"/>
                <w:sz w:val="21"/>
                <w:szCs w:val="21"/>
              </w:rPr>
            </w:pPr>
            <w:r>
              <w:rPr>
                <w:rFonts w:ascii="宋体"/>
                <w:spacing w:val="-1"/>
                <w:sz w:val="21"/>
              </w:rPr>
              <w:t>-145,294</w:t>
            </w:r>
          </w:p>
        </w:tc>
      </w:tr>
      <w:tr>
        <w:trPr>
          <w:trHeight w:val="283" w:hRule="exact"/>
        </w:trPr>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营业外收入</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406,681,959</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17,707,394</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362,315,465</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361,254,728</w:t>
            </w:r>
          </w:p>
        </w:tc>
      </w:tr>
      <w:tr>
        <w:trPr>
          <w:trHeight w:val="283" w:hRule="exact"/>
        </w:trPr>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营业外支出</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9,360,331</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8,103,940</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15,442,848</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14,236,817</w:t>
            </w:r>
          </w:p>
        </w:tc>
      </w:tr>
    </w:tbl>
    <w:p>
      <w:pPr>
        <w:spacing w:line="240" w:lineRule="auto" w:before="13"/>
        <w:rPr>
          <w:rFonts w:ascii="宋体" w:hAnsi="宋体" w:cs="宋体" w:eastAsia="宋体" w:hint="default"/>
          <w:sz w:val="12"/>
          <w:szCs w:val="12"/>
        </w:rPr>
      </w:pPr>
    </w:p>
    <w:p>
      <w:pPr>
        <w:pStyle w:val="Heading3"/>
        <w:spacing w:line="240" w:lineRule="auto" w:before="36"/>
        <w:ind w:right="99"/>
        <w:jc w:val="left"/>
        <w:rPr>
          <w:b w:val="0"/>
          <w:bCs w:val="0"/>
        </w:rPr>
      </w:pPr>
      <w:r>
        <w:rPr>
          <w:rFonts w:ascii="宋体" w:hAnsi="宋体" w:cs="宋体" w:eastAsia="宋体" w:hint="default"/>
        </w:rPr>
        <w:t>2</w:t>
      </w:r>
      <w:r>
        <w:rPr/>
        <w:t>、会计估计变更</w:t>
      </w:r>
      <w:r>
        <w:rPr>
          <w:b w:val="0"/>
          <w:bCs w:val="0"/>
        </w:rPr>
      </w:r>
    </w:p>
    <w:p>
      <w:pPr>
        <w:spacing w:line="240" w:lineRule="auto" w:before="5"/>
        <w:rPr>
          <w:rFonts w:ascii="宋体" w:hAnsi="宋体" w:cs="宋体" w:eastAsia="宋体" w:hint="default"/>
          <w:b/>
          <w:bCs/>
          <w:sz w:val="19"/>
          <w:szCs w:val="19"/>
        </w:rPr>
      </w:pPr>
    </w:p>
    <w:p>
      <w:pPr>
        <w:pStyle w:val="BodyText"/>
        <w:spacing w:line="297" w:lineRule="auto"/>
        <w:ind w:right="229" w:firstLine="419"/>
        <w:jc w:val="both"/>
      </w:pPr>
      <w:r>
        <w:rPr>
          <w:rFonts w:ascii="宋体" w:hAnsi="宋体" w:cs="宋体" w:eastAsia="宋体" w:hint="default"/>
        </w:rPr>
        <w:t>2017</w:t>
      </w:r>
      <w:r>
        <w:rPr>
          <w:rFonts w:ascii="宋体" w:hAnsi="宋体" w:cs="宋体" w:eastAsia="宋体" w:hint="default"/>
          <w:spacing w:val="-45"/>
        </w:rPr>
        <w:t> </w:t>
      </w:r>
      <w:r>
        <w:rPr/>
        <w:t>年</w:t>
      </w:r>
      <w:r>
        <w:rPr>
          <w:spacing w:val="-43"/>
        </w:rPr>
        <w:t> </w:t>
      </w:r>
      <w:r>
        <w:rPr>
          <w:rFonts w:ascii="宋体" w:hAnsi="宋体" w:cs="宋体" w:eastAsia="宋体" w:hint="default"/>
        </w:rPr>
        <w:t>12</w:t>
      </w:r>
      <w:r>
        <w:rPr>
          <w:rFonts w:ascii="宋体" w:hAnsi="宋体" w:cs="宋体" w:eastAsia="宋体" w:hint="default"/>
          <w:spacing w:val="-43"/>
        </w:rPr>
        <w:t> </w:t>
      </w:r>
      <w:r>
        <w:rPr/>
        <w:t>月</w:t>
      </w:r>
      <w:r>
        <w:rPr>
          <w:spacing w:val="-45"/>
        </w:rPr>
        <w:t> </w:t>
      </w:r>
      <w:r>
        <w:rPr>
          <w:rFonts w:ascii="宋体" w:hAnsi="宋体" w:cs="宋体" w:eastAsia="宋体" w:hint="default"/>
        </w:rPr>
        <w:t>18</w:t>
      </w:r>
      <w:r>
        <w:rPr>
          <w:rFonts w:ascii="宋体" w:hAnsi="宋体" w:cs="宋体" w:eastAsia="宋体" w:hint="default"/>
          <w:spacing w:val="-45"/>
        </w:rPr>
        <w:t> </w:t>
      </w:r>
      <w:r>
        <w:rPr/>
        <w:t>日，公司召开第七届董事会</w:t>
      </w:r>
      <w:r>
        <w:rPr>
          <w:spacing w:val="-43"/>
        </w:rPr>
        <w:t> </w:t>
      </w:r>
      <w:r>
        <w:rPr>
          <w:rFonts w:ascii="宋体" w:hAnsi="宋体" w:cs="宋体" w:eastAsia="宋体" w:hint="default"/>
        </w:rPr>
        <w:t>2017</w:t>
      </w:r>
      <w:r>
        <w:rPr>
          <w:rFonts w:ascii="宋体" w:hAnsi="宋体" w:cs="宋体" w:eastAsia="宋体" w:hint="default"/>
          <w:spacing w:val="-46"/>
        </w:rPr>
        <w:t> </w:t>
      </w:r>
      <w:r>
        <w:rPr/>
        <w:t>年第十五次会议，会议审议通过了《关于</w:t>
      </w:r>
      <w:r>
        <w:rPr>
          <w:w w:val="100"/>
        </w:rPr>
        <w:t> </w:t>
      </w:r>
      <w:r>
        <w:rPr>
          <w:spacing w:val="-1"/>
        </w:rPr>
        <w:t>会计估计变更的议案》。为使无形资产后续计量更加合理和规范，根据《企业会计准则》等相关</w:t>
      </w:r>
      <w:r>
        <w:rPr>
          <w:spacing w:val="-55"/>
        </w:rPr>
        <w:t> </w:t>
      </w:r>
      <w:r>
        <w:rPr>
          <w:spacing w:val="-55"/>
        </w:rPr>
      </w:r>
      <w:r>
        <w:rPr/>
        <w:t>规定，公司决定无形资产中软件使用权摊销年限由</w:t>
      </w:r>
      <w:r>
        <w:rPr>
          <w:spacing w:val="-52"/>
        </w:rPr>
        <w:t> </w:t>
      </w:r>
      <w:r>
        <w:rPr>
          <w:rFonts w:ascii="宋体" w:hAnsi="宋体" w:cs="宋体" w:eastAsia="宋体" w:hint="default"/>
        </w:rPr>
        <w:t>10</w:t>
      </w:r>
      <w:r>
        <w:rPr>
          <w:rFonts w:ascii="宋体" w:hAnsi="宋体" w:cs="宋体" w:eastAsia="宋体" w:hint="default"/>
          <w:spacing w:val="-50"/>
        </w:rPr>
        <w:t> </w:t>
      </w:r>
      <w:r>
        <w:rPr/>
        <w:t>年调整为</w:t>
      </w:r>
      <w:r>
        <w:rPr>
          <w:spacing w:val="-50"/>
        </w:rPr>
        <w:t> </w:t>
      </w:r>
      <w:r>
        <w:rPr>
          <w:rFonts w:ascii="宋体" w:hAnsi="宋体" w:cs="宋体" w:eastAsia="宋体" w:hint="default"/>
        </w:rPr>
        <w:t>10</w:t>
      </w:r>
      <w:r>
        <w:rPr>
          <w:rFonts w:ascii="宋体" w:hAnsi="宋体" w:cs="宋体" w:eastAsia="宋体" w:hint="default"/>
          <w:spacing w:val="-53"/>
        </w:rPr>
        <w:t> </w:t>
      </w:r>
      <w:r>
        <w:rPr/>
        <w:t>年或按合同规定的年限，其他</w:t>
      </w:r>
      <w:r>
        <w:rPr>
          <w:w w:val="100"/>
        </w:rPr>
        <w:t> </w:t>
      </w:r>
      <w:r>
        <w:rPr/>
        <w:t>情况均不发生变化。</w:t>
      </w:r>
    </w:p>
    <w:p>
      <w:pPr>
        <w:pStyle w:val="Heading3"/>
        <w:spacing w:line="240" w:lineRule="auto" w:before="136"/>
        <w:ind w:right="99"/>
        <w:jc w:val="left"/>
        <w:rPr>
          <w:b w:val="0"/>
          <w:bCs w:val="0"/>
        </w:rPr>
      </w:pPr>
      <w:r>
        <w:rPr/>
        <w:t>（</w:t>
      </w:r>
      <w:r>
        <w:rPr>
          <w:rFonts w:ascii="宋体" w:hAnsi="宋体" w:cs="宋体" w:eastAsia="宋体" w:hint="default"/>
        </w:rPr>
        <w:t>1</w:t>
      </w:r>
      <w:r>
        <w:rPr/>
        <w:t>）、会计估计变更的原因及概述</w:t>
      </w:r>
      <w:r>
        <w:rPr>
          <w:b w:val="0"/>
          <w:bCs w:val="0"/>
        </w:rPr>
      </w:r>
    </w:p>
    <w:p>
      <w:pPr>
        <w:spacing w:after="0" w:line="240" w:lineRule="auto"/>
        <w:jc w:val="left"/>
        <w:sectPr>
          <w:pgSz w:w="11910" w:h="16840"/>
          <w:pgMar w:header="855" w:footer="1195" w:top="1320" w:bottom="1380" w:left="1580" w:right="1040"/>
        </w:sectPr>
      </w:pPr>
    </w:p>
    <w:p>
      <w:pPr>
        <w:spacing w:line="240" w:lineRule="auto" w:before="4"/>
        <w:rPr>
          <w:rFonts w:ascii="宋体" w:hAnsi="宋体" w:cs="宋体" w:eastAsia="宋体" w:hint="default"/>
          <w:b/>
          <w:bCs/>
          <w:sz w:val="9"/>
          <w:szCs w:val="9"/>
        </w:rPr>
      </w:pPr>
    </w:p>
    <w:p>
      <w:pPr>
        <w:pStyle w:val="BodyText"/>
        <w:spacing w:line="297" w:lineRule="auto" w:before="36"/>
        <w:ind w:right="148" w:firstLine="419"/>
        <w:jc w:val="both"/>
      </w:pPr>
      <w:r>
        <w:rPr>
          <w:spacing w:val="-2"/>
        </w:rPr>
        <w:t>目前公司的无形资产摊销政策将无形资产按照性质分类为土地使用权、软件著作权、软件使</w:t>
      </w:r>
      <w:r>
        <w:rPr>
          <w:w w:val="100"/>
        </w:rPr>
        <w:t> </w:t>
      </w:r>
      <w:r>
        <w:rPr/>
        <w:t>用权、云应用系统平台四大类，摊销年限分别为</w:t>
      </w:r>
      <w:r>
        <w:rPr>
          <w:spacing w:val="-41"/>
        </w:rPr>
        <w:t> </w:t>
      </w:r>
      <w:r>
        <w:rPr>
          <w:rFonts w:ascii="宋体" w:hAnsi="宋体" w:cs="宋体" w:eastAsia="宋体" w:hint="default"/>
        </w:rPr>
        <w:t>50</w:t>
      </w:r>
      <w:r>
        <w:rPr>
          <w:rFonts w:ascii="宋体" w:hAnsi="宋体" w:cs="宋体" w:eastAsia="宋体" w:hint="default"/>
          <w:spacing w:val="-43"/>
        </w:rPr>
        <w:t> </w:t>
      </w:r>
      <w:r>
        <w:rPr/>
        <w:t>年、</w:t>
      </w:r>
      <w:r>
        <w:rPr>
          <w:rFonts w:ascii="宋体" w:hAnsi="宋体" w:cs="宋体" w:eastAsia="宋体" w:hint="default"/>
        </w:rPr>
        <w:t>5-10</w:t>
      </w:r>
      <w:r>
        <w:rPr>
          <w:rFonts w:ascii="宋体" w:hAnsi="宋体" w:cs="宋体" w:eastAsia="宋体" w:hint="default"/>
          <w:spacing w:val="-41"/>
        </w:rPr>
        <w:t> </w:t>
      </w:r>
      <w:r>
        <w:rPr/>
        <w:t>年、</w:t>
      </w:r>
      <w:r>
        <w:rPr>
          <w:rFonts w:ascii="宋体" w:hAnsi="宋体" w:cs="宋体" w:eastAsia="宋体" w:hint="default"/>
        </w:rPr>
        <w:t>10</w:t>
      </w:r>
      <w:r>
        <w:rPr>
          <w:rFonts w:ascii="宋体" w:hAnsi="宋体" w:cs="宋体" w:eastAsia="宋体" w:hint="default"/>
          <w:spacing w:val="-41"/>
        </w:rPr>
        <w:t> </w:t>
      </w:r>
      <w:r>
        <w:rPr/>
        <w:t>年、</w:t>
      </w:r>
      <w:r>
        <w:rPr>
          <w:rFonts w:ascii="宋体" w:hAnsi="宋体" w:cs="宋体" w:eastAsia="宋体" w:hint="default"/>
        </w:rPr>
        <w:t>5</w:t>
      </w:r>
      <w:r>
        <w:rPr>
          <w:rFonts w:ascii="宋体" w:hAnsi="宋体" w:cs="宋体" w:eastAsia="宋体" w:hint="default"/>
          <w:spacing w:val="-41"/>
        </w:rPr>
        <w:t> </w:t>
      </w:r>
      <w:r>
        <w:rPr/>
        <w:t>年；软件使用权大类</w:t>
      </w:r>
      <w:r>
        <w:rPr>
          <w:w w:val="100"/>
        </w:rPr>
        <w:t> </w:t>
      </w:r>
      <w:r>
        <w:rPr>
          <w:spacing w:val="-1"/>
        </w:rPr>
        <w:t>中未做细分。随着目前公司业务发展需要，公司从外部购买的软件使用权增多，部分采购合同中</w:t>
      </w:r>
      <w:r>
        <w:rPr>
          <w:spacing w:val="-55"/>
        </w:rPr>
        <w:t> </w:t>
      </w:r>
      <w:r>
        <w:rPr>
          <w:spacing w:val="-55"/>
        </w:rPr>
      </w:r>
      <w:r>
        <w:rPr>
          <w:spacing w:val="-1"/>
        </w:rPr>
        <w:t>明确规定了使用期限，按照《企业会计准则》规定，无形资产使用寿命不应超过源自合同性权利</w:t>
      </w:r>
      <w:r>
        <w:rPr>
          <w:spacing w:val="-55"/>
        </w:rPr>
        <w:t> </w:t>
      </w:r>
      <w:r>
        <w:rPr>
          <w:spacing w:val="-55"/>
        </w:rPr>
      </w:r>
      <w:r>
        <w:rPr>
          <w:spacing w:val="-4"/>
          <w:w w:val="100"/>
        </w:rPr>
        <w:t>或其他法定权利的期限。因此这部分有明确使用期间的外购软件使用权的摊销不再适用于</w:t>
      </w:r>
      <w:r>
        <w:rPr>
          <w:spacing w:val="-49"/>
          <w:w w:val="100"/>
        </w:rPr>
        <w:t> </w:t>
      </w:r>
      <w:r>
        <w:rPr>
          <w:rFonts w:ascii="宋体" w:hAnsi="宋体" w:cs="宋体" w:eastAsia="宋体" w:hint="default"/>
          <w:w w:val="100"/>
        </w:rPr>
        <w:t>10</w:t>
      </w:r>
      <w:r>
        <w:rPr>
          <w:rFonts w:ascii="宋体" w:hAnsi="宋体" w:cs="宋体" w:eastAsia="宋体" w:hint="default"/>
          <w:spacing w:val="-51"/>
          <w:w w:val="100"/>
        </w:rPr>
        <w:t> </w:t>
      </w:r>
      <w:r>
        <w:rPr>
          <w:spacing w:val="-3"/>
          <w:w w:val="100"/>
        </w:rPr>
        <w:t>年摊</w:t>
      </w:r>
      <w:r>
        <w:rPr>
          <w:w w:val="100"/>
        </w:rPr>
      </w:r>
    </w:p>
    <w:p>
      <w:pPr>
        <w:pStyle w:val="BodyText"/>
        <w:spacing w:line="240" w:lineRule="auto" w:before="15"/>
        <w:ind w:right="0"/>
        <w:jc w:val="left"/>
      </w:pPr>
      <w:r>
        <w:rPr>
          <w:spacing w:val="-4"/>
        </w:rPr>
        <w:t>销，应当进行调整。为完善公司无形资产摊销的年限估计，公司拟自</w:t>
      </w:r>
      <w:r>
        <w:rPr>
          <w:spacing w:val="-45"/>
        </w:rPr>
        <w:t> </w:t>
      </w:r>
      <w:r>
        <w:rPr>
          <w:rFonts w:ascii="宋体" w:hAnsi="宋体" w:cs="宋体" w:eastAsia="宋体" w:hint="default"/>
        </w:rPr>
        <w:t>2017</w:t>
      </w:r>
      <w:r>
        <w:rPr>
          <w:rFonts w:ascii="宋体" w:hAnsi="宋体" w:cs="宋体" w:eastAsia="宋体" w:hint="default"/>
          <w:spacing w:val="-45"/>
        </w:rPr>
        <w:t> </w:t>
      </w:r>
      <w:r>
        <w:rPr/>
        <w:t>年</w:t>
      </w:r>
      <w:r>
        <w:rPr>
          <w:spacing w:val="-47"/>
        </w:rPr>
        <w:t> </w:t>
      </w:r>
      <w:r>
        <w:rPr>
          <w:rFonts w:ascii="宋体" w:hAnsi="宋体" w:cs="宋体" w:eastAsia="宋体" w:hint="default"/>
        </w:rPr>
        <w:t>1</w:t>
      </w:r>
      <w:r>
        <w:rPr>
          <w:rFonts w:ascii="宋体" w:hAnsi="宋体" w:cs="宋体" w:eastAsia="宋体" w:hint="default"/>
          <w:spacing w:val="-43"/>
        </w:rPr>
        <w:t> </w:t>
      </w:r>
      <w:r>
        <w:rPr/>
        <w:t>月</w:t>
      </w:r>
      <w:r>
        <w:rPr>
          <w:spacing w:val="-45"/>
        </w:rPr>
        <w:t> </w:t>
      </w:r>
      <w:r>
        <w:rPr>
          <w:rFonts w:ascii="宋体" w:hAnsi="宋体" w:cs="宋体" w:eastAsia="宋体" w:hint="default"/>
        </w:rPr>
        <w:t>1</w:t>
      </w:r>
      <w:r>
        <w:rPr>
          <w:rFonts w:ascii="宋体" w:hAnsi="宋体" w:cs="宋体" w:eastAsia="宋体" w:hint="default"/>
          <w:spacing w:val="-47"/>
        </w:rPr>
        <w:t> </w:t>
      </w:r>
      <w:r>
        <w:rPr>
          <w:spacing w:val="-5"/>
        </w:rPr>
        <w:t>日起，将无形</w:t>
      </w:r>
    </w:p>
    <w:p>
      <w:pPr>
        <w:pStyle w:val="BodyText"/>
        <w:spacing w:line="240" w:lineRule="auto" w:before="63"/>
        <w:ind w:right="147"/>
        <w:jc w:val="left"/>
      </w:pPr>
      <w:r>
        <w:rPr/>
        <w:t>资产中软件使用权摊销年限由</w:t>
      </w:r>
      <w:r>
        <w:rPr>
          <w:spacing w:val="-54"/>
        </w:rPr>
        <w:t> </w:t>
      </w:r>
      <w:r>
        <w:rPr>
          <w:rFonts w:ascii="宋体" w:hAnsi="宋体" w:cs="宋体" w:eastAsia="宋体" w:hint="default"/>
        </w:rPr>
        <w:t>10</w:t>
      </w:r>
      <w:r>
        <w:rPr>
          <w:rFonts w:ascii="宋体" w:hAnsi="宋体" w:cs="宋体" w:eastAsia="宋体" w:hint="default"/>
          <w:spacing w:val="-54"/>
        </w:rPr>
        <w:t> </w:t>
      </w:r>
      <w:r>
        <w:rPr/>
        <w:t>年调整为</w:t>
      </w:r>
      <w:r>
        <w:rPr>
          <w:spacing w:val="-54"/>
        </w:rPr>
        <w:t> </w:t>
      </w:r>
      <w:r>
        <w:rPr>
          <w:rFonts w:ascii="宋体" w:hAnsi="宋体" w:cs="宋体" w:eastAsia="宋体" w:hint="default"/>
        </w:rPr>
        <w:t>10</w:t>
      </w:r>
      <w:r>
        <w:rPr>
          <w:rFonts w:ascii="宋体" w:hAnsi="宋体" w:cs="宋体" w:eastAsia="宋体" w:hint="default"/>
          <w:spacing w:val="-56"/>
        </w:rPr>
        <w:t> </w:t>
      </w:r>
      <w:r>
        <w:rPr/>
        <w:t>年或按合同规定年限，其他情况均不发生变化。</w:t>
      </w:r>
    </w:p>
    <w:p>
      <w:pPr>
        <w:spacing w:line="240" w:lineRule="auto" w:before="3"/>
        <w:rPr>
          <w:rFonts w:ascii="宋体" w:hAnsi="宋体" w:cs="宋体" w:eastAsia="宋体" w:hint="default"/>
          <w:sz w:val="14"/>
          <w:szCs w:val="14"/>
        </w:rPr>
      </w:pPr>
    </w:p>
    <w:p>
      <w:pPr>
        <w:spacing w:line="357" w:lineRule="auto" w:before="0"/>
        <w:ind w:left="218" w:right="2836"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）、会计估计变更的内容</w:t>
      </w:r>
      <w:r>
        <w:rPr>
          <w:rFonts w:ascii="宋体" w:hAnsi="宋体" w:cs="宋体" w:eastAsia="宋体" w:hint="default"/>
          <w:b/>
          <w:bCs/>
          <w:w w:val="100"/>
          <w:sz w:val="21"/>
          <w:szCs w:val="21"/>
        </w:rPr>
        <w:t> </w:t>
      </w:r>
      <w:r>
        <w:rPr>
          <w:rFonts w:ascii="宋体" w:hAnsi="宋体" w:cs="宋体" w:eastAsia="宋体" w:hint="default"/>
          <w:spacing w:val="-2"/>
          <w:sz w:val="21"/>
          <w:szCs w:val="21"/>
        </w:rPr>
        <w:t>公司无形资产摊销年限调整前后比较表</w:t>
      </w:r>
    </w:p>
    <w:p>
      <w:pPr>
        <w:spacing w:line="240" w:lineRule="auto" w:before="12"/>
        <w:rPr>
          <w:rFonts w:ascii="宋体" w:hAnsi="宋体" w:cs="宋体" w:eastAsia="宋体" w:hint="default"/>
          <w:sz w:val="4"/>
          <w:szCs w:val="4"/>
        </w:rPr>
      </w:pPr>
    </w:p>
    <w:tbl>
      <w:tblPr>
        <w:tblW w:w="0" w:type="auto"/>
        <w:jc w:val="left"/>
        <w:tblInd w:w="105" w:type="dxa"/>
        <w:tblLayout w:type="fixed"/>
        <w:tblCellMar>
          <w:top w:w="0" w:type="dxa"/>
          <w:left w:w="0" w:type="dxa"/>
          <w:bottom w:w="0" w:type="dxa"/>
          <w:right w:w="0" w:type="dxa"/>
        </w:tblCellMar>
        <w:tblLook w:val="01E0"/>
      </w:tblPr>
      <w:tblGrid>
        <w:gridCol w:w="2840"/>
        <w:gridCol w:w="2842"/>
        <w:gridCol w:w="2842"/>
      </w:tblGrid>
      <w:tr>
        <w:trPr>
          <w:trHeight w:val="418" w:hRule="exact"/>
        </w:trPr>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类别</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调整前摊销年限</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调整后摊销年限</w:t>
            </w:r>
          </w:p>
        </w:tc>
      </w:tr>
      <w:tr>
        <w:trPr>
          <w:trHeight w:val="420" w:hRule="exact"/>
        </w:trPr>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50</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50</w:t>
            </w:r>
            <w:r>
              <w:rPr>
                <w:rFonts w:ascii="宋体" w:hAnsi="宋体" w:cs="宋体" w:eastAsia="宋体" w:hint="default"/>
                <w:spacing w:val="-51"/>
                <w:sz w:val="21"/>
                <w:szCs w:val="21"/>
              </w:rPr>
              <w:t> </w:t>
            </w:r>
            <w:r>
              <w:rPr>
                <w:rFonts w:ascii="宋体" w:hAnsi="宋体" w:cs="宋体" w:eastAsia="宋体" w:hint="default"/>
                <w:sz w:val="21"/>
                <w:szCs w:val="21"/>
              </w:rPr>
              <w:t>年</w:t>
            </w:r>
          </w:p>
        </w:tc>
      </w:tr>
      <w:tr>
        <w:trPr>
          <w:trHeight w:val="418" w:hRule="exact"/>
        </w:trPr>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软件著作权</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5-10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5-10</w:t>
            </w:r>
            <w:r>
              <w:rPr>
                <w:rFonts w:ascii="宋体" w:hAnsi="宋体" w:cs="宋体" w:eastAsia="宋体" w:hint="default"/>
                <w:spacing w:val="-52"/>
                <w:sz w:val="21"/>
                <w:szCs w:val="21"/>
              </w:rPr>
              <w:t> </w:t>
            </w:r>
            <w:r>
              <w:rPr>
                <w:rFonts w:ascii="宋体" w:hAnsi="宋体" w:cs="宋体" w:eastAsia="宋体" w:hint="default"/>
                <w:sz w:val="21"/>
                <w:szCs w:val="21"/>
              </w:rPr>
              <w:t>年</w:t>
            </w:r>
          </w:p>
        </w:tc>
      </w:tr>
      <w:tr>
        <w:trPr>
          <w:trHeight w:val="418" w:hRule="exact"/>
        </w:trPr>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软件使用权</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5"/>
                <w:sz w:val="21"/>
                <w:szCs w:val="21"/>
              </w:rPr>
              <w:t> </w:t>
            </w:r>
            <w:r>
              <w:rPr>
                <w:rFonts w:ascii="宋体" w:hAnsi="宋体" w:cs="宋体" w:eastAsia="宋体" w:hint="default"/>
                <w:sz w:val="21"/>
                <w:szCs w:val="21"/>
              </w:rPr>
              <w:t>年或按合同规定的年限</w:t>
            </w:r>
          </w:p>
        </w:tc>
      </w:tr>
      <w:tr>
        <w:trPr>
          <w:trHeight w:val="420" w:hRule="exact"/>
        </w:trPr>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云应用系统平台</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w:t>
            </w:r>
          </w:p>
        </w:tc>
      </w:tr>
    </w:tbl>
    <w:p>
      <w:pPr>
        <w:pStyle w:val="BodyText"/>
        <w:spacing w:line="241" w:lineRule="exact"/>
        <w:ind w:right="0"/>
        <w:jc w:val="both"/>
      </w:pPr>
      <w:r>
        <w:rPr/>
        <w:t>本次无形资产摊销年限变更自</w:t>
      </w:r>
      <w:r>
        <w:rPr>
          <w:spacing w:val="-53"/>
        </w:rPr>
        <w:t> </w:t>
      </w:r>
      <w:r>
        <w:rPr>
          <w:rFonts w:ascii="宋体" w:hAnsi="宋体" w:cs="宋体" w:eastAsia="宋体" w:hint="default"/>
        </w:rPr>
        <w:t>2017</w:t>
      </w:r>
      <w:r>
        <w:rPr>
          <w:rFonts w:ascii="宋体" w:hAnsi="宋体" w:cs="宋体" w:eastAsia="宋体" w:hint="default"/>
          <w:spacing w:val="-55"/>
        </w:rPr>
        <w:t> </w:t>
      </w:r>
      <w:r>
        <w:rPr/>
        <w:t>年</w:t>
      </w:r>
      <w:r>
        <w:rPr>
          <w:spacing w:val="-53"/>
        </w:rPr>
        <w:t> </w:t>
      </w:r>
      <w:r>
        <w:rPr>
          <w:rFonts w:ascii="宋体" w:hAnsi="宋体" w:cs="宋体" w:eastAsia="宋体" w:hint="default"/>
        </w:rPr>
        <w:t>1</w:t>
      </w:r>
      <w:r>
        <w:rPr>
          <w:rFonts w:ascii="宋体" w:hAnsi="宋体" w:cs="宋体" w:eastAsia="宋体" w:hint="default"/>
          <w:spacing w:val="-55"/>
        </w:rPr>
        <w:t> </w:t>
      </w:r>
      <w:r>
        <w:rPr/>
        <w:t>月</w:t>
      </w:r>
      <w:r>
        <w:rPr>
          <w:spacing w:val="-53"/>
        </w:rPr>
        <w:t> </w:t>
      </w:r>
      <w:r>
        <w:rPr>
          <w:rFonts w:ascii="宋体" w:hAnsi="宋体" w:cs="宋体" w:eastAsia="宋体" w:hint="default"/>
        </w:rPr>
        <w:t>1</w:t>
      </w:r>
      <w:r>
        <w:rPr>
          <w:rFonts w:ascii="宋体" w:hAnsi="宋体" w:cs="宋体" w:eastAsia="宋体" w:hint="default"/>
          <w:spacing w:val="-55"/>
        </w:rPr>
        <w:t> </w:t>
      </w:r>
      <w:r>
        <w:rPr/>
        <w:t>日始执行。</w:t>
      </w:r>
    </w:p>
    <w:p>
      <w:pPr>
        <w:spacing w:line="460" w:lineRule="auto" w:before="133"/>
        <w:ind w:left="218" w:right="362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）、本次会计估计变更对公司的影响</w:t>
      </w:r>
      <w:r>
        <w:rPr>
          <w:rFonts w:ascii="宋体" w:hAnsi="宋体" w:cs="宋体" w:eastAsia="宋体" w:hint="default"/>
          <w:b/>
          <w:bCs/>
          <w:w w:val="100"/>
          <w:sz w:val="21"/>
          <w:szCs w:val="21"/>
        </w:rPr>
        <w:t> </w:t>
      </w:r>
      <w:r>
        <w:rPr>
          <w:rFonts w:ascii="宋体" w:hAnsi="宋体" w:cs="宋体" w:eastAsia="宋体" w:hint="default"/>
          <w:sz w:val="21"/>
          <w:szCs w:val="21"/>
        </w:rPr>
        <w:t>变更时间：本次会计估计变更自</w:t>
      </w:r>
      <w:r>
        <w:rPr>
          <w:rFonts w:ascii="宋体" w:hAnsi="宋体" w:cs="宋体" w:eastAsia="宋体" w:hint="default"/>
          <w:spacing w:val="-53"/>
          <w:sz w:val="21"/>
          <w:szCs w:val="21"/>
        </w:rPr>
        <w:t> </w:t>
      </w:r>
      <w:r>
        <w:rPr>
          <w:rFonts w:ascii="宋体" w:hAnsi="宋体" w:cs="宋体" w:eastAsia="宋体" w:hint="default"/>
          <w:sz w:val="21"/>
          <w:szCs w:val="21"/>
        </w:rPr>
        <w:t>2017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日起执行。</w:t>
      </w:r>
    </w:p>
    <w:p>
      <w:pPr>
        <w:pStyle w:val="BodyText"/>
        <w:spacing w:line="297" w:lineRule="auto"/>
        <w:ind w:right="148"/>
        <w:jc w:val="both"/>
      </w:pPr>
      <w:r>
        <w:rPr>
          <w:spacing w:val="-4"/>
        </w:rPr>
        <w:t>根据《企业会计准则第</w:t>
      </w:r>
      <w:r>
        <w:rPr>
          <w:spacing w:val="-25"/>
        </w:rPr>
        <w:t> </w:t>
      </w:r>
      <w:r>
        <w:rPr>
          <w:rFonts w:ascii="宋体" w:hAnsi="宋体" w:cs="宋体" w:eastAsia="宋体" w:hint="default"/>
        </w:rPr>
        <w:t>28</w:t>
      </w:r>
      <w:r>
        <w:rPr>
          <w:rFonts w:ascii="宋体" w:hAnsi="宋体" w:cs="宋体" w:eastAsia="宋体" w:hint="default"/>
          <w:spacing w:val="-30"/>
        </w:rPr>
        <w:t> </w:t>
      </w:r>
      <w:r>
        <w:rPr>
          <w:spacing w:val="-4"/>
        </w:rPr>
        <w:t>号：会计政策、会计估计变更和差错更正》有关规定，公司对上述会计</w:t>
      </w:r>
      <w:r>
        <w:rPr>
          <w:spacing w:val="-95"/>
        </w:rPr>
        <w:t> </w:t>
      </w:r>
      <w:r>
        <w:rPr>
          <w:spacing w:val="-95"/>
        </w:rPr>
      </w:r>
      <w:r>
        <w:rPr>
          <w:spacing w:val="-1"/>
        </w:rPr>
        <w:t>估计变更采用未来适用法处理，无需进行追溯调整，对以往各年度财务状况和经营成果不会产生</w:t>
      </w:r>
      <w:r>
        <w:rPr>
          <w:spacing w:val="-55"/>
        </w:rPr>
        <w:t> </w:t>
      </w:r>
      <w:r>
        <w:rPr>
          <w:spacing w:val="-55"/>
        </w:rPr>
      </w:r>
      <w:r>
        <w:rPr/>
        <w:t>影响。</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pStyle w:val="Heading3"/>
        <w:spacing w:line="240" w:lineRule="auto"/>
        <w:ind w:right="0"/>
        <w:jc w:val="both"/>
        <w:rPr>
          <w:b w:val="0"/>
          <w:bCs w:val="0"/>
        </w:rPr>
      </w:pPr>
      <w:r>
        <w:rPr/>
        <w:t>（二）</w:t>
      </w:r>
      <w:r>
        <w:rPr>
          <w:spacing w:val="99"/>
        </w:rPr>
        <w:t> </w:t>
      </w:r>
      <w:r>
        <w:rPr/>
        <w:t>公司对重大会计差错更正原因及影响的分析说明</w:t>
      </w:r>
      <w:r>
        <w:rPr>
          <w:b w:val="0"/>
          <w:bCs w:val="0"/>
        </w:rPr>
      </w:r>
    </w:p>
    <w:p>
      <w:pPr>
        <w:pStyle w:val="BodyText"/>
        <w:spacing w:line="240" w:lineRule="auto" w:before="58"/>
        <w:ind w:right="0"/>
        <w:jc w:val="both"/>
      </w:pPr>
      <w:r>
        <w:rPr/>
        <w:t>□适用</w:t>
      </w:r>
      <w:r>
        <w:rPr>
          <w:spacing w:val="104"/>
        </w:rPr>
        <w:t> </w:t>
      </w:r>
      <w:r>
        <w:rPr/>
        <w:t>√不适用</w:t>
      </w:r>
    </w:p>
    <w:p>
      <w:pPr>
        <w:spacing w:line="240" w:lineRule="auto" w:before="3"/>
        <w:rPr>
          <w:rFonts w:ascii="宋体" w:hAnsi="宋体" w:cs="宋体" w:eastAsia="宋体" w:hint="default"/>
          <w:sz w:val="25"/>
          <w:szCs w:val="25"/>
        </w:rPr>
      </w:pPr>
    </w:p>
    <w:p>
      <w:pPr>
        <w:pStyle w:val="Heading3"/>
        <w:spacing w:line="240" w:lineRule="auto"/>
        <w:ind w:right="0"/>
        <w:jc w:val="both"/>
        <w:rPr>
          <w:b w:val="0"/>
          <w:bCs w:val="0"/>
        </w:rPr>
      </w:pPr>
      <w:r>
        <w:rPr/>
        <w:t>（三）</w:t>
      </w:r>
      <w:r>
        <w:rPr>
          <w:spacing w:val="101"/>
        </w:rPr>
        <w:t> </w:t>
      </w:r>
      <w:r>
        <w:rPr/>
        <w:t>与前任会计师事务所进行的沟通情况</w:t>
      </w:r>
      <w:r>
        <w:rPr>
          <w:b w:val="0"/>
          <w:bCs w:val="0"/>
        </w:rPr>
      </w:r>
    </w:p>
    <w:p>
      <w:pPr>
        <w:pStyle w:val="BodyText"/>
        <w:spacing w:line="240" w:lineRule="auto" w:before="56"/>
        <w:ind w:right="0"/>
        <w:jc w:val="both"/>
      </w:pPr>
      <w:r>
        <w:rPr/>
        <w:t>□适用</w:t>
      </w:r>
      <w:r>
        <w:rPr>
          <w:spacing w:val="104"/>
        </w:rPr>
        <w:t> </w:t>
      </w:r>
      <w:r>
        <w:rPr/>
        <w:t>√不适用</w:t>
      </w:r>
    </w:p>
    <w:p>
      <w:pPr>
        <w:spacing w:line="240" w:lineRule="auto" w:before="3"/>
        <w:rPr>
          <w:rFonts w:ascii="宋体" w:hAnsi="宋体" w:cs="宋体" w:eastAsia="宋体" w:hint="default"/>
          <w:sz w:val="25"/>
          <w:szCs w:val="25"/>
        </w:rPr>
      </w:pPr>
    </w:p>
    <w:p>
      <w:pPr>
        <w:pStyle w:val="Heading3"/>
        <w:spacing w:line="240" w:lineRule="auto"/>
        <w:ind w:right="0"/>
        <w:jc w:val="both"/>
        <w:rPr>
          <w:b w:val="0"/>
          <w:bCs w:val="0"/>
        </w:rPr>
      </w:pPr>
      <w:r>
        <w:rPr/>
        <w:t>（四）</w:t>
      </w:r>
      <w:r>
        <w:rPr>
          <w:spacing w:val="102"/>
        </w:rPr>
        <w:t> </w:t>
      </w:r>
      <w:r>
        <w:rPr/>
        <w:t>其他说明</w:t>
      </w:r>
      <w:r>
        <w:rPr>
          <w:b w:val="0"/>
          <w:bCs w:val="0"/>
        </w:rPr>
      </w:r>
    </w:p>
    <w:p>
      <w:pPr>
        <w:pStyle w:val="BodyText"/>
        <w:spacing w:line="240" w:lineRule="auto" w:before="56"/>
        <w:ind w:right="0"/>
        <w:jc w:val="both"/>
      </w:pPr>
      <w:r>
        <w:rPr/>
        <w:t>□适用</w:t>
      </w:r>
      <w:r>
        <w:rPr>
          <w:spacing w:val="104"/>
        </w:rPr>
        <w:t> </w:t>
      </w:r>
      <w:r>
        <w:rPr/>
        <w:t>√不适用</w:t>
      </w:r>
    </w:p>
    <w:p>
      <w:pPr>
        <w:spacing w:line="240" w:lineRule="auto" w:before="6"/>
        <w:rPr>
          <w:rFonts w:ascii="宋体" w:hAnsi="宋体" w:cs="宋体" w:eastAsia="宋体" w:hint="default"/>
          <w:sz w:val="22"/>
          <w:szCs w:val="22"/>
        </w:rPr>
      </w:pPr>
    </w:p>
    <w:p>
      <w:pPr>
        <w:pStyle w:val="Heading3"/>
        <w:spacing w:line="240" w:lineRule="auto" w:before="36"/>
        <w:ind w:right="147"/>
        <w:jc w:val="left"/>
        <w:rPr>
          <w:b w:val="0"/>
          <w:bCs w:val="0"/>
        </w:rPr>
      </w:pPr>
      <w:r>
        <w:rPr/>
        <w:t>六、聘任、解聘会计师事务所情况</w:t>
      </w:r>
      <w:r>
        <w:rPr>
          <w:b w:val="0"/>
          <w:bCs w:val="0"/>
        </w:rPr>
      </w:r>
    </w:p>
    <w:p>
      <w:pPr>
        <w:pStyle w:val="BodyText"/>
        <w:tabs>
          <w:tab w:pos="1051" w:val="left" w:leader="none"/>
        </w:tabs>
        <w:spacing w:line="240" w:lineRule="auto" w:before="58"/>
        <w:ind w:left="0" w:right="150"/>
        <w:jc w:val="right"/>
      </w:pPr>
      <w:r>
        <w:rPr>
          <w:spacing w:val="-1"/>
        </w:rPr>
        <w:t>单位：元</w:t>
        <w:tab/>
      </w:r>
      <w:r>
        <w:rPr>
          <w:spacing w:val="-2"/>
        </w:rPr>
        <w:t>币种：人民币</w:t>
      </w: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4409"/>
        <w:gridCol w:w="4415"/>
      </w:tblGrid>
      <w:tr>
        <w:trPr>
          <w:trHeight w:val="283" w:hRule="exact"/>
        </w:trPr>
        <w:tc>
          <w:tcPr>
            <w:tcW w:w="4409" w:type="dxa"/>
            <w:tcBorders>
              <w:top w:val="single" w:sz="4" w:space="0" w:color="000000"/>
              <w:left w:val="single" w:sz="4" w:space="0" w:color="000000"/>
              <w:bottom w:val="single" w:sz="4" w:space="0" w:color="000000"/>
              <w:right w:val="single" w:sz="4" w:space="0" w:color="000000"/>
            </w:tcBorders>
          </w:tcPr>
          <w:p>
            <w:pPr/>
          </w:p>
        </w:tc>
        <w:tc>
          <w:tcPr>
            <w:tcW w:w="441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现聘任</w:t>
            </w:r>
          </w:p>
        </w:tc>
      </w:tr>
      <w:tr>
        <w:trPr>
          <w:trHeight w:val="283" w:hRule="exact"/>
        </w:trPr>
        <w:tc>
          <w:tcPr>
            <w:tcW w:w="44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境内会计师事务所名称</w:t>
            </w:r>
          </w:p>
        </w:tc>
        <w:tc>
          <w:tcPr>
            <w:tcW w:w="44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安永华明会计师事务所（特殊普通合伙）</w:t>
            </w:r>
          </w:p>
        </w:tc>
      </w:tr>
      <w:tr>
        <w:trPr>
          <w:trHeight w:val="281" w:hRule="exact"/>
        </w:trPr>
        <w:tc>
          <w:tcPr>
            <w:tcW w:w="44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境内会计师事务所报酬</w:t>
            </w:r>
          </w:p>
        </w:tc>
        <w:tc>
          <w:tcPr>
            <w:tcW w:w="44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hAnsi="宋体" w:cs="宋体" w:eastAsia="宋体" w:hint="default"/>
                <w:sz w:val="21"/>
                <w:szCs w:val="21"/>
              </w:rPr>
              <w:t>195</w:t>
            </w:r>
            <w:r>
              <w:rPr>
                <w:rFonts w:ascii="宋体" w:hAnsi="宋体" w:cs="宋体" w:eastAsia="宋体" w:hint="default"/>
                <w:spacing w:val="-49"/>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r>
      <w:tr>
        <w:trPr>
          <w:trHeight w:val="283" w:hRule="exact"/>
        </w:trPr>
        <w:tc>
          <w:tcPr>
            <w:tcW w:w="44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境内会计师事务所审计年限</w:t>
            </w:r>
          </w:p>
        </w:tc>
        <w:tc>
          <w:tcPr>
            <w:tcW w:w="44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0"/>
                <w:sz w:val="21"/>
                <w:szCs w:val="21"/>
              </w:rPr>
              <w:t> </w:t>
            </w:r>
            <w:r>
              <w:rPr>
                <w:rFonts w:ascii="宋体" w:hAnsi="宋体" w:cs="宋体" w:eastAsia="宋体" w:hint="default"/>
                <w:sz w:val="21"/>
                <w:szCs w:val="21"/>
              </w:rPr>
              <w:t>年</w:t>
            </w:r>
          </w:p>
        </w:tc>
      </w:tr>
      <w:tr>
        <w:trPr>
          <w:trHeight w:val="283" w:hRule="exact"/>
        </w:trPr>
        <w:tc>
          <w:tcPr>
            <w:tcW w:w="44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境外会计师事务所名称</w:t>
            </w:r>
          </w:p>
        </w:tc>
        <w:tc>
          <w:tcPr>
            <w:tcW w:w="44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281" w:hRule="exact"/>
        </w:trPr>
        <w:tc>
          <w:tcPr>
            <w:tcW w:w="44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境外会计师事务所报酬</w:t>
            </w:r>
          </w:p>
        </w:tc>
        <w:tc>
          <w:tcPr>
            <w:tcW w:w="44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w w:val="100"/>
                <w:sz w:val="21"/>
              </w:rPr>
              <w:t>0</w:t>
            </w:r>
          </w:p>
        </w:tc>
      </w:tr>
      <w:tr>
        <w:trPr>
          <w:trHeight w:val="283" w:hRule="exact"/>
        </w:trPr>
        <w:tc>
          <w:tcPr>
            <w:tcW w:w="44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境外会计师事务所审计年限</w:t>
            </w:r>
          </w:p>
        </w:tc>
        <w:tc>
          <w:tcPr>
            <w:tcW w:w="44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无</w:t>
            </w:r>
          </w:p>
        </w:tc>
      </w:tr>
    </w:tbl>
    <w:p>
      <w:pPr>
        <w:spacing w:after="0" w:line="241" w:lineRule="exact"/>
        <w:jc w:val="left"/>
        <w:rPr>
          <w:rFonts w:ascii="宋体" w:hAnsi="宋体" w:cs="宋体" w:eastAsia="宋体" w:hint="default"/>
          <w:sz w:val="21"/>
          <w:szCs w:val="21"/>
        </w:rPr>
        <w:sectPr>
          <w:pgSz w:w="11910" w:h="16840"/>
          <w:pgMar w:header="855" w:footer="1195" w:top="1320" w:bottom="1380" w:left="1580" w:right="112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tbl>
      <w:tblPr>
        <w:tblW w:w="0" w:type="auto"/>
        <w:jc w:val="left"/>
        <w:tblInd w:w="105" w:type="dxa"/>
        <w:tblLayout w:type="fixed"/>
        <w:tblCellMar>
          <w:top w:w="0" w:type="dxa"/>
          <w:left w:w="0" w:type="dxa"/>
          <w:bottom w:w="0" w:type="dxa"/>
          <w:right w:w="0" w:type="dxa"/>
        </w:tblCellMar>
        <w:tblLook w:val="01E0"/>
      </w:tblPr>
      <w:tblGrid>
        <w:gridCol w:w="2936"/>
        <w:gridCol w:w="2945"/>
        <w:gridCol w:w="2943"/>
      </w:tblGrid>
      <w:tr>
        <w:trPr>
          <w:trHeight w:val="283" w:hRule="exact"/>
        </w:trPr>
        <w:tc>
          <w:tcPr>
            <w:tcW w:w="2936" w:type="dxa"/>
            <w:tcBorders>
              <w:top w:val="single" w:sz="4" w:space="0" w:color="000000"/>
              <w:left w:val="single" w:sz="4" w:space="0" w:color="000000"/>
              <w:bottom w:val="single" w:sz="4" w:space="0" w:color="000000"/>
              <w:right w:val="single" w:sz="4" w:space="0" w:color="000000"/>
            </w:tcBorders>
          </w:tcPr>
          <w:p>
            <w:pPr/>
          </w:p>
        </w:tc>
        <w:tc>
          <w:tcPr>
            <w:tcW w:w="29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名称</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报酬</w:t>
            </w:r>
          </w:p>
        </w:tc>
      </w:tr>
      <w:tr>
        <w:trPr>
          <w:trHeight w:val="554" w:hRule="exact"/>
        </w:trPr>
        <w:tc>
          <w:tcPr>
            <w:tcW w:w="29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内部控制审计会计师事务所</w:t>
            </w:r>
          </w:p>
        </w:tc>
        <w:tc>
          <w:tcPr>
            <w:tcW w:w="294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信永中和会计师事务所（特殊</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普通合伙）</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hAnsi="宋体" w:cs="宋体" w:eastAsia="宋体" w:hint="default"/>
                <w:sz w:val="21"/>
                <w:szCs w:val="21"/>
              </w:rPr>
              <w:t>60</w:t>
            </w:r>
            <w:r>
              <w:rPr>
                <w:rFonts w:ascii="宋体" w:hAnsi="宋体" w:cs="宋体" w:eastAsia="宋体" w:hint="default"/>
                <w:spacing w:val="-50"/>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r>
      <w:tr>
        <w:trPr>
          <w:trHeight w:val="281" w:hRule="exact"/>
        </w:trPr>
        <w:tc>
          <w:tcPr>
            <w:tcW w:w="29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财务顾问</w:t>
            </w:r>
          </w:p>
        </w:tc>
        <w:tc>
          <w:tcPr>
            <w:tcW w:w="29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r>
      <w:tr>
        <w:trPr>
          <w:trHeight w:val="283" w:hRule="exact"/>
        </w:trPr>
        <w:tc>
          <w:tcPr>
            <w:tcW w:w="29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保荐人</w:t>
            </w:r>
          </w:p>
        </w:tc>
        <w:tc>
          <w:tcPr>
            <w:tcW w:w="29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国泰君安证券股份有限公司</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r>
    </w:tbl>
    <w:p>
      <w:pPr>
        <w:spacing w:line="240" w:lineRule="auto" w:before="7"/>
        <w:rPr>
          <w:rFonts w:ascii="宋体" w:hAnsi="宋体" w:cs="宋体" w:eastAsia="宋体" w:hint="default"/>
          <w:sz w:val="15"/>
          <w:szCs w:val="15"/>
        </w:rPr>
      </w:pPr>
    </w:p>
    <w:p>
      <w:pPr>
        <w:pStyle w:val="BodyText"/>
        <w:spacing w:line="273" w:lineRule="exact" w:before="36"/>
        <w:ind w:right="147"/>
        <w:jc w:val="left"/>
      </w:pPr>
      <w:r>
        <w:rPr/>
        <w:t>聘任、解聘会计师事务所的情况说明</w:t>
      </w:r>
    </w:p>
    <w:p>
      <w:pPr>
        <w:pStyle w:val="BodyText"/>
        <w:spacing w:line="240" w:lineRule="auto"/>
        <w:ind w:right="5189"/>
        <w:jc w:val="left"/>
      </w:pPr>
      <w:r>
        <w:rPr/>
        <w:t>□适用</w:t>
      </w:r>
      <w:r>
        <w:rPr>
          <w:spacing w:val="-2"/>
        </w:rPr>
        <w:t> </w:t>
      </w:r>
      <w:r>
        <w:rPr/>
        <w:t>√不适用</w:t>
      </w:r>
      <w:r>
        <w:rPr>
          <w:w w:val="100"/>
        </w:rPr>
        <w:t> </w:t>
      </w:r>
      <w:r>
        <w:rPr>
          <w:spacing w:val="-2"/>
        </w:rPr>
        <w:t>审计期间改聘会计师事务所的情况说明</w:t>
      </w:r>
    </w:p>
    <w:p>
      <w:pPr>
        <w:pStyle w:val="BodyText"/>
        <w:tabs>
          <w:tab w:pos="1060" w:val="left" w:leader="none"/>
        </w:tabs>
        <w:spacing w:line="271" w:lineRule="exact"/>
        <w:ind w:right="147"/>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tabs>
          <w:tab w:pos="1057" w:val="left" w:leader="none"/>
        </w:tabs>
        <w:spacing w:line="290" w:lineRule="auto"/>
        <w:ind w:right="6243"/>
        <w:jc w:val="left"/>
        <w:rPr>
          <w:b w:val="0"/>
          <w:bCs w:val="0"/>
        </w:rPr>
      </w:pPr>
      <w:r>
        <w:rPr/>
        <w:t>七、面临暂停上市风险的情况</w:t>
      </w:r>
      <w:r>
        <w:rPr>
          <w:w w:val="100"/>
        </w:rPr>
        <w:t> </w:t>
      </w:r>
      <w:r>
        <w:rPr>
          <w:rFonts w:ascii="宋体" w:hAnsi="宋体" w:cs="宋体" w:eastAsia="宋体" w:hint="default"/>
          <w:spacing w:val="-1"/>
        </w:rPr>
        <w:t>(</w:t>
      </w:r>
      <w:r>
        <w:rPr>
          <w:spacing w:val="-1"/>
        </w:rPr>
        <w:t>一</w:t>
      </w:r>
      <w:r>
        <w:rPr>
          <w:rFonts w:ascii="宋体" w:hAnsi="宋体" w:cs="宋体" w:eastAsia="宋体" w:hint="default"/>
          <w:spacing w:val="-1"/>
        </w:rPr>
        <w:t>)</w:t>
        <w:tab/>
      </w:r>
      <w:r>
        <w:rPr/>
        <w:t>导致暂停上市的原因</w:t>
      </w:r>
      <w:r>
        <w:rPr>
          <w:b w:val="0"/>
          <w:bCs w:val="0"/>
        </w:rPr>
      </w:r>
    </w:p>
    <w:p>
      <w:pPr>
        <w:pStyle w:val="BodyText"/>
        <w:tabs>
          <w:tab w:pos="1060" w:val="left" w:leader="none"/>
        </w:tabs>
        <w:spacing w:line="240" w:lineRule="auto" w:before="14"/>
        <w:ind w:right="147"/>
        <w:jc w:val="left"/>
      </w:pPr>
      <w:r>
        <w:rPr>
          <w:spacing w:val="-1"/>
        </w:rPr>
        <w:t>□适用</w:t>
        <w:tab/>
      </w:r>
      <w:r>
        <w:rPr>
          <w:spacing w:val="-2"/>
        </w:rPr>
        <w:t>√不适用</w:t>
      </w:r>
    </w:p>
    <w:p>
      <w:pPr>
        <w:pStyle w:val="Heading3"/>
        <w:tabs>
          <w:tab w:pos="1057" w:val="left" w:leader="none"/>
        </w:tabs>
        <w:spacing w:line="240" w:lineRule="auto" w:before="56"/>
        <w:ind w:right="147"/>
        <w:jc w:val="left"/>
        <w:rPr>
          <w:b w:val="0"/>
          <w:bCs w:val="0"/>
        </w:rPr>
      </w:pPr>
      <w:r>
        <w:rPr>
          <w:rFonts w:ascii="宋体" w:hAnsi="宋体" w:cs="宋体" w:eastAsia="宋体" w:hint="default"/>
          <w:spacing w:val="-1"/>
        </w:rPr>
        <w:t>(</w:t>
      </w:r>
      <w:r>
        <w:rPr>
          <w:spacing w:val="-1"/>
        </w:rPr>
        <w:t>二</w:t>
      </w:r>
      <w:r>
        <w:rPr>
          <w:rFonts w:ascii="宋体" w:hAnsi="宋体" w:cs="宋体" w:eastAsia="宋体" w:hint="default"/>
          <w:spacing w:val="-1"/>
        </w:rPr>
        <w:t>)</w:t>
        <w:tab/>
      </w:r>
      <w:r>
        <w:rPr>
          <w:spacing w:val="-1"/>
        </w:rPr>
        <w:t>公司拟采取的应对措施</w:t>
      </w:r>
      <w:r>
        <w:rPr>
          <w:b w:val="0"/>
          <w:bCs w:val="0"/>
          <w:spacing w:val="-1"/>
        </w:rPr>
      </w:r>
    </w:p>
    <w:p>
      <w:pPr>
        <w:pStyle w:val="BodyText"/>
        <w:spacing w:line="240" w:lineRule="auto" w:before="58"/>
        <w:ind w:right="147"/>
        <w:jc w:val="left"/>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right="147"/>
        <w:jc w:val="left"/>
        <w:rPr>
          <w:b w:val="0"/>
          <w:bCs w:val="0"/>
        </w:rPr>
      </w:pPr>
      <w:r>
        <w:rPr/>
        <w:t>八、面临终止上市的情况和原因</w:t>
      </w:r>
      <w:r>
        <w:rPr>
          <w:b w:val="0"/>
          <w:bCs w:val="0"/>
        </w:rPr>
      </w:r>
    </w:p>
    <w:p>
      <w:pPr>
        <w:pStyle w:val="BodyText"/>
        <w:tabs>
          <w:tab w:pos="1060" w:val="left" w:leader="none"/>
        </w:tabs>
        <w:spacing w:line="240" w:lineRule="auto" w:before="56"/>
        <w:ind w:right="147"/>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right="147"/>
        <w:jc w:val="left"/>
        <w:rPr>
          <w:b w:val="0"/>
          <w:bCs w:val="0"/>
        </w:rPr>
      </w:pPr>
      <w:r>
        <w:rPr/>
        <w:t>九、破产重整相关事项</w:t>
      </w:r>
      <w:r>
        <w:rPr>
          <w:b w:val="0"/>
          <w:bCs w:val="0"/>
        </w:rPr>
      </w:r>
    </w:p>
    <w:p>
      <w:pPr>
        <w:pStyle w:val="BodyText"/>
        <w:spacing w:line="240" w:lineRule="auto" w:before="59"/>
        <w:ind w:right="147"/>
        <w:jc w:val="left"/>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right="147"/>
        <w:jc w:val="left"/>
        <w:rPr>
          <w:b w:val="0"/>
          <w:bCs w:val="0"/>
        </w:rPr>
      </w:pPr>
      <w:r>
        <w:rPr/>
        <w:t>十、重大诉讼、仲裁事项</w:t>
      </w:r>
      <w:r>
        <w:rPr>
          <w:b w:val="0"/>
          <w:bCs w:val="0"/>
        </w:rPr>
      </w:r>
    </w:p>
    <w:p>
      <w:pPr>
        <w:pStyle w:val="BodyText"/>
        <w:spacing w:line="240" w:lineRule="auto" w:before="56"/>
        <w:ind w:right="147"/>
        <w:jc w:val="left"/>
      </w:pPr>
      <w:r>
        <w:rPr/>
        <w:t>□本年度公司有重大诉讼、仲裁事项</w:t>
      </w:r>
      <w:r>
        <w:rPr>
          <w:spacing w:val="-7"/>
        </w:rPr>
        <w:t> </w:t>
      </w:r>
      <w:r>
        <w:rPr/>
        <w:t>√本年度公司无重大诉讼、仲裁事项</w:t>
      </w:r>
    </w:p>
    <w:p>
      <w:pPr>
        <w:spacing w:line="240" w:lineRule="auto" w:before="3"/>
        <w:rPr>
          <w:rFonts w:ascii="宋体" w:hAnsi="宋体" w:cs="宋体" w:eastAsia="宋体" w:hint="default"/>
          <w:sz w:val="25"/>
          <w:szCs w:val="25"/>
        </w:rPr>
      </w:pPr>
    </w:p>
    <w:p>
      <w:pPr>
        <w:pStyle w:val="Heading3"/>
        <w:spacing w:line="240" w:lineRule="auto"/>
        <w:ind w:left="638" w:right="0" w:hanging="420"/>
        <w:jc w:val="left"/>
        <w:rPr>
          <w:b w:val="0"/>
          <w:bCs w:val="0"/>
        </w:rPr>
      </w:pPr>
      <w:r>
        <w:rPr>
          <w:spacing w:val="-1"/>
        </w:rPr>
        <w:t>十一、上市公司及其董事、监事、高级管理人员、控股股东、实际控制人、收购人处罚及整改情</w:t>
      </w:r>
      <w:r>
        <w:rPr>
          <w:spacing w:val="-82"/>
        </w:rPr>
        <w:t> </w:t>
      </w:r>
      <w:r>
        <w:rPr>
          <w:spacing w:val="-82"/>
        </w:rPr>
      </w:r>
      <w:r>
        <w:rPr/>
        <w:t>况</w:t>
      </w:r>
      <w:r>
        <w:rPr>
          <w:b w:val="0"/>
          <w:bCs w:val="0"/>
        </w:rPr>
      </w:r>
    </w:p>
    <w:p>
      <w:pPr>
        <w:pStyle w:val="BodyText"/>
        <w:spacing w:line="240" w:lineRule="auto" w:before="56"/>
        <w:ind w:right="147"/>
        <w:jc w:val="left"/>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right="147"/>
        <w:jc w:val="left"/>
        <w:rPr>
          <w:b w:val="0"/>
          <w:bCs w:val="0"/>
        </w:rPr>
      </w:pPr>
      <w:r>
        <w:rPr/>
        <w:t>十二、报告期内公司及其控股股东、实际控制人诚信状况的说明</w:t>
      </w:r>
      <w:r>
        <w:rPr>
          <w:b w:val="0"/>
          <w:bCs w:val="0"/>
        </w:rPr>
      </w:r>
    </w:p>
    <w:p>
      <w:pPr>
        <w:pStyle w:val="BodyText"/>
        <w:tabs>
          <w:tab w:pos="1060" w:val="left" w:leader="none"/>
        </w:tabs>
        <w:spacing w:line="240" w:lineRule="auto" w:before="59"/>
        <w:ind w:right="147"/>
        <w:jc w:val="left"/>
      </w:pPr>
      <w:r>
        <w:rPr>
          <w:spacing w:val="-1"/>
        </w:rPr>
        <w:t>□适用</w:t>
        <w:tab/>
      </w:r>
      <w:r>
        <w:rPr>
          <w:spacing w:val="-2"/>
        </w:rPr>
        <w:t>√不适用</w:t>
      </w:r>
    </w:p>
    <w:p>
      <w:pPr>
        <w:spacing w:line="240" w:lineRule="auto" w:before="0"/>
        <w:rPr>
          <w:rFonts w:ascii="宋体" w:hAnsi="宋体" w:cs="宋体" w:eastAsia="宋体" w:hint="default"/>
          <w:sz w:val="25"/>
          <w:szCs w:val="25"/>
        </w:rPr>
      </w:pPr>
    </w:p>
    <w:p>
      <w:pPr>
        <w:pStyle w:val="Heading3"/>
        <w:spacing w:line="290" w:lineRule="auto"/>
        <w:ind w:right="1452"/>
        <w:jc w:val="left"/>
        <w:rPr>
          <w:b w:val="0"/>
          <w:bCs w:val="0"/>
        </w:rPr>
      </w:pPr>
      <w:r>
        <w:rPr>
          <w:spacing w:val="-1"/>
        </w:rPr>
        <w:t>十三、公司股权激励计划、员工持股计划或其他员工激励措施的情况及其影响</w:t>
      </w:r>
      <w:r>
        <w:rPr>
          <w:spacing w:val="-72"/>
        </w:rPr>
        <w:t> </w:t>
      </w:r>
      <w:r>
        <w:rPr>
          <w:spacing w:val="-72"/>
        </w:rPr>
      </w:r>
      <w:r>
        <w:rPr>
          <w:rFonts w:ascii="宋体" w:hAnsi="宋体" w:cs="宋体" w:eastAsia="宋体" w:hint="default"/>
        </w:rPr>
        <w:t>(</w:t>
      </w:r>
      <w:r>
        <w:rPr/>
        <w:t>一</w:t>
      </w:r>
      <w:r>
        <w:rPr>
          <w:rFonts w:ascii="宋体" w:hAnsi="宋体" w:cs="宋体" w:eastAsia="宋体" w:hint="default"/>
        </w:rPr>
        <w:t>)</w:t>
      </w:r>
      <w:r>
        <w:rPr>
          <w:rFonts w:ascii="宋体" w:hAnsi="宋体" w:cs="宋体" w:eastAsia="宋体" w:hint="default"/>
          <w:spacing w:val="34"/>
        </w:rPr>
        <w:t> </w:t>
      </w:r>
      <w:r>
        <w:rPr/>
        <w:t>相关激励事项已在临时公告披露且后续实施无进展或变化的</w:t>
      </w:r>
      <w:r>
        <w:rPr>
          <w:b w:val="0"/>
          <w:bCs w:val="0"/>
        </w:rPr>
      </w:r>
    </w:p>
    <w:p>
      <w:pPr>
        <w:pStyle w:val="BodyText"/>
        <w:spacing w:line="240" w:lineRule="auto" w:before="12"/>
        <w:ind w:right="147"/>
        <w:jc w:val="left"/>
      </w:pPr>
      <w:r>
        <w:rPr/>
        <w:t>□适用</w:t>
      </w:r>
      <w:r>
        <w:rPr>
          <w:spacing w:val="-1"/>
        </w:rPr>
        <w:t> </w:t>
      </w:r>
      <w:r>
        <w:rPr/>
        <w:t>√不适用</w:t>
      </w:r>
    </w:p>
    <w:p>
      <w:pPr>
        <w:spacing w:line="240" w:lineRule="auto" w:before="3"/>
        <w:rPr>
          <w:rFonts w:ascii="宋体" w:hAnsi="宋体" w:cs="宋体" w:eastAsia="宋体" w:hint="default"/>
          <w:sz w:val="25"/>
          <w:szCs w:val="25"/>
        </w:rPr>
      </w:pPr>
    </w:p>
    <w:p>
      <w:pPr>
        <w:spacing w:line="290" w:lineRule="auto" w:before="0"/>
        <w:ind w:left="218" w:right="4608"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二</w:t>
      </w:r>
      <w:r>
        <w:rPr>
          <w:rFonts w:ascii="宋体" w:hAnsi="宋体" w:cs="宋体" w:eastAsia="宋体" w:hint="default"/>
          <w:b/>
          <w:bCs/>
          <w:sz w:val="21"/>
          <w:szCs w:val="21"/>
        </w:rPr>
        <w:t>)</w:t>
      </w:r>
      <w:r>
        <w:rPr>
          <w:rFonts w:ascii="宋体" w:hAnsi="宋体" w:cs="宋体" w:eastAsia="宋体" w:hint="default"/>
          <w:b/>
          <w:bCs/>
          <w:spacing w:val="37"/>
          <w:sz w:val="21"/>
          <w:szCs w:val="21"/>
        </w:rPr>
        <w:t> </w:t>
      </w:r>
      <w:r>
        <w:rPr>
          <w:rFonts w:ascii="宋体" w:hAnsi="宋体" w:cs="宋体" w:eastAsia="宋体" w:hint="default"/>
          <w:b/>
          <w:bCs/>
          <w:sz w:val="21"/>
          <w:szCs w:val="21"/>
        </w:rPr>
        <w:t>临时公告未披露或有后续进展的激励情况</w:t>
      </w:r>
      <w:r>
        <w:rPr>
          <w:rFonts w:ascii="宋体" w:hAnsi="宋体" w:cs="宋体" w:eastAsia="宋体" w:hint="default"/>
          <w:b/>
          <w:bCs/>
          <w:w w:val="100"/>
          <w:sz w:val="21"/>
          <w:szCs w:val="21"/>
        </w:rPr>
        <w:t> </w:t>
      </w:r>
      <w:r>
        <w:rPr>
          <w:rFonts w:ascii="宋体" w:hAnsi="宋体" w:cs="宋体" w:eastAsia="宋体" w:hint="default"/>
          <w:sz w:val="21"/>
          <w:szCs w:val="21"/>
        </w:rPr>
        <w:t>股权激励情况</w:t>
      </w:r>
    </w:p>
    <w:p>
      <w:pPr>
        <w:pStyle w:val="BodyText"/>
        <w:spacing w:line="227" w:lineRule="exact"/>
        <w:ind w:right="147"/>
        <w:jc w:val="left"/>
      </w:pPr>
      <w:r>
        <w:rPr/>
        <w:t>□适用</w:t>
      </w:r>
      <w:r>
        <w:rPr>
          <w:spacing w:val="-1"/>
        </w:rPr>
        <w:t> </w:t>
      </w:r>
      <w:r>
        <w:rPr/>
        <w:t>√不适用</w:t>
      </w:r>
    </w:p>
    <w:p>
      <w:pPr>
        <w:spacing w:line="240" w:lineRule="auto" w:before="8"/>
        <w:rPr>
          <w:rFonts w:ascii="宋体" w:hAnsi="宋体" w:cs="宋体" w:eastAsia="宋体" w:hint="default"/>
          <w:sz w:val="20"/>
          <w:szCs w:val="20"/>
        </w:rPr>
      </w:pPr>
    </w:p>
    <w:p>
      <w:pPr>
        <w:pStyle w:val="BodyText"/>
        <w:spacing w:line="274" w:lineRule="exact"/>
        <w:ind w:right="147"/>
        <w:jc w:val="left"/>
      </w:pPr>
      <w:r>
        <w:rPr/>
        <w:t>其他说明</w:t>
      </w:r>
    </w:p>
    <w:p>
      <w:pPr>
        <w:pStyle w:val="BodyText"/>
        <w:tabs>
          <w:tab w:pos="1060" w:val="left" w:leader="none"/>
        </w:tabs>
        <w:spacing w:line="274" w:lineRule="exact"/>
        <w:ind w:right="147"/>
        <w:jc w:val="left"/>
      </w:pPr>
      <w:r>
        <w:rPr>
          <w:spacing w:val="-1"/>
        </w:rPr>
        <w:t>√适用</w:t>
        <w:tab/>
      </w:r>
      <w:r>
        <w:rPr>
          <w:spacing w:val="-2"/>
        </w:rPr>
        <w:t>□不适用</w:t>
      </w:r>
    </w:p>
    <w:p>
      <w:pPr>
        <w:spacing w:after="0" w:line="274" w:lineRule="exact"/>
        <w:jc w:val="left"/>
        <w:sectPr>
          <w:pgSz w:w="11910" w:h="16840"/>
          <w:pgMar w:header="855" w:footer="1195" w:top="1320" w:bottom="1380" w:left="1580" w:right="1120"/>
        </w:sectPr>
      </w:pPr>
    </w:p>
    <w:p>
      <w:pPr>
        <w:spacing w:line="240" w:lineRule="auto" w:before="4"/>
        <w:rPr>
          <w:rFonts w:ascii="宋体" w:hAnsi="宋体" w:cs="宋体" w:eastAsia="宋体" w:hint="default"/>
          <w:sz w:val="9"/>
          <w:szCs w:val="9"/>
        </w:rPr>
      </w:pPr>
    </w:p>
    <w:p>
      <w:pPr>
        <w:pStyle w:val="BodyText"/>
        <w:spacing w:line="240" w:lineRule="auto" w:before="36"/>
        <w:ind w:left="558" w:right="0"/>
        <w:jc w:val="left"/>
      </w:pPr>
      <w:r>
        <w:rPr>
          <w:spacing w:val="-5"/>
        </w:rPr>
        <w:t>报告期内，公司于</w:t>
      </w:r>
      <w:r>
        <w:rPr>
          <w:spacing w:val="-40"/>
        </w:rPr>
        <w:t> </w:t>
      </w:r>
      <w:r>
        <w:rPr>
          <w:rFonts w:ascii="宋体" w:hAnsi="宋体" w:cs="宋体" w:eastAsia="宋体" w:hint="default"/>
        </w:rPr>
        <w:t>2017</w:t>
      </w:r>
      <w:r>
        <w:rPr>
          <w:rFonts w:ascii="宋体" w:hAnsi="宋体" w:cs="宋体" w:eastAsia="宋体" w:hint="default"/>
          <w:spacing w:val="-41"/>
        </w:rPr>
        <w:t> </w:t>
      </w:r>
      <w:r>
        <w:rPr/>
        <w:t>年</w:t>
      </w:r>
      <w:r>
        <w:rPr>
          <w:spacing w:val="-44"/>
        </w:rPr>
        <w:t> </w:t>
      </w:r>
      <w:r>
        <w:rPr>
          <w:rFonts w:ascii="宋体" w:hAnsi="宋体" w:cs="宋体" w:eastAsia="宋体" w:hint="default"/>
        </w:rPr>
        <w:t>3</w:t>
      </w:r>
      <w:r>
        <w:rPr>
          <w:rFonts w:ascii="宋体" w:hAnsi="宋体" w:cs="宋体" w:eastAsia="宋体" w:hint="default"/>
          <w:spacing w:val="-41"/>
        </w:rPr>
        <w:t> </w:t>
      </w:r>
      <w:r>
        <w:rPr/>
        <w:t>月</w:t>
      </w:r>
      <w:r>
        <w:rPr>
          <w:spacing w:val="-41"/>
        </w:rPr>
        <w:t> </w:t>
      </w:r>
      <w:r>
        <w:rPr>
          <w:rFonts w:ascii="宋体" w:hAnsi="宋体" w:cs="宋体" w:eastAsia="宋体" w:hint="default"/>
        </w:rPr>
        <w:t>8</w:t>
      </w:r>
      <w:r>
        <w:rPr>
          <w:rFonts w:ascii="宋体" w:hAnsi="宋体" w:cs="宋体" w:eastAsia="宋体" w:hint="default"/>
          <w:spacing w:val="-44"/>
        </w:rPr>
        <w:t> </w:t>
      </w:r>
      <w:r>
        <w:rPr>
          <w:spacing w:val="-5"/>
        </w:rPr>
        <w:t>日披露了《公司关于注销已回购股权激励股份的公告》，公</w:t>
      </w:r>
    </w:p>
    <w:p>
      <w:pPr>
        <w:pStyle w:val="BodyText"/>
        <w:spacing w:line="240" w:lineRule="auto" w:before="135"/>
        <w:ind w:left="138" w:right="0"/>
        <w:jc w:val="both"/>
      </w:pPr>
      <w:r>
        <w:rPr/>
        <w:t>司注销了</w:t>
      </w:r>
      <w:r>
        <w:rPr>
          <w:spacing w:val="-54"/>
        </w:rPr>
        <w:t> </w:t>
      </w:r>
      <w:r>
        <w:rPr>
          <w:rFonts w:ascii="宋体" w:hAnsi="宋体" w:cs="宋体" w:eastAsia="宋体" w:hint="default"/>
        </w:rPr>
        <w:t>75,632</w:t>
      </w:r>
      <w:r>
        <w:rPr>
          <w:rFonts w:ascii="宋体" w:hAnsi="宋体" w:cs="宋体" w:eastAsia="宋体" w:hint="default"/>
          <w:spacing w:val="-54"/>
        </w:rPr>
        <w:t> </w:t>
      </w:r>
      <w:r>
        <w:rPr/>
        <w:t>股限制性股票。</w:t>
      </w:r>
    </w:p>
    <w:p>
      <w:pPr>
        <w:pStyle w:val="BodyText"/>
        <w:spacing w:line="240" w:lineRule="auto" w:before="133"/>
        <w:ind w:left="558" w:right="0"/>
        <w:jc w:val="left"/>
      </w:pPr>
      <w:r>
        <w:rPr>
          <w:w w:val="100"/>
        </w:rPr>
        <w:t>公</w:t>
      </w:r>
      <w:r>
        <w:rPr>
          <w:spacing w:val="-3"/>
          <w:w w:val="100"/>
        </w:rPr>
        <w:t>司</w:t>
      </w:r>
      <w:r>
        <w:rPr>
          <w:w w:val="100"/>
        </w:rPr>
        <w:t>于</w:t>
      </w:r>
      <w:r>
        <w:rPr>
          <w:spacing w:val="-53"/>
        </w:rPr>
        <w:t> </w:t>
      </w:r>
      <w:r>
        <w:rPr>
          <w:rFonts w:ascii="宋体" w:hAnsi="宋体" w:cs="宋体" w:eastAsia="宋体" w:hint="default"/>
          <w:w w:val="100"/>
        </w:rPr>
        <w:t>20</w:t>
      </w:r>
      <w:r>
        <w:rPr>
          <w:rFonts w:ascii="宋体" w:hAnsi="宋体" w:cs="宋体" w:eastAsia="宋体" w:hint="default"/>
          <w:spacing w:val="-3"/>
          <w:w w:val="100"/>
        </w:rPr>
        <w:t>1</w:t>
      </w:r>
      <w:r>
        <w:rPr>
          <w:rFonts w:ascii="宋体" w:hAnsi="宋体" w:cs="宋体" w:eastAsia="宋体" w:hint="default"/>
          <w:w w:val="100"/>
        </w:rPr>
        <w:t>7</w:t>
      </w:r>
      <w:r>
        <w:rPr>
          <w:rFonts w:ascii="宋体" w:hAnsi="宋体" w:cs="宋体" w:eastAsia="宋体" w:hint="default"/>
          <w:spacing w:val="-53"/>
        </w:rPr>
        <w:t> </w:t>
      </w:r>
      <w:r>
        <w:rPr>
          <w:w w:val="100"/>
        </w:rPr>
        <w:t>年</w:t>
      </w:r>
      <w:r>
        <w:rPr>
          <w:spacing w:val="-55"/>
        </w:rPr>
        <w:t> </w:t>
      </w:r>
      <w:r>
        <w:rPr>
          <w:rFonts w:ascii="宋体" w:hAnsi="宋体" w:cs="宋体" w:eastAsia="宋体" w:hint="default"/>
          <w:w w:val="100"/>
        </w:rPr>
        <w:t>6</w:t>
      </w:r>
      <w:r>
        <w:rPr>
          <w:rFonts w:ascii="宋体" w:hAnsi="宋体" w:cs="宋体" w:eastAsia="宋体" w:hint="default"/>
          <w:spacing w:val="-53"/>
        </w:rPr>
        <w:t> </w:t>
      </w:r>
      <w:r>
        <w:rPr>
          <w:w w:val="100"/>
        </w:rPr>
        <w:t>月</w:t>
      </w:r>
      <w:r>
        <w:rPr>
          <w:spacing w:val="-54"/>
        </w:rPr>
        <w:t> </w:t>
      </w:r>
      <w:r>
        <w:rPr>
          <w:rFonts w:ascii="宋体" w:hAnsi="宋体" w:cs="宋体" w:eastAsia="宋体" w:hint="default"/>
          <w:w w:val="100"/>
        </w:rPr>
        <w:t>8</w:t>
      </w:r>
      <w:r>
        <w:rPr>
          <w:rFonts w:ascii="宋体" w:hAnsi="宋体" w:cs="宋体" w:eastAsia="宋体" w:hint="default"/>
          <w:spacing w:val="-53"/>
        </w:rPr>
        <w:t> </w:t>
      </w:r>
      <w:r>
        <w:rPr>
          <w:spacing w:val="-3"/>
          <w:w w:val="100"/>
        </w:rPr>
        <w:t>日召</w:t>
      </w:r>
      <w:r>
        <w:rPr>
          <w:w w:val="100"/>
        </w:rPr>
        <w:t>开了</w:t>
      </w:r>
      <w:r>
        <w:rPr>
          <w:spacing w:val="-3"/>
          <w:w w:val="100"/>
        </w:rPr>
        <w:t>公</w:t>
      </w:r>
      <w:r>
        <w:rPr>
          <w:w w:val="100"/>
        </w:rPr>
        <w:t>司</w:t>
      </w:r>
      <w:r>
        <w:rPr>
          <w:spacing w:val="-53"/>
        </w:rPr>
        <w:t> </w:t>
      </w:r>
      <w:r>
        <w:rPr>
          <w:rFonts w:ascii="宋体" w:hAnsi="宋体" w:cs="宋体" w:eastAsia="宋体" w:hint="default"/>
          <w:spacing w:val="-3"/>
          <w:w w:val="100"/>
        </w:rPr>
        <w:t>2</w:t>
      </w:r>
      <w:r>
        <w:rPr>
          <w:rFonts w:ascii="宋体" w:hAnsi="宋体" w:cs="宋体" w:eastAsia="宋体" w:hint="default"/>
          <w:w w:val="100"/>
        </w:rPr>
        <w:t>017</w:t>
      </w:r>
      <w:r>
        <w:rPr>
          <w:rFonts w:ascii="宋体" w:hAnsi="宋体" w:cs="宋体" w:eastAsia="宋体" w:hint="default"/>
          <w:spacing w:val="-55"/>
        </w:rPr>
        <w:t> </w:t>
      </w:r>
      <w:r>
        <w:rPr>
          <w:w w:val="100"/>
        </w:rPr>
        <w:t>年</w:t>
      </w:r>
      <w:r>
        <w:rPr>
          <w:spacing w:val="-3"/>
          <w:w w:val="100"/>
        </w:rPr>
        <w:t>第</w:t>
      </w:r>
      <w:r>
        <w:rPr>
          <w:w w:val="100"/>
        </w:rPr>
        <w:t>二</w:t>
      </w:r>
      <w:r>
        <w:rPr>
          <w:spacing w:val="-3"/>
          <w:w w:val="100"/>
        </w:rPr>
        <w:t>次临</w:t>
      </w:r>
      <w:r>
        <w:rPr>
          <w:w w:val="100"/>
        </w:rPr>
        <w:t>时股</w:t>
      </w:r>
      <w:r>
        <w:rPr>
          <w:spacing w:val="-3"/>
          <w:w w:val="100"/>
        </w:rPr>
        <w:t>东</w:t>
      </w:r>
      <w:r>
        <w:rPr>
          <w:w w:val="100"/>
        </w:rPr>
        <w:t>大</w:t>
      </w:r>
      <w:r>
        <w:rPr>
          <w:spacing w:val="-3"/>
          <w:w w:val="100"/>
        </w:rPr>
        <w:t>会</w:t>
      </w:r>
      <w:r>
        <w:rPr>
          <w:w w:val="100"/>
        </w:rPr>
        <w:t>审</w:t>
      </w:r>
      <w:r>
        <w:rPr>
          <w:spacing w:val="-3"/>
          <w:w w:val="100"/>
        </w:rPr>
        <w:t>议</w:t>
      </w:r>
      <w:r>
        <w:rPr>
          <w:w w:val="100"/>
        </w:rPr>
        <w:t>通</w:t>
      </w:r>
      <w:r>
        <w:rPr>
          <w:spacing w:val="-3"/>
          <w:w w:val="100"/>
        </w:rPr>
        <w:t>过</w:t>
      </w:r>
      <w:r>
        <w:rPr>
          <w:spacing w:val="-94"/>
          <w:w w:val="100"/>
        </w:rPr>
        <w:t>了</w:t>
      </w:r>
      <w:r>
        <w:rPr>
          <w:w w:val="100"/>
        </w:rPr>
        <w:t>《</w:t>
      </w:r>
      <w:r>
        <w:rPr>
          <w:spacing w:val="-3"/>
          <w:w w:val="100"/>
        </w:rPr>
        <w:t>公</w:t>
      </w:r>
      <w:r>
        <w:rPr>
          <w:w w:val="100"/>
        </w:rPr>
        <w:t>司</w:t>
      </w:r>
      <w:r>
        <w:rPr>
          <w:spacing w:val="-52"/>
        </w:rPr>
        <w:t> </w:t>
      </w:r>
      <w:r>
        <w:rPr>
          <w:rFonts w:ascii="宋体" w:hAnsi="宋体" w:cs="宋体" w:eastAsia="宋体" w:hint="default"/>
          <w:w w:val="100"/>
        </w:rPr>
        <w:t>20</w:t>
      </w:r>
      <w:r>
        <w:rPr>
          <w:rFonts w:ascii="宋体" w:hAnsi="宋体" w:cs="宋体" w:eastAsia="宋体" w:hint="default"/>
          <w:spacing w:val="-3"/>
          <w:w w:val="100"/>
        </w:rPr>
        <w:t>1</w:t>
      </w:r>
      <w:r>
        <w:rPr>
          <w:rFonts w:ascii="宋体" w:hAnsi="宋体" w:cs="宋体" w:eastAsia="宋体" w:hint="default"/>
          <w:w w:val="100"/>
        </w:rPr>
        <w:t>7</w:t>
      </w:r>
      <w:r>
        <w:rPr>
          <w:rFonts w:ascii="宋体" w:hAnsi="宋体" w:cs="宋体" w:eastAsia="宋体" w:hint="default"/>
          <w:spacing w:val="-53"/>
        </w:rPr>
        <w:t> </w:t>
      </w:r>
      <w:r>
        <w:rPr>
          <w:spacing w:val="-3"/>
          <w:w w:val="100"/>
        </w:rPr>
        <w:t>年股</w:t>
      </w:r>
      <w:r>
        <w:rPr>
          <w:w w:val="100"/>
        </w:rPr>
      </w:r>
    </w:p>
    <w:p>
      <w:pPr>
        <w:pStyle w:val="BodyText"/>
        <w:spacing w:line="357" w:lineRule="auto" w:before="133"/>
        <w:ind w:left="138" w:right="147"/>
        <w:jc w:val="both"/>
      </w:pPr>
      <w:r>
        <w:rPr/>
        <w:t>票期权与限制性股票激励计划（草案）及摘要》，公司拟向激励对象授予</w:t>
      </w:r>
      <w:r>
        <w:rPr>
          <w:spacing w:val="-50"/>
        </w:rPr>
        <w:t> </w:t>
      </w:r>
      <w:r>
        <w:rPr>
          <w:rFonts w:ascii="宋体" w:hAnsi="宋体" w:cs="宋体" w:eastAsia="宋体" w:hint="default"/>
        </w:rPr>
        <w:t>3,865.360</w:t>
      </w:r>
      <w:r>
        <w:rPr>
          <w:rFonts w:ascii="宋体" w:hAnsi="宋体" w:cs="宋体" w:eastAsia="宋体" w:hint="default"/>
          <w:spacing w:val="-49"/>
        </w:rPr>
        <w:t> </w:t>
      </w:r>
      <w:r>
        <w:rPr/>
        <w:t>万份股票期</w:t>
      </w:r>
      <w:r>
        <w:rPr>
          <w:w w:val="100"/>
        </w:rPr>
        <w:t> </w:t>
      </w:r>
      <w:r>
        <w:rPr/>
        <w:t>权，涉及的标的股票种类为人民币 </w:t>
      </w:r>
      <w:r>
        <w:rPr>
          <w:rFonts w:ascii="宋体" w:hAnsi="宋体" w:cs="宋体" w:eastAsia="宋体" w:hint="default"/>
        </w:rPr>
        <w:t>A </w:t>
      </w:r>
      <w:r>
        <w:rPr/>
        <w:t>股普通股，占本激励计划公告时公司股本总额</w:t>
      </w:r>
      <w:r>
        <w:rPr>
          <w:spacing w:val="4"/>
        </w:rPr>
        <w:t> </w:t>
      </w:r>
      <w:r>
        <w:rPr>
          <w:rFonts w:ascii="宋体" w:hAnsi="宋体" w:cs="宋体" w:eastAsia="宋体" w:hint="default"/>
        </w:rPr>
        <w:t>146,421.78</w:t>
      </w:r>
      <w:r>
        <w:rPr>
          <w:rFonts w:ascii="宋体" w:hAnsi="宋体" w:cs="宋体" w:eastAsia="宋体" w:hint="default"/>
          <w:w w:val="100"/>
        </w:rPr>
        <w:t> </w:t>
      </w:r>
      <w:r>
        <w:rPr/>
        <w:t>万股的</w:t>
      </w:r>
      <w:r>
        <w:rPr>
          <w:spacing w:val="7"/>
        </w:rPr>
        <w:t> </w:t>
      </w:r>
      <w:r>
        <w:rPr>
          <w:rFonts w:ascii="宋体" w:hAnsi="宋体" w:cs="宋体" w:eastAsia="宋体" w:hint="default"/>
        </w:rPr>
        <w:t>2.64%</w:t>
      </w:r>
      <w:r>
        <w:rPr/>
        <w:t>。在满足行权条件的情况下，每份股票期权拥有在行权有效期的可行权日以行权价</w:t>
      </w:r>
      <w:r>
        <w:rPr>
          <w:w w:val="100"/>
        </w:rPr>
        <w:t> </w:t>
      </w:r>
      <w:r>
        <w:rPr/>
        <w:t>格购买</w:t>
      </w:r>
      <w:r>
        <w:rPr>
          <w:spacing w:val="-51"/>
        </w:rPr>
        <w:t> </w:t>
      </w:r>
      <w:r>
        <w:rPr>
          <w:rFonts w:ascii="宋体" w:hAnsi="宋体" w:cs="宋体" w:eastAsia="宋体" w:hint="default"/>
        </w:rPr>
        <w:t>1</w:t>
      </w:r>
      <w:r>
        <w:rPr>
          <w:rFonts w:ascii="宋体" w:hAnsi="宋体" w:cs="宋体" w:eastAsia="宋体" w:hint="default"/>
          <w:spacing w:val="-54"/>
        </w:rPr>
        <w:t> </w:t>
      </w:r>
      <w:r>
        <w:rPr/>
        <w:t>股用友网络</w:t>
      </w:r>
      <w:r>
        <w:rPr>
          <w:spacing w:val="-51"/>
        </w:rPr>
        <w:t> </w:t>
      </w:r>
      <w:r>
        <w:rPr>
          <w:rFonts w:ascii="宋体" w:hAnsi="宋体" w:cs="宋体" w:eastAsia="宋体" w:hint="default"/>
        </w:rPr>
        <w:t>A</w:t>
      </w:r>
      <w:r>
        <w:rPr>
          <w:rFonts w:ascii="宋体" w:hAnsi="宋体" w:cs="宋体" w:eastAsia="宋体" w:hint="default"/>
          <w:spacing w:val="-53"/>
        </w:rPr>
        <w:t> </w:t>
      </w:r>
      <w:r>
        <w:rPr/>
        <w:t>股股票的权利。公司拟向激励对象授予合计不超过</w:t>
      </w:r>
      <w:r>
        <w:rPr>
          <w:spacing w:val="-52"/>
        </w:rPr>
        <w:t> </w:t>
      </w:r>
      <w:r>
        <w:rPr>
          <w:rFonts w:ascii="宋体" w:hAnsi="宋体" w:cs="宋体" w:eastAsia="宋体" w:hint="default"/>
        </w:rPr>
        <w:t>1,932.640</w:t>
      </w:r>
      <w:r>
        <w:rPr>
          <w:rFonts w:ascii="宋体" w:hAnsi="宋体" w:cs="宋体" w:eastAsia="宋体" w:hint="default"/>
          <w:spacing w:val="-51"/>
        </w:rPr>
        <w:t> </w:t>
      </w:r>
      <w:r>
        <w:rPr/>
        <w:t>万股公司限</w:t>
      </w:r>
      <w:r>
        <w:rPr>
          <w:w w:val="100"/>
        </w:rPr>
        <w:t> </w:t>
      </w:r>
      <w:r>
        <w:rPr/>
        <w:t>制性股票，占本激励计划公告时公司股本总额</w:t>
      </w:r>
      <w:r>
        <w:rPr>
          <w:spacing w:val="-56"/>
        </w:rPr>
        <w:t> </w:t>
      </w:r>
      <w:r>
        <w:rPr>
          <w:rFonts w:ascii="宋体" w:hAnsi="宋体" w:cs="宋体" w:eastAsia="宋体" w:hint="default"/>
        </w:rPr>
        <w:t>146,421.78</w:t>
      </w:r>
      <w:r>
        <w:rPr>
          <w:rFonts w:ascii="宋体" w:hAnsi="宋体" w:cs="宋体" w:eastAsia="宋体" w:hint="default"/>
          <w:spacing w:val="-56"/>
        </w:rPr>
        <w:t> </w:t>
      </w:r>
      <w:r>
        <w:rPr/>
        <w:t>万股的</w:t>
      </w:r>
      <w:r>
        <w:rPr>
          <w:spacing w:val="-56"/>
        </w:rPr>
        <w:t> </w:t>
      </w:r>
      <w:r>
        <w:rPr>
          <w:rFonts w:ascii="宋体" w:hAnsi="宋体" w:cs="宋体" w:eastAsia="宋体" w:hint="default"/>
        </w:rPr>
        <w:t>1.32%</w:t>
      </w:r>
      <w:r>
        <w:rPr/>
        <w:t>。</w:t>
      </w:r>
    </w:p>
    <w:p>
      <w:pPr>
        <w:pStyle w:val="BodyText"/>
        <w:spacing w:line="240" w:lineRule="auto" w:before="31"/>
        <w:ind w:left="558" w:right="0"/>
        <w:jc w:val="left"/>
      </w:pPr>
      <w:r>
        <w:rPr>
          <w:rFonts w:ascii="宋体" w:hAnsi="宋体" w:cs="宋体" w:eastAsia="宋体" w:hint="default"/>
        </w:rPr>
        <w:t>2017</w:t>
      </w:r>
      <w:r>
        <w:rPr>
          <w:rFonts w:ascii="宋体" w:hAnsi="宋体" w:cs="宋体" w:eastAsia="宋体" w:hint="default"/>
          <w:spacing w:val="-40"/>
        </w:rPr>
        <w:t> </w:t>
      </w:r>
      <w:r>
        <w:rPr/>
        <w:t>年</w:t>
      </w:r>
      <w:r>
        <w:rPr>
          <w:spacing w:val="-38"/>
        </w:rPr>
        <w:t> </w:t>
      </w:r>
      <w:r>
        <w:rPr>
          <w:rFonts w:ascii="宋体" w:hAnsi="宋体" w:cs="宋体" w:eastAsia="宋体" w:hint="default"/>
        </w:rPr>
        <w:t>6</w:t>
      </w:r>
      <w:r>
        <w:rPr>
          <w:rFonts w:ascii="宋体" w:hAnsi="宋体" w:cs="宋体" w:eastAsia="宋体" w:hint="default"/>
          <w:spacing w:val="-40"/>
        </w:rPr>
        <w:t> </w:t>
      </w:r>
      <w:r>
        <w:rPr/>
        <w:t>月</w:t>
      </w:r>
      <w:r>
        <w:rPr>
          <w:spacing w:val="-38"/>
        </w:rPr>
        <w:t> </w:t>
      </w:r>
      <w:r>
        <w:rPr>
          <w:rFonts w:ascii="宋体" w:hAnsi="宋体" w:cs="宋体" w:eastAsia="宋体" w:hint="default"/>
        </w:rPr>
        <w:t>9</w:t>
      </w:r>
      <w:r>
        <w:rPr>
          <w:rFonts w:ascii="宋体" w:hAnsi="宋体" w:cs="宋体" w:eastAsia="宋体" w:hint="default"/>
          <w:spacing w:val="-40"/>
        </w:rPr>
        <w:t> </w:t>
      </w:r>
      <w:r>
        <w:rPr>
          <w:spacing w:val="-5"/>
        </w:rPr>
        <w:t>日公司在上海证券交易所网站（</w:t>
      </w:r>
      <w:hyperlink r:id="rId13">
        <w:r>
          <w:rPr>
            <w:rFonts w:ascii="宋体" w:hAnsi="宋体" w:cs="宋体" w:eastAsia="宋体" w:hint="default"/>
            <w:spacing w:val="-5"/>
          </w:rPr>
          <w:t>http://www.sse.com.cn</w:t>
        </w:r>
      </w:hyperlink>
      <w:r>
        <w:rPr>
          <w:spacing w:val="-5"/>
        </w:rPr>
        <w:t>）和《上海证券报》、</w:t>
      </w:r>
    </w:p>
    <w:p>
      <w:pPr>
        <w:pStyle w:val="BodyText"/>
        <w:spacing w:line="357" w:lineRule="auto" w:before="133"/>
        <w:ind w:left="138" w:right="0"/>
        <w:jc w:val="left"/>
      </w:pPr>
      <w:r>
        <w:rPr>
          <w:spacing w:val="-4"/>
        </w:rPr>
        <w:t>《中国证券报》、《证券时报》、《证券日报》上刊登了《用友网络科技股份有限公司</w:t>
      </w:r>
      <w:r>
        <w:rPr>
          <w:spacing w:val="-31"/>
        </w:rPr>
        <w:t> </w:t>
      </w:r>
      <w:r>
        <w:rPr>
          <w:rFonts w:ascii="宋体" w:hAnsi="宋体" w:cs="宋体" w:eastAsia="宋体" w:hint="default"/>
        </w:rPr>
        <w:t>2017</w:t>
      </w:r>
      <w:r>
        <w:rPr>
          <w:rFonts w:ascii="宋体" w:hAnsi="宋体" w:cs="宋体" w:eastAsia="宋体" w:hint="default"/>
          <w:spacing w:val="-33"/>
        </w:rPr>
        <w:t> </w:t>
      </w:r>
      <w:r>
        <w:rPr>
          <w:spacing w:val="-3"/>
        </w:rPr>
        <w:t>年股</w:t>
      </w:r>
      <w:r>
        <w:rPr>
          <w:spacing w:val="-97"/>
        </w:rPr>
        <w:t> </w:t>
      </w:r>
      <w:r>
        <w:rPr/>
        <w:t>票期权与限制性股票激励计划股份回购开始公告》。</w:t>
      </w:r>
    </w:p>
    <w:p>
      <w:pPr>
        <w:pStyle w:val="BodyText"/>
        <w:spacing w:line="240" w:lineRule="auto" w:before="30"/>
        <w:ind w:left="558" w:right="0"/>
        <w:jc w:val="left"/>
      </w:pPr>
      <w:r>
        <w:rPr>
          <w:rFonts w:ascii="宋体" w:hAnsi="宋体" w:cs="宋体" w:eastAsia="宋体" w:hint="default"/>
        </w:rPr>
        <w:t>2017</w:t>
      </w:r>
      <w:r>
        <w:rPr>
          <w:rFonts w:ascii="宋体" w:hAnsi="宋体" w:cs="宋体" w:eastAsia="宋体" w:hint="default"/>
          <w:spacing w:val="-47"/>
        </w:rPr>
        <w:t> </w:t>
      </w:r>
      <w:r>
        <w:rPr/>
        <w:t>年</w:t>
      </w:r>
      <w:r>
        <w:rPr>
          <w:spacing w:val="-45"/>
        </w:rPr>
        <w:t> </w:t>
      </w:r>
      <w:r>
        <w:rPr>
          <w:rFonts w:ascii="宋体" w:hAnsi="宋体" w:cs="宋体" w:eastAsia="宋体" w:hint="default"/>
        </w:rPr>
        <w:t>6</w:t>
      </w:r>
      <w:r>
        <w:rPr>
          <w:rFonts w:ascii="宋体" w:hAnsi="宋体" w:cs="宋体" w:eastAsia="宋体" w:hint="default"/>
          <w:spacing w:val="-47"/>
        </w:rPr>
        <w:t> </w:t>
      </w:r>
      <w:r>
        <w:rPr/>
        <w:t>月</w:t>
      </w:r>
      <w:r>
        <w:rPr>
          <w:spacing w:val="-45"/>
        </w:rPr>
        <w:t> </w:t>
      </w:r>
      <w:r>
        <w:rPr>
          <w:rFonts w:ascii="宋体" w:hAnsi="宋体" w:cs="宋体" w:eastAsia="宋体" w:hint="default"/>
        </w:rPr>
        <w:t>24</w:t>
      </w:r>
      <w:r>
        <w:rPr>
          <w:rFonts w:ascii="宋体" w:hAnsi="宋体" w:cs="宋体" w:eastAsia="宋体" w:hint="default"/>
          <w:spacing w:val="-47"/>
        </w:rPr>
        <w:t> </w:t>
      </w:r>
      <w:r>
        <w:rPr>
          <w:spacing w:val="-4"/>
        </w:rPr>
        <w:t>日公司在上述媒体刊登了《用友网络科技股份有限公司</w:t>
      </w:r>
      <w:r>
        <w:rPr>
          <w:spacing w:val="-45"/>
        </w:rPr>
        <w:t> </w:t>
      </w:r>
      <w:r>
        <w:rPr>
          <w:rFonts w:ascii="宋体" w:hAnsi="宋体" w:cs="宋体" w:eastAsia="宋体" w:hint="default"/>
        </w:rPr>
        <w:t>2017</w:t>
      </w:r>
      <w:r>
        <w:rPr>
          <w:rFonts w:ascii="宋体" w:hAnsi="宋体" w:cs="宋体" w:eastAsia="宋体" w:hint="default"/>
          <w:spacing w:val="-47"/>
        </w:rPr>
        <w:t> </w:t>
      </w:r>
      <w:r>
        <w:rPr/>
        <w:t>年股票期权与限</w:t>
      </w:r>
    </w:p>
    <w:p>
      <w:pPr>
        <w:pStyle w:val="BodyText"/>
        <w:spacing w:line="240" w:lineRule="auto" w:before="133"/>
        <w:ind w:left="138" w:right="0"/>
        <w:jc w:val="both"/>
        <w:rPr>
          <w:rFonts w:ascii="宋体" w:hAnsi="宋体" w:cs="宋体" w:eastAsia="宋体" w:hint="default"/>
        </w:rPr>
      </w:pPr>
      <w:r>
        <w:rPr>
          <w:spacing w:val="-3"/>
        </w:rPr>
        <w:t>制性股票激励计划股份回购结果公告》。本次股份回购自</w:t>
      </w:r>
      <w:r>
        <w:rPr>
          <w:spacing w:val="-50"/>
        </w:rPr>
        <w:t> </w:t>
      </w:r>
      <w:r>
        <w:rPr>
          <w:rFonts w:ascii="宋体" w:hAnsi="宋体" w:cs="宋体" w:eastAsia="宋体" w:hint="default"/>
        </w:rPr>
        <w:t>2017</w:t>
      </w:r>
      <w:r>
        <w:rPr>
          <w:rFonts w:ascii="宋体" w:hAnsi="宋体" w:cs="宋体" w:eastAsia="宋体" w:hint="default"/>
          <w:spacing w:val="-50"/>
        </w:rPr>
        <w:t> </w:t>
      </w:r>
      <w:r>
        <w:rPr/>
        <w:t>年</w:t>
      </w:r>
      <w:r>
        <w:rPr>
          <w:spacing w:val="-52"/>
        </w:rPr>
        <w:t> </w:t>
      </w:r>
      <w:r>
        <w:rPr>
          <w:rFonts w:ascii="宋体" w:hAnsi="宋体" w:cs="宋体" w:eastAsia="宋体" w:hint="default"/>
        </w:rPr>
        <w:t>6</w:t>
      </w:r>
      <w:r>
        <w:rPr>
          <w:rFonts w:ascii="宋体" w:hAnsi="宋体" w:cs="宋体" w:eastAsia="宋体" w:hint="default"/>
          <w:spacing w:val="-50"/>
        </w:rPr>
        <w:t> </w:t>
      </w:r>
      <w:r>
        <w:rPr/>
        <w:t>月</w:t>
      </w:r>
      <w:r>
        <w:rPr>
          <w:spacing w:val="-52"/>
        </w:rPr>
        <w:t> </w:t>
      </w:r>
      <w:r>
        <w:rPr>
          <w:rFonts w:ascii="宋体" w:hAnsi="宋体" w:cs="宋体" w:eastAsia="宋体" w:hint="default"/>
        </w:rPr>
        <w:t>9</w:t>
      </w:r>
      <w:r>
        <w:rPr>
          <w:rFonts w:ascii="宋体" w:hAnsi="宋体" w:cs="宋体" w:eastAsia="宋体" w:hint="default"/>
          <w:spacing w:val="-50"/>
        </w:rPr>
        <w:t> </w:t>
      </w:r>
      <w:r>
        <w:rPr/>
        <w:t>日开始至</w:t>
      </w:r>
      <w:r>
        <w:rPr>
          <w:spacing w:val="-49"/>
        </w:rPr>
        <w:t> </w:t>
      </w:r>
      <w:r>
        <w:rPr>
          <w:rFonts w:ascii="宋体" w:hAnsi="宋体" w:cs="宋体" w:eastAsia="宋体" w:hint="default"/>
        </w:rPr>
        <w:t>2017</w:t>
      </w:r>
      <w:r>
        <w:rPr>
          <w:rFonts w:ascii="宋体" w:hAnsi="宋体" w:cs="宋体" w:eastAsia="宋体" w:hint="default"/>
          <w:spacing w:val="-52"/>
        </w:rPr>
        <w:t> </w:t>
      </w:r>
      <w:r>
        <w:rPr/>
        <w:t>年</w:t>
      </w:r>
      <w:r>
        <w:rPr>
          <w:spacing w:val="-50"/>
        </w:rPr>
        <w:t> </w:t>
      </w:r>
      <w:r>
        <w:rPr>
          <w:rFonts w:ascii="宋体" w:hAnsi="宋体" w:cs="宋体" w:eastAsia="宋体" w:hint="default"/>
        </w:rPr>
        <w:t>6</w:t>
      </w:r>
      <w:r>
        <w:rPr>
          <w:rFonts w:ascii="宋体" w:hAnsi="宋体" w:cs="宋体" w:eastAsia="宋体" w:hint="default"/>
          <w:spacing w:val="-52"/>
        </w:rPr>
        <w:t> </w:t>
      </w:r>
      <w:r>
        <w:rPr/>
        <w:t>月</w:t>
      </w:r>
      <w:r>
        <w:rPr>
          <w:spacing w:val="-50"/>
        </w:rPr>
        <w:t> </w:t>
      </w:r>
      <w:r>
        <w:rPr>
          <w:rFonts w:ascii="宋体" w:hAnsi="宋体" w:cs="宋体" w:eastAsia="宋体" w:hint="default"/>
        </w:rPr>
        <w:t>22</w:t>
      </w:r>
    </w:p>
    <w:p>
      <w:pPr>
        <w:pStyle w:val="BodyText"/>
        <w:spacing w:line="355" w:lineRule="auto" w:before="133"/>
        <w:ind w:left="138" w:right="0"/>
        <w:jc w:val="left"/>
      </w:pPr>
      <w:r>
        <w:rPr/>
        <w:t>日结束。截至</w:t>
      </w:r>
      <w:r>
        <w:rPr>
          <w:spacing w:val="-54"/>
        </w:rPr>
        <w:t> </w:t>
      </w:r>
      <w:r>
        <w:rPr>
          <w:rFonts w:ascii="宋体" w:hAnsi="宋体" w:cs="宋体" w:eastAsia="宋体" w:hint="default"/>
        </w:rPr>
        <w:t>2017</w:t>
      </w:r>
      <w:r>
        <w:rPr>
          <w:rFonts w:ascii="宋体" w:hAnsi="宋体" w:cs="宋体" w:eastAsia="宋体" w:hint="default"/>
          <w:spacing w:val="-54"/>
        </w:rPr>
        <w:t> </w:t>
      </w:r>
      <w:r>
        <w:rPr/>
        <w:t>年</w:t>
      </w:r>
      <w:r>
        <w:rPr>
          <w:spacing w:val="-51"/>
        </w:rPr>
        <w:t> </w:t>
      </w:r>
      <w:r>
        <w:rPr>
          <w:rFonts w:ascii="宋体" w:hAnsi="宋体" w:cs="宋体" w:eastAsia="宋体" w:hint="default"/>
        </w:rPr>
        <w:t>6</w:t>
      </w:r>
      <w:r>
        <w:rPr>
          <w:rFonts w:ascii="宋体" w:hAnsi="宋体" w:cs="宋体" w:eastAsia="宋体" w:hint="default"/>
          <w:spacing w:val="-54"/>
        </w:rPr>
        <w:t> </w:t>
      </w:r>
      <w:r>
        <w:rPr/>
        <w:t>月</w:t>
      </w:r>
      <w:r>
        <w:rPr>
          <w:spacing w:val="-51"/>
        </w:rPr>
        <w:t> </w:t>
      </w:r>
      <w:r>
        <w:rPr>
          <w:rFonts w:ascii="宋体" w:hAnsi="宋体" w:cs="宋体" w:eastAsia="宋体" w:hint="default"/>
        </w:rPr>
        <w:t>22</w:t>
      </w:r>
      <w:r>
        <w:rPr>
          <w:rFonts w:ascii="宋体" w:hAnsi="宋体" w:cs="宋体" w:eastAsia="宋体" w:hint="default"/>
          <w:spacing w:val="-51"/>
        </w:rPr>
        <w:t> </w:t>
      </w:r>
      <w:r>
        <w:rPr/>
        <w:t>日止，本次股份回购实际购买公司股票</w:t>
      </w:r>
      <w:r>
        <w:rPr>
          <w:spacing w:val="-54"/>
        </w:rPr>
        <w:t> </w:t>
      </w:r>
      <w:r>
        <w:rPr>
          <w:rFonts w:ascii="宋体" w:hAnsi="宋体" w:cs="宋体" w:eastAsia="宋体" w:hint="default"/>
        </w:rPr>
        <w:t>1932.6432</w:t>
      </w:r>
      <w:r>
        <w:rPr>
          <w:rFonts w:ascii="宋体" w:hAnsi="宋体" w:cs="宋体" w:eastAsia="宋体" w:hint="default"/>
          <w:spacing w:val="-53"/>
        </w:rPr>
        <w:t> </w:t>
      </w:r>
      <w:r>
        <w:rPr/>
        <w:t>万股，占公司股</w:t>
      </w:r>
      <w:r>
        <w:rPr>
          <w:w w:val="100"/>
        </w:rPr>
        <w:t> </w:t>
      </w:r>
      <w:r>
        <w:rPr/>
        <w:t>本总额的</w:t>
      </w:r>
      <w:r>
        <w:rPr>
          <w:spacing w:val="-56"/>
        </w:rPr>
        <w:t> </w:t>
      </w:r>
      <w:r>
        <w:rPr>
          <w:rFonts w:ascii="宋体" w:hAnsi="宋体" w:cs="宋体" w:eastAsia="宋体" w:hint="default"/>
        </w:rPr>
        <w:t>1.32%</w:t>
      </w:r>
      <w:r>
        <w:rPr/>
        <w:t>，实际使用资金总额为</w:t>
      </w:r>
      <w:r>
        <w:rPr>
          <w:spacing w:val="-55"/>
        </w:rPr>
        <w:t> </w:t>
      </w:r>
      <w:r>
        <w:rPr>
          <w:rFonts w:ascii="宋体" w:hAnsi="宋体" w:cs="宋体" w:eastAsia="宋体" w:hint="default"/>
        </w:rPr>
        <w:t>318,551,071.77</w:t>
      </w:r>
      <w:r>
        <w:rPr>
          <w:rFonts w:ascii="宋体" w:hAnsi="宋体" w:cs="宋体" w:eastAsia="宋体" w:hint="default"/>
          <w:spacing w:val="-58"/>
        </w:rPr>
        <w:t> </w:t>
      </w:r>
      <w:r>
        <w:rPr/>
        <w:t>元（含各种交易费用）。</w:t>
      </w:r>
    </w:p>
    <w:p>
      <w:pPr>
        <w:pStyle w:val="BodyText"/>
        <w:spacing w:line="240" w:lineRule="auto" w:before="34"/>
        <w:ind w:left="558" w:right="0"/>
        <w:jc w:val="left"/>
      </w:pPr>
      <w:r>
        <w:rPr/>
        <w:t>公司于</w:t>
      </w:r>
      <w:r>
        <w:rPr>
          <w:spacing w:val="-51"/>
        </w:rPr>
        <w:t> </w:t>
      </w:r>
      <w:r>
        <w:rPr>
          <w:rFonts w:ascii="宋体" w:hAnsi="宋体" w:cs="宋体" w:eastAsia="宋体" w:hint="default"/>
        </w:rPr>
        <w:t>2017</w:t>
      </w:r>
      <w:r>
        <w:rPr>
          <w:rFonts w:ascii="宋体" w:hAnsi="宋体" w:cs="宋体" w:eastAsia="宋体" w:hint="default"/>
          <w:spacing w:val="-54"/>
        </w:rPr>
        <w:t> </w:t>
      </w:r>
      <w:r>
        <w:rPr/>
        <w:t>年</w:t>
      </w:r>
      <w:r>
        <w:rPr>
          <w:spacing w:val="-54"/>
        </w:rPr>
        <w:t> </w:t>
      </w:r>
      <w:r>
        <w:rPr>
          <w:rFonts w:ascii="宋体" w:hAnsi="宋体" w:cs="宋体" w:eastAsia="宋体" w:hint="default"/>
        </w:rPr>
        <w:t>8</w:t>
      </w:r>
      <w:r>
        <w:rPr>
          <w:rFonts w:ascii="宋体" w:hAnsi="宋体" w:cs="宋体" w:eastAsia="宋体" w:hint="default"/>
          <w:spacing w:val="-54"/>
        </w:rPr>
        <w:t> </w:t>
      </w:r>
      <w:r>
        <w:rPr/>
        <w:t>月</w:t>
      </w:r>
      <w:r>
        <w:rPr>
          <w:spacing w:val="-53"/>
        </w:rPr>
        <w:t> </w:t>
      </w:r>
      <w:r>
        <w:rPr>
          <w:rFonts w:ascii="宋体" w:hAnsi="宋体" w:cs="宋体" w:eastAsia="宋体" w:hint="default"/>
        </w:rPr>
        <w:t>9</w:t>
      </w:r>
      <w:r>
        <w:rPr>
          <w:rFonts w:ascii="宋体" w:hAnsi="宋体" w:cs="宋体" w:eastAsia="宋体" w:hint="default"/>
          <w:spacing w:val="-51"/>
        </w:rPr>
        <w:t> </w:t>
      </w:r>
      <w:r>
        <w:rPr/>
        <w:t>日披露了《公司关于</w:t>
      </w:r>
      <w:r>
        <w:rPr>
          <w:spacing w:val="-52"/>
        </w:rPr>
        <w:t> </w:t>
      </w:r>
      <w:r>
        <w:rPr>
          <w:rFonts w:ascii="宋体" w:hAnsi="宋体" w:cs="宋体" w:eastAsia="宋体" w:hint="default"/>
        </w:rPr>
        <w:t>2017</w:t>
      </w:r>
      <w:r>
        <w:rPr>
          <w:rFonts w:ascii="宋体" w:hAnsi="宋体" w:cs="宋体" w:eastAsia="宋体" w:hint="default"/>
          <w:spacing w:val="-53"/>
        </w:rPr>
        <w:t> </w:t>
      </w:r>
      <w:r>
        <w:rPr/>
        <w:t>年股票期权与限制性股票授予结果公告》，</w:t>
      </w:r>
    </w:p>
    <w:p>
      <w:pPr>
        <w:pStyle w:val="BodyText"/>
        <w:spacing w:line="240" w:lineRule="auto" w:before="133"/>
        <w:ind w:left="138" w:right="0"/>
        <w:jc w:val="both"/>
      </w:pPr>
      <w:r>
        <w:rPr>
          <w:spacing w:val="6"/>
        </w:rPr>
        <w:t>公司最后实际向 </w:t>
      </w:r>
      <w:r>
        <w:rPr>
          <w:rFonts w:ascii="宋体" w:hAnsi="宋体" w:cs="宋体" w:eastAsia="宋体" w:hint="default"/>
        </w:rPr>
        <w:t>1428 </w:t>
      </w:r>
      <w:r>
        <w:rPr>
          <w:spacing w:val="6"/>
        </w:rPr>
        <w:t>名激励对象授予 </w:t>
      </w:r>
      <w:r>
        <w:rPr>
          <w:rFonts w:ascii="宋体" w:hAnsi="宋体" w:cs="宋体" w:eastAsia="宋体" w:hint="default"/>
        </w:rPr>
        <w:t>3,846.561 </w:t>
      </w:r>
      <w:r>
        <w:rPr>
          <w:spacing w:val="7"/>
        </w:rPr>
        <w:t>万份股票期权，向 </w:t>
      </w:r>
      <w:r>
        <w:rPr>
          <w:rFonts w:ascii="宋体" w:hAnsi="宋体" w:cs="宋体" w:eastAsia="宋体" w:hint="default"/>
        </w:rPr>
        <w:t>1408</w:t>
      </w:r>
      <w:r>
        <w:rPr>
          <w:rFonts w:ascii="宋体" w:hAnsi="宋体" w:cs="宋体" w:eastAsia="宋体" w:hint="default"/>
          <w:spacing w:val="103"/>
        </w:rPr>
        <w:t> </w:t>
      </w:r>
      <w:r>
        <w:rPr>
          <w:spacing w:val="8"/>
        </w:rPr>
        <w:t>名激励对象授予</w:t>
      </w:r>
      <w:r>
        <w:rPr/>
      </w:r>
    </w:p>
    <w:p>
      <w:pPr>
        <w:pStyle w:val="BodyText"/>
        <w:spacing w:line="240" w:lineRule="auto" w:before="133"/>
        <w:ind w:left="138" w:right="0"/>
        <w:jc w:val="both"/>
      </w:pPr>
      <w:r>
        <w:rPr>
          <w:rFonts w:ascii="宋体" w:hAnsi="宋体" w:cs="宋体" w:eastAsia="宋体" w:hint="default"/>
        </w:rPr>
        <w:t>1,905.654</w:t>
      </w:r>
      <w:r>
        <w:rPr>
          <w:rFonts w:ascii="宋体" w:hAnsi="宋体" w:cs="宋体" w:eastAsia="宋体" w:hint="default"/>
          <w:spacing w:val="-52"/>
        </w:rPr>
        <w:t> </w:t>
      </w:r>
      <w:r>
        <w:rPr/>
        <w:t>万股限制性股票。</w:t>
      </w:r>
    </w:p>
    <w:p>
      <w:pPr>
        <w:pStyle w:val="BodyText"/>
        <w:spacing w:line="240" w:lineRule="auto" w:before="133"/>
        <w:ind w:left="558" w:right="0"/>
        <w:jc w:val="left"/>
      </w:pPr>
      <w:r>
        <w:rPr/>
        <w:t>公司于</w:t>
      </w:r>
      <w:r>
        <w:rPr>
          <w:spacing w:val="-51"/>
        </w:rPr>
        <w:t> </w:t>
      </w:r>
      <w:r>
        <w:rPr>
          <w:rFonts w:ascii="宋体" w:hAnsi="宋体" w:cs="宋体" w:eastAsia="宋体" w:hint="default"/>
        </w:rPr>
        <w:t>2017</w:t>
      </w:r>
      <w:r>
        <w:rPr>
          <w:rFonts w:ascii="宋体" w:hAnsi="宋体" w:cs="宋体" w:eastAsia="宋体" w:hint="default"/>
          <w:spacing w:val="-54"/>
        </w:rPr>
        <w:t> </w:t>
      </w:r>
      <w:r>
        <w:rPr/>
        <w:t>年</w:t>
      </w:r>
      <w:r>
        <w:rPr>
          <w:spacing w:val="-51"/>
        </w:rPr>
        <w:t> </w:t>
      </w:r>
      <w:r>
        <w:rPr>
          <w:rFonts w:ascii="宋体" w:hAnsi="宋体" w:cs="宋体" w:eastAsia="宋体" w:hint="default"/>
        </w:rPr>
        <w:t>8</w:t>
      </w:r>
      <w:r>
        <w:rPr>
          <w:rFonts w:ascii="宋体" w:hAnsi="宋体" w:cs="宋体" w:eastAsia="宋体" w:hint="default"/>
          <w:spacing w:val="-54"/>
        </w:rPr>
        <w:t> </w:t>
      </w:r>
      <w:r>
        <w:rPr/>
        <w:t>月</w:t>
      </w:r>
      <w:r>
        <w:rPr>
          <w:spacing w:val="-51"/>
        </w:rPr>
        <w:t> </w:t>
      </w:r>
      <w:r>
        <w:rPr>
          <w:rFonts w:ascii="宋体" w:hAnsi="宋体" w:cs="宋体" w:eastAsia="宋体" w:hint="default"/>
        </w:rPr>
        <w:t>25</w:t>
      </w:r>
      <w:r>
        <w:rPr>
          <w:rFonts w:ascii="宋体" w:hAnsi="宋体" w:cs="宋体" w:eastAsia="宋体" w:hint="default"/>
          <w:spacing w:val="-51"/>
        </w:rPr>
        <w:t> </w:t>
      </w:r>
      <w:r>
        <w:rPr/>
        <w:t>日召开了第七届董事会第十次会议，审议通过了《公司关于作废部分</w:t>
      </w:r>
    </w:p>
    <w:p>
      <w:pPr>
        <w:pStyle w:val="BodyText"/>
        <w:spacing w:line="357" w:lineRule="auto" w:before="133"/>
        <w:ind w:left="138" w:right="148"/>
        <w:jc w:val="both"/>
      </w:pPr>
      <w:r>
        <w:rPr>
          <w:spacing w:val="-4"/>
        </w:rPr>
        <w:t>股票期权及回购注销部分限制性股票的议案》。因公司</w:t>
      </w:r>
      <w:r>
        <w:rPr>
          <w:spacing w:val="-20"/>
        </w:rPr>
        <w:t> </w:t>
      </w:r>
      <w:r>
        <w:rPr>
          <w:rFonts w:ascii="宋体" w:hAnsi="宋体" w:cs="宋体" w:eastAsia="宋体" w:hint="default"/>
        </w:rPr>
        <w:t>2016</w:t>
      </w:r>
      <w:r>
        <w:rPr>
          <w:rFonts w:ascii="宋体" w:hAnsi="宋体" w:cs="宋体" w:eastAsia="宋体" w:hint="default"/>
          <w:spacing w:val="-24"/>
        </w:rPr>
        <w:t> </w:t>
      </w:r>
      <w:r>
        <w:rPr>
          <w:spacing w:val="-5"/>
        </w:rPr>
        <w:t>年业绩未满足《股权激励计划（草案</w:t>
      </w:r>
      <w:r>
        <w:rPr>
          <w:spacing w:val="-93"/>
        </w:rPr>
        <w:t> </w:t>
      </w:r>
      <w:r>
        <w:rPr>
          <w:spacing w:val="-93"/>
        </w:rPr>
      </w:r>
      <w:r>
        <w:rPr>
          <w:spacing w:val="-1"/>
        </w:rPr>
        <w:t>修订稿）》规定的公司业绩考核要求，公司决定按照《股权激励计划（草案修订稿）》的相关规</w:t>
      </w:r>
      <w:r>
        <w:rPr>
          <w:spacing w:val="-55"/>
        </w:rPr>
        <w:t> </w:t>
      </w:r>
      <w:r>
        <w:rPr>
          <w:spacing w:val="-55"/>
        </w:rPr>
      </w:r>
      <w:r>
        <w:rPr/>
        <w:t>定作废</w:t>
      </w:r>
      <w:r>
        <w:rPr>
          <w:spacing w:val="-51"/>
        </w:rPr>
        <w:t> </w:t>
      </w:r>
      <w:r>
        <w:rPr>
          <w:rFonts w:ascii="宋体" w:hAnsi="宋体" w:cs="宋体" w:eastAsia="宋体" w:hint="default"/>
        </w:rPr>
        <w:t>215</w:t>
      </w:r>
      <w:r>
        <w:rPr>
          <w:rFonts w:ascii="宋体" w:hAnsi="宋体" w:cs="宋体" w:eastAsia="宋体" w:hint="default"/>
          <w:spacing w:val="-54"/>
        </w:rPr>
        <w:t> </w:t>
      </w:r>
      <w:r>
        <w:rPr/>
        <w:t>名激励对象共计</w:t>
      </w:r>
      <w:r>
        <w:rPr>
          <w:spacing w:val="-51"/>
        </w:rPr>
        <w:t> </w:t>
      </w:r>
      <w:r>
        <w:rPr>
          <w:rFonts w:ascii="宋体" w:hAnsi="宋体" w:cs="宋体" w:eastAsia="宋体" w:hint="default"/>
        </w:rPr>
        <w:t>527,808</w:t>
      </w:r>
      <w:r>
        <w:rPr>
          <w:rFonts w:ascii="宋体" w:hAnsi="宋体" w:cs="宋体" w:eastAsia="宋体" w:hint="default"/>
          <w:spacing w:val="-54"/>
        </w:rPr>
        <w:t> </w:t>
      </w:r>
      <w:r>
        <w:rPr/>
        <w:t>份的股票期权，回购注销</w:t>
      </w:r>
      <w:r>
        <w:rPr>
          <w:spacing w:val="-51"/>
        </w:rPr>
        <w:t> </w:t>
      </w:r>
      <w:r>
        <w:rPr>
          <w:rFonts w:ascii="宋体" w:hAnsi="宋体" w:cs="宋体" w:eastAsia="宋体" w:hint="default"/>
        </w:rPr>
        <w:t>215</w:t>
      </w:r>
      <w:r>
        <w:rPr>
          <w:rFonts w:ascii="宋体" w:hAnsi="宋体" w:cs="宋体" w:eastAsia="宋体" w:hint="default"/>
          <w:spacing w:val="-54"/>
        </w:rPr>
        <w:t> </w:t>
      </w:r>
      <w:r>
        <w:rPr/>
        <w:t>名激励对象共计</w:t>
      </w:r>
      <w:r>
        <w:rPr>
          <w:spacing w:val="-51"/>
        </w:rPr>
        <w:t> </w:t>
      </w:r>
      <w:r>
        <w:rPr>
          <w:rFonts w:ascii="宋体" w:hAnsi="宋体" w:cs="宋体" w:eastAsia="宋体" w:hint="default"/>
        </w:rPr>
        <w:t>351,271</w:t>
      </w:r>
      <w:r>
        <w:rPr>
          <w:rFonts w:ascii="宋体" w:hAnsi="宋体" w:cs="宋体" w:eastAsia="宋体" w:hint="default"/>
          <w:spacing w:val="-54"/>
        </w:rPr>
        <w:t> </w:t>
      </w:r>
      <w:r>
        <w:rPr/>
        <w:t>股的</w:t>
      </w:r>
      <w:r>
        <w:rPr>
          <w:w w:val="100"/>
        </w:rPr>
        <w:t> </w:t>
      </w:r>
      <w:r>
        <w:rPr/>
        <w:t>限制性股票。</w:t>
      </w:r>
    </w:p>
    <w:p>
      <w:pPr>
        <w:spacing w:line="240" w:lineRule="auto" w:before="4"/>
        <w:rPr>
          <w:rFonts w:ascii="宋体" w:hAnsi="宋体" w:cs="宋体" w:eastAsia="宋体" w:hint="default"/>
          <w:sz w:val="23"/>
          <w:szCs w:val="23"/>
        </w:rPr>
      </w:pPr>
    </w:p>
    <w:p>
      <w:pPr>
        <w:pStyle w:val="BodyText"/>
        <w:spacing w:line="273" w:lineRule="exact"/>
        <w:ind w:left="138" w:right="0"/>
        <w:jc w:val="both"/>
      </w:pPr>
      <w:r>
        <w:rPr/>
        <w:t>员工持股计划情况</w:t>
      </w:r>
    </w:p>
    <w:p>
      <w:pPr>
        <w:pStyle w:val="BodyText"/>
        <w:spacing w:line="273" w:lineRule="exact"/>
        <w:ind w:left="138" w:right="0"/>
        <w:jc w:val="both"/>
      </w:pPr>
      <w:r>
        <w:rPr/>
        <w:t>□适用</w:t>
      </w:r>
      <w:r>
        <w:rPr>
          <w:spacing w:val="104"/>
        </w:rPr>
        <w:t> </w:t>
      </w:r>
      <w:r>
        <w:rPr/>
        <w:t>√不适用</w:t>
      </w:r>
    </w:p>
    <w:p>
      <w:pPr>
        <w:spacing w:line="240" w:lineRule="auto" w:before="8"/>
        <w:rPr>
          <w:rFonts w:ascii="宋体" w:hAnsi="宋体" w:cs="宋体" w:eastAsia="宋体" w:hint="default"/>
          <w:sz w:val="20"/>
          <w:szCs w:val="20"/>
        </w:rPr>
      </w:pPr>
    </w:p>
    <w:p>
      <w:pPr>
        <w:pStyle w:val="BodyText"/>
        <w:spacing w:line="274" w:lineRule="exact"/>
        <w:ind w:left="138" w:right="0"/>
        <w:jc w:val="both"/>
      </w:pPr>
      <w:r>
        <w:rPr/>
        <w:t>其他激励措施</w:t>
      </w:r>
    </w:p>
    <w:p>
      <w:pPr>
        <w:pStyle w:val="BodyText"/>
        <w:spacing w:line="274" w:lineRule="exact"/>
        <w:ind w:left="138" w:right="0"/>
        <w:jc w:val="both"/>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left="138" w:right="0"/>
        <w:jc w:val="both"/>
        <w:rPr>
          <w:b w:val="0"/>
          <w:bCs w:val="0"/>
        </w:rPr>
      </w:pPr>
      <w:r>
        <w:rPr/>
        <w:t>十四、重大关联交易</w:t>
      </w:r>
      <w:r>
        <w:rPr>
          <w:b w:val="0"/>
          <w:bCs w:val="0"/>
        </w:rPr>
      </w:r>
    </w:p>
    <w:p>
      <w:pPr>
        <w:pStyle w:val="Heading3"/>
        <w:spacing w:line="240" w:lineRule="auto" w:before="56"/>
        <w:ind w:left="138" w:right="0"/>
        <w:jc w:val="both"/>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28"/>
        </w:rPr>
        <w:t> </w:t>
      </w:r>
      <w:r>
        <w:rPr/>
        <w:t>与日常经营相关的关联交易</w:t>
      </w:r>
      <w:r>
        <w:rPr>
          <w:b w:val="0"/>
          <w:bCs w:val="0"/>
        </w:rPr>
      </w:r>
    </w:p>
    <w:p>
      <w:pPr>
        <w:pStyle w:val="Heading3"/>
        <w:spacing w:line="240" w:lineRule="auto" w:before="32"/>
        <w:ind w:left="138" w:right="0"/>
        <w:jc w:val="both"/>
        <w:rPr>
          <w:b w:val="0"/>
          <w:bCs w:val="0"/>
        </w:rPr>
      </w:pPr>
      <w:r>
        <w:rPr>
          <w:rFonts w:ascii="宋体" w:hAnsi="宋体" w:cs="宋体" w:eastAsia="宋体" w:hint="default"/>
        </w:rPr>
        <w:t>1</w:t>
      </w:r>
      <w:r>
        <w:rPr/>
        <w:t>、</w:t>
      </w:r>
      <w:r>
        <w:rPr>
          <w:spacing w:val="-4"/>
        </w:rPr>
        <w:t> </w:t>
      </w:r>
      <w:r>
        <w:rPr/>
        <w:t>已在临时公告披露且后续实施无进展或变化的事项</w:t>
      </w:r>
      <w:r>
        <w:rPr>
          <w:b w:val="0"/>
          <w:bCs w:val="0"/>
        </w:rPr>
      </w:r>
    </w:p>
    <w:p>
      <w:pPr>
        <w:pStyle w:val="BodyText"/>
        <w:spacing w:line="240" w:lineRule="auto" w:before="56"/>
        <w:ind w:left="138" w:right="0"/>
        <w:jc w:val="both"/>
      </w:pPr>
      <w:r>
        <w:rPr/>
        <w:t>□适用</w:t>
      </w:r>
      <w:r>
        <w:rPr>
          <w:spacing w:val="-1"/>
        </w:rPr>
        <w:t> </w:t>
      </w:r>
      <w:r>
        <w:rPr/>
        <w:t>√不适用</w:t>
      </w:r>
    </w:p>
    <w:p>
      <w:pPr>
        <w:pStyle w:val="Heading3"/>
        <w:spacing w:line="240" w:lineRule="auto" w:before="58"/>
        <w:ind w:left="138" w:right="0"/>
        <w:jc w:val="both"/>
        <w:rPr>
          <w:b w:val="0"/>
          <w:bCs w:val="0"/>
        </w:rPr>
      </w:pPr>
      <w:r>
        <w:rPr>
          <w:rFonts w:ascii="宋体" w:hAnsi="宋体" w:cs="宋体" w:eastAsia="宋体" w:hint="default"/>
        </w:rPr>
        <w:t>2</w:t>
      </w:r>
      <w:r>
        <w:rPr/>
        <w:t>、</w:t>
      </w:r>
      <w:r>
        <w:rPr>
          <w:spacing w:val="-6"/>
        </w:rPr>
        <w:t> </w:t>
      </w:r>
      <w:r>
        <w:rPr/>
        <w:t>已在临时公告披露，但有后续实施的进展或变化的事项</w:t>
      </w:r>
      <w:r>
        <w:rPr>
          <w:b w:val="0"/>
          <w:bCs w:val="0"/>
        </w:rPr>
      </w:r>
    </w:p>
    <w:p>
      <w:pPr>
        <w:pStyle w:val="BodyText"/>
        <w:spacing w:line="240" w:lineRule="auto" w:before="56"/>
        <w:ind w:left="138" w:right="0"/>
        <w:jc w:val="both"/>
      </w:pPr>
      <w:r>
        <w:rPr/>
        <w:t>□适用</w:t>
      </w:r>
      <w:r>
        <w:rPr>
          <w:spacing w:val="104"/>
        </w:rPr>
        <w:t> </w:t>
      </w:r>
      <w:r>
        <w:rPr/>
        <w:t>√不适用</w:t>
      </w:r>
    </w:p>
    <w:p>
      <w:pPr>
        <w:spacing w:after="0" w:line="240" w:lineRule="auto"/>
        <w:jc w:val="both"/>
        <w:sectPr>
          <w:pgSz w:w="11910" w:h="16840"/>
          <w:pgMar w:header="855" w:footer="1195" w:top="1320" w:bottom="1380" w:left="1660" w:right="1120"/>
        </w:sectPr>
      </w:pPr>
    </w:p>
    <w:p>
      <w:pPr>
        <w:spacing w:line="240" w:lineRule="auto" w:before="4"/>
        <w:rPr>
          <w:rFonts w:ascii="宋体" w:hAnsi="宋体" w:cs="宋体" w:eastAsia="宋体" w:hint="default"/>
          <w:sz w:val="9"/>
          <w:szCs w:val="9"/>
        </w:rPr>
      </w:pPr>
    </w:p>
    <w:p>
      <w:pPr>
        <w:pStyle w:val="Heading3"/>
        <w:spacing w:line="240" w:lineRule="auto" w:before="36"/>
        <w:ind w:right="99"/>
        <w:jc w:val="left"/>
        <w:rPr>
          <w:b w:val="0"/>
          <w:bCs w:val="0"/>
        </w:rPr>
      </w:pPr>
      <w:r>
        <w:rPr>
          <w:rFonts w:ascii="宋体" w:hAnsi="宋体" w:cs="宋体" w:eastAsia="宋体" w:hint="default"/>
        </w:rPr>
        <w:t>3</w:t>
      </w:r>
      <w:r>
        <w:rPr/>
        <w:t>、</w:t>
      </w:r>
      <w:r>
        <w:rPr>
          <w:spacing w:val="-3"/>
        </w:rPr>
        <w:t> </w:t>
      </w:r>
      <w:r>
        <w:rPr/>
        <w:t>临时公告未披露的事项</w:t>
      </w:r>
      <w:r>
        <w:rPr>
          <w:b w:val="0"/>
          <w:bCs w:val="0"/>
        </w:rPr>
      </w:r>
    </w:p>
    <w:p>
      <w:pPr>
        <w:spacing w:line="290" w:lineRule="auto" w:before="58"/>
        <w:ind w:left="218" w:right="5042"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2"/>
          <w:sz w:val="21"/>
          <w:szCs w:val="21"/>
        </w:rPr>
        <w:t> </w:t>
      </w:r>
      <w:r>
        <w:rPr>
          <w:rFonts w:ascii="宋体" w:hAnsi="宋体" w:cs="宋体" w:eastAsia="宋体" w:hint="default"/>
          <w:sz w:val="21"/>
          <w:szCs w:val="21"/>
        </w:rPr>
        <w:t>√不适用</w:t>
      </w:r>
      <w:r>
        <w:rPr>
          <w:rFonts w:ascii="宋体" w:hAnsi="宋体" w:cs="宋体" w:eastAsia="宋体" w:hint="default"/>
          <w:w w:val="100"/>
          <w:sz w:val="21"/>
          <w:szCs w:val="21"/>
        </w:rPr>
        <w:t> </w:t>
      </w:r>
      <w:r>
        <w:rPr>
          <w:rFonts w:ascii="宋体" w:hAnsi="宋体" w:cs="宋体" w:eastAsia="宋体" w:hint="default"/>
          <w:b/>
          <w:bCs/>
          <w:sz w:val="21"/>
          <w:szCs w:val="21"/>
        </w:rPr>
        <w:t>(</w:t>
      </w:r>
      <w:r>
        <w:rPr>
          <w:rFonts w:ascii="宋体" w:hAnsi="宋体" w:cs="宋体" w:eastAsia="宋体" w:hint="default"/>
          <w:b/>
          <w:bCs/>
          <w:sz w:val="21"/>
          <w:szCs w:val="21"/>
        </w:rPr>
        <w:t>二</w:t>
      </w:r>
      <w:r>
        <w:rPr>
          <w:rFonts w:ascii="宋体" w:hAnsi="宋体" w:cs="宋体" w:eastAsia="宋体" w:hint="default"/>
          <w:b/>
          <w:bCs/>
          <w:sz w:val="21"/>
          <w:szCs w:val="21"/>
        </w:rPr>
        <w:t>)</w:t>
      </w:r>
      <w:r>
        <w:rPr>
          <w:rFonts w:ascii="宋体" w:hAnsi="宋体" w:cs="宋体" w:eastAsia="宋体" w:hint="default"/>
          <w:b/>
          <w:bCs/>
          <w:sz w:val="21"/>
          <w:szCs w:val="21"/>
        </w:rPr>
        <w:t>资产或股权收购、出售发生的关联交易</w:t>
      </w:r>
      <w:r>
        <w:rPr>
          <w:rFonts w:ascii="宋体" w:hAnsi="宋体" w:cs="宋体" w:eastAsia="宋体" w:hint="default"/>
          <w:sz w:val="21"/>
          <w:szCs w:val="21"/>
        </w:rPr>
      </w:r>
    </w:p>
    <w:p>
      <w:pPr>
        <w:pStyle w:val="Heading3"/>
        <w:spacing w:line="240" w:lineRule="auto" w:before="14"/>
        <w:ind w:right="99"/>
        <w:jc w:val="left"/>
        <w:rPr>
          <w:b w:val="0"/>
          <w:bCs w:val="0"/>
        </w:rPr>
      </w:pPr>
      <w:r>
        <w:rPr>
          <w:rFonts w:ascii="宋体" w:hAnsi="宋体" w:cs="宋体" w:eastAsia="宋体" w:hint="default"/>
        </w:rPr>
        <w:t>1</w:t>
      </w:r>
      <w:r>
        <w:rPr/>
        <w:t>、</w:t>
      </w:r>
      <w:r>
        <w:rPr>
          <w:spacing w:val="-4"/>
        </w:rPr>
        <w:t> </w:t>
      </w:r>
      <w:r>
        <w:rPr/>
        <w:t>已在临时公告披露且后续实施无进展或变化的事项</w:t>
      </w:r>
      <w:r>
        <w:rPr>
          <w:b w:val="0"/>
          <w:bCs w:val="0"/>
        </w:rPr>
      </w:r>
    </w:p>
    <w:p>
      <w:pPr>
        <w:pStyle w:val="BodyText"/>
        <w:spacing w:line="240" w:lineRule="auto" w:before="56"/>
        <w:ind w:right="99"/>
        <w:jc w:val="left"/>
      </w:pPr>
      <w:r>
        <w:rPr/>
        <w:t>√适用</w:t>
      </w:r>
      <w:r>
        <w:rPr>
          <w:spacing w:val="-1"/>
        </w:rPr>
        <w:t> </w:t>
      </w:r>
      <w:r>
        <w:rPr/>
        <w:t>□不适用</w:t>
      </w: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4525"/>
        <w:gridCol w:w="4525"/>
      </w:tblGrid>
      <w:tr>
        <w:trPr>
          <w:trHeight w:val="281"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事项概述</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查询索引</w:t>
            </w:r>
          </w:p>
        </w:tc>
      </w:tr>
      <w:tr>
        <w:trPr>
          <w:trHeight w:val="557"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转让用友广信网络科技有限公司部分股权暨关</w:t>
            </w:r>
            <w:r>
              <w:rPr>
                <w:rFonts w:ascii="宋体" w:hAnsi="宋体" w:cs="宋体" w:eastAsia="宋体" w:hint="default"/>
                <w:sz w:val="21"/>
                <w:szCs w:val="21"/>
              </w:rPr>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联交易</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临</w:t>
            </w:r>
            <w:r>
              <w:rPr>
                <w:rFonts w:ascii="宋体" w:hAnsi="宋体" w:cs="宋体" w:eastAsia="宋体" w:hint="default"/>
                <w:spacing w:val="-53"/>
                <w:sz w:val="21"/>
                <w:szCs w:val="21"/>
              </w:rPr>
              <w:t> </w:t>
            </w:r>
            <w:r>
              <w:rPr>
                <w:rFonts w:ascii="宋体" w:hAnsi="宋体" w:cs="宋体" w:eastAsia="宋体" w:hint="default"/>
                <w:sz w:val="21"/>
                <w:szCs w:val="21"/>
              </w:rPr>
              <w:t>2017-047</w:t>
            </w:r>
          </w:p>
        </w:tc>
      </w:tr>
      <w:tr>
        <w:trPr>
          <w:trHeight w:val="554"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受让上海大易云计算股份有限公司部分股权暨</w:t>
            </w:r>
            <w:r>
              <w:rPr>
                <w:rFonts w:ascii="宋体" w:hAnsi="宋体" w:cs="宋体" w:eastAsia="宋体" w:hint="default"/>
                <w:sz w:val="21"/>
                <w:szCs w:val="21"/>
              </w:rPr>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关联交易</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临</w:t>
            </w:r>
            <w:r>
              <w:rPr>
                <w:rFonts w:ascii="宋体" w:hAnsi="宋体" w:cs="宋体" w:eastAsia="宋体" w:hint="default"/>
                <w:spacing w:val="-53"/>
                <w:sz w:val="21"/>
                <w:szCs w:val="21"/>
              </w:rPr>
              <w:t> </w:t>
            </w:r>
            <w:r>
              <w:rPr>
                <w:rFonts w:ascii="宋体" w:hAnsi="宋体" w:cs="宋体" w:eastAsia="宋体" w:hint="default"/>
                <w:sz w:val="21"/>
                <w:szCs w:val="21"/>
              </w:rPr>
              <w:t>2017-066</w:t>
            </w:r>
          </w:p>
        </w:tc>
      </w:tr>
      <w:tr>
        <w:trPr>
          <w:trHeight w:val="538"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 w:right="0"/>
              <w:jc w:val="center"/>
              <w:rPr>
                <w:rFonts w:ascii="宋体" w:hAnsi="宋体" w:cs="宋体" w:eastAsia="宋体" w:hint="default"/>
                <w:sz w:val="21"/>
                <w:szCs w:val="21"/>
              </w:rPr>
            </w:pPr>
            <w:r>
              <w:rPr>
                <w:rFonts w:ascii="宋体" w:hAnsi="宋体" w:cs="宋体" w:eastAsia="宋体" w:hint="default"/>
                <w:spacing w:val="3"/>
                <w:sz w:val="21"/>
                <w:szCs w:val="21"/>
              </w:rPr>
              <w:t>关于转让资产（供应链金融平台）暨关联交易</w:t>
            </w:r>
            <w:r>
              <w:rPr>
                <w:rFonts w:ascii="宋体" w:hAnsi="宋体" w:cs="宋体" w:eastAsia="宋体" w:hint="default"/>
                <w:sz w:val="21"/>
                <w:szCs w:val="21"/>
              </w:rPr>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临</w:t>
            </w:r>
            <w:r>
              <w:rPr>
                <w:rFonts w:ascii="宋体" w:hAnsi="宋体" w:cs="宋体" w:eastAsia="宋体" w:hint="default"/>
                <w:spacing w:val="-53"/>
                <w:sz w:val="21"/>
                <w:szCs w:val="21"/>
              </w:rPr>
              <w:t> </w:t>
            </w:r>
            <w:r>
              <w:rPr>
                <w:rFonts w:ascii="宋体" w:hAnsi="宋体" w:cs="宋体" w:eastAsia="宋体" w:hint="default"/>
                <w:sz w:val="21"/>
                <w:szCs w:val="21"/>
              </w:rPr>
              <w:t>2017-093</w:t>
            </w:r>
          </w:p>
        </w:tc>
      </w:tr>
    </w:tbl>
    <w:p>
      <w:pPr>
        <w:spacing w:line="240" w:lineRule="auto" w:before="2"/>
        <w:rPr>
          <w:rFonts w:ascii="宋体" w:hAnsi="宋体" w:cs="宋体" w:eastAsia="宋体" w:hint="default"/>
          <w:sz w:val="20"/>
          <w:szCs w:val="20"/>
        </w:rPr>
      </w:pPr>
    </w:p>
    <w:p>
      <w:pPr>
        <w:pStyle w:val="Heading3"/>
        <w:spacing w:line="240" w:lineRule="auto" w:before="36"/>
        <w:ind w:right="99"/>
        <w:jc w:val="left"/>
        <w:rPr>
          <w:b w:val="0"/>
          <w:bCs w:val="0"/>
        </w:rPr>
      </w:pPr>
      <w:r>
        <w:rPr>
          <w:rFonts w:ascii="宋体" w:hAnsi="宋体" w:cs="宋体" w:eastAsia="宋体" w:hint="default"/>
        </w:rPr>
        <w:t>2</w:t>
      </w:r>
      <w:r>
        <w:rPr/>
        <w:t>、</w:t>
      </w:r>
      <w:r>
        <w:rPr>
          <w:spacing w:val="-6"/>
        </w:rPr>
        <w:t> </w:t>
      </w:r>
      <w:r>
        <w:rPr/>
        <w:t>已在临时公告披露，但有后续实施的进展或变化的事项</w:t>
      </w:r>
      <w:r>
        <w:rPr>
          <w:b w:val="0"/>
          <w:bCs w:val="0"/>
        </w:rPr>
      </w:r>
    </w:p>
    <w:p>
      <w:pPr>
        <w:pStyle w:val="BodyText"/>
        <w:tabs>
          <w:tab w:pos="1060" w:val="left" w:leader="none"/>
        </w:tabs>
        <w:spacing w:line="240" w:lineRule="auto" w:before="56"/>
        <w:ind w:right="99"/>
        <w:jc w:val="left"/>
      </w:pPr>
      <w:r>
        <w:rPr>
          <w:spacing w:val="-1"/>
        </w:rPr>
        <w:t>□适用</w:t>
        <w:tab/>
      </w:r>
      <w:r>
        <w:rPr>
          <w:spacing w:val="-2"/>
        </w:rPr>
        <w:t>√不适用</w:t>
      </w:r>
    </w:p>
    <w:p>
      <w:pPr>
        <w:pStyle w:val="Heading3"/>
        <w:spacing w:line="240" w:lineRule="auto" w:before="58"/>
        <w:ind w:right="99"/>
        <w:jc w:val="left"/>
        <w:rPr>
          <w:b w:val="0"/>
          <w:bCs w:val="0"/>
        </w:rPr>
      </w:pPr>
      <w:r>
        <w:rPr>
          <w:rFonts w:ascii="宋体" w:hAnsi="宋体" w:cs="宋体" w:eastAsia="宋体" w:hint="default"/>
        </w:rPr>
        <w:t>3</w:t>
      </w:r>
      <w:r>
        <w:rPr/>
        <w:t>、</w:t>
      </w:r>
      <w:r>
        <w:rPr>
          <w:spacing w:val="-3"/>
        </w:rPr>
        <w:t> </w:t>
      </w:r>
      <w:r>
        <w:rPr/>
        <w:t>临时公告未披露的事项</w:t>
      </w:r>
      <w:r>
        <w:rPr>
          <w:b w:val="0"/>
          <w:bCs w:val="0"/>
        </w:rPr>
      </w:r>
    </w:p>
    <w:p>
      <w:pPr>
        <w:pStyle w:val="BodyText"/>
        <w:spacing w:line="240" w:lineRule="auto" w:before="56"/>
        <w:ind w:right="99"/>
        <w:jc w:val="left"/>
      </w:pPr>
      <w:r>
        <w:rPr/>
        <w:t>□适用</w:t>
      </w:r>
      <w:r>
        <w:rPr>
          <w:spacing w:val="-1"/>
        </w:rPr>
        <w:t> </w:t>
      </w:r>
      <w:r>
        <w:rPr/>
        <w:t>√不适用</w:t>
      </w:r>
    </w:p>
    <w:p>
      <w:pPr>
        <w:pStyle w:val="Heading3"/>
        <w:spacing w:line="240" w:lineRule="auto" w:before="58"/>
        <w:ind w:right="99"/>
        <w:jc w:val="left"/>
        <w:rPr>
          <w:b w:val="0"/>
          <w:bCs w:val="0"/>
        </w:rPr>
      </w:pPr>
      <w:r>
        <w:rPr>
          <w:rFonts w:ascii="宋体" w:hAnsi="宋体" w:cs="宋体" w:eastAsia="宋体" w:hint="default"/>
        </w:rPr>
        <w:t>4</w:t>
      </w:r>
      <w:r>
        <w:rPr/>
        <w:t>、</w:t>
      </w:r>
      <w:r>
        <w:rPr>
          <w:spacing w:val="-7"/>
        </w:rPr>
        <w:t> </w:t>
      </w:r>
      <w:r>
        <w:rPr/>
        <w:t>涉及业绩约定的，应当披露报告期内的业绩实现情况</w:t>
      </w:r>
      <w:r>
        <w:rPr>
          <w:b w:val="0"/>
          <w:bCs w:val="0"/>
        </w:rPr>
      </w:r>
    </w:p>
    <w:p>
      <w:pPr>
        <w:pStyle w:val="BodyText"/>
        <w:tabs>
          <w:tab w:pos="1060" w:val="left" w:leader="none"/>
        </w:tabs>
        <w:spacing w:line="240" w:lineRule="auto" w:before="56"/>
        <w:ind w:right="99"/>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right="99"/>
        <w:jc w:val="left"/>
        <w:rPr>
          <w:b w:val="0"/>
          <w:bCs w:val="0"/>
        </w:rPr>
      </w:pPr>
      <w:r>
        <w:rPr>
          <w:rFonts w:ascii="Calibri" w:hAnsi="Calibri" w:cs="Calibri" w:eastAsia="Calibri" w:hint="default"/>
        </w:rPr>
        <w:t>(</w:t>
      </w:r>
      <w:r>
        <w:rPr/>
        <w:t>三</w:t>
      </w:r>
      <w:r>
        <w:rPr>
          <w:rFonts w:ascii="Calibri" w:hAnsi="Calibri" w:cs="Calibri" w:eastAsia="Calibri" w:hint="default"/>
        </w:rPr>
        <w:t>)</w:t>
      </w:r>
      <w:r>
        <w:rPr>
          <w:rFonts w:ascii="Calibri" w:hAnsi="Calibri" w:cs="Calibri" w:eastAsia="Calibri" w:hint="default"/>
          <w:spacing w:val="28"/>
        </w:rPr>
        <w:t> </w:t>
      </w:r>
      <w:r>
        <w:rPr/>
        <w:t>共同对外投资的重大关联交易</w:t>
      </w:r>
      <w:r>
        <w:rPr>
          <w:b w:val="0"/>
          <w:bCs w:val="0"/>
        </w:rPr>
      </w:r>
    </w:p>
    <w:p>
      <w:pPr>
        <w:pStyle w:val="Heading3"/>
        <w:spacing w:line="240" w:lineRule="auto" w:before="32"/>
        <w:ind w:right="99"/>
        <w:jc w:val="left"/>
        <w:rPr>
          <w:b w:val="0"/>
          <w:bCs w:val="0"/>
        </w:rPr>
      </w:pPr>
      <w:r>
        <w:rPr>
          <w:rFonts w:ascii="宋体" w:hAnsi="宋体" w:cs="宋体" w:eastAsia="宋体" w:hint="default"/>
        </w:rPr>
        <w:t>1</w:t>
      </w:r>
      <w:r>
        <w:rPr/>
        <w:t>、</w:t>
      </w:r>
      <w:r>
        <w:rPr>
          <w:spacing w:val="-4"/>
        </w:rPr>
        <w:t> </w:t>
      </w:r>
      <w:r>
        <w:rPr/>
        <w:t>已在临时公告披露且后续实施无进展或变化的事项</w:t>
      </w:r>
      <w:r>
        <w:rPr>
          <w:b w:val="0"/>
          <w:bCs w:val="0"/>
        </w:rPr>
      </w:r>
    </w:p>
    <w:p>
      <w:pPr>
        <w:pStyle w:val="BodyText"/>
        <w:spacing w:line="240" w:lineRule="auto" w:before="56"/>
        <w:ind w:right="99"/>
        <w:jc w:val="left"/>
      </w:pPr>
      <w:r>
        <w:rPr/>
        <w:t>√适用</w:t>
      </w:r>
      <w:r>
        <w:rPr>
          <w:spacing w:val="-1"/>
        </w:rPr>
        <w:t> </w:t>
      </w:r>
      <w:r>
        <w:rPr/>
        <w:t>□不适用</w:t>
      </w: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4412"/>
        <w:gridCol w:w="4412"/>
      </w:tblGrid>
      <w:tr>
        <w:trPr>
          <w:trHeight w:val="281"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事项概述</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查询索引</w:t>
            </w:r>
          </w:p>
        </w:tc>
      </w:tr>
      <w:tr>
        <w:trPr>
          <w:trHeight w:val="554"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8"/>
                <w:sz w:val="21"/>
                <w:szCs w:val="21"/>
              </w:rPr>
              <w:t>发起设立深圳用友商业保理有限责任公司暨</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关联交易</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临</w:t>
            </w:r>
            <w:r>
              <w:rPr>
                <w:rFonts w:ascii="宋体" w:hAnsi="宋体" w:cs="宋体" w:eastAsia="宋体" w:hint="default"/>
                <w:spacing w:val="-53"/>
                <w:sz w:val="21"/>
                <w:szCs w:val="21"/>
              </w:rPr>
              <w:t> </w:t>
            </w:r>
            <w:r>
              <w:rPr>
                <w:rFonts w:ascii="宋体" w:hAnsi="宋体" w:cs="宋体" w:eastAsia="宋体" w:hint="default"/>
                <w:sz w:val="21"/>
                <w:szCs w:val="21"/>
              </w:rPr>
              <w:t>2017-013</w:t>
            </w:r>
          </w:p>
        </w:tc>
      </w:tr>
      <w:tr>
        <w:trPr>
          <w:trHeight w:val="554"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8"/>
                <w:sz w:val="21"/>
                <w:szCs w:val="21"/>
              </w:rPr>
              <w:t>发起设立北京用友融联科技有限公司暨关联</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交易</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临</w:t>
            </w:r>
            <w:r>
              <w:rPr>
                <w:rFonts w:ascii="宋体" w:hAnsi="宋体" w:cs="宋体" w:eastAsia="宋体" w:hint="default"/>
                <w:spacing w:val="-53"/>
                <w:sz w:val="21"/>
                <w:szCs w:val="21"/>
              </w:rPr>
              <w:t> </w:t>
            </w:r>
            <w:r>
              <w:rPr>
                <w:rFonts w:ascii="宋体" w:hAnsi="宋体" w:cs="宋体" w:eastAsia="宋体" w:hint="default"/>
                <w:sz w:val="21"/>
                <w:szCs w:val="21"/>
              </w:rPr>
              <w:t>2017</w:t>
            </w:r>
            <w:r>
              <w:rPr>
                <w:rFonts w:ascii="宋体" w:hAnsi="宋体" w:cs="宋体" w:eastAsia="宋体" w:hint="default"/>
                <w:sz w:val="21"/>
                <w:szCs w:val="21"/>
              </w:rPr>
              <w:t>－</w:t>
            </w:r>
            <w:r>
              <w:rPr>
                <w:rFonts w:ascii="宋体" w:hAnsi="宋体" w:cs="宋体" w:eastAsia="宋体" w:hint="default"/>
                <w:sz w:val="21"/>
                <w:szCs w:val="21"/>
              </w:rPr>
              <w:t>081</w:t>
            </w:r>
          </w:p>
        </w:tc>
      </w:tr>
      <w:tr>
        <w:trPr>
          <w:trHeight w:val="557"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发起设立优数征信（北京）有限公司暨关联交</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易</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临</w:t>
            </w:r>
            <w:r>
              <w:rPr>
                <w:rFonts w:ascii="宋体" w:hAnsi="宋体" w:cs="宋体" w:eastAsia="宋体" w:hint="default"/>
                <w:spacing w:val="-53"/>
                <w:sz w:val="21"/>
                <w:szCs w:val="21"/>
              </w:rPr>
              <w:t> </w:t>
            </w:r>
            <w:r>
              <w:rPr>
                <w:rFonts w:ascii="宋体" w:hAnsi="宋体" w:cs="宋体" w:eastAsia="宋体" w:hint="default"/>
                <w:sz w:val="21"/>
                <w:szCs w:val="21"/>
              </w:rPr>
              <w:t>2017</w:t>
            </w:r>
            <w:r>
              <w:rPr>
                <w:rFonts w:ascii="宋体" w:hAnsi="宋体" w:cs="宋体" w:eastAsia="宋体" w:hint="default"/>
                <w:sz w:val="21"/>
                <w:szCs w:val="21"/>
              </w:rPr>
              <w:t>－</w:t>
            </w:r>
            <w:r>
              <w:rPr>
                <w:rFonts w:ascii="宋体" w:hAnsi="宋体" w:cs="宋体" w:eastAsia="宋体" w:hint="default"/>
                <w:sz w:val="21"/>
                <w:szCs w:val="21"/>
              </w:rPr>
              <w:t>082</w:t>
            </w:r>
          </w:p>
        </w:tc>
      </w:tr>
    </w:tbl>
    <w:p>
      <w:pPr>
        <w:spacing w:line="240" w:lineRule="auto" w:before="12"/>
        <w:rPr>
          <w:rFonts w:ascii="宋体" w:hAnsi="宋体" w:cs="宋体" w:eastAsia="宋体" w:hint="default"/>
          <w:sz w:val="19"/>
          <w:szCs w:val="19"/>
        </w:rPr>
      </w:pPr>
    </w:p>
    <w:p>
      <w:pPr>
        <w:pStyle w:val="Heading3"/>
        <w:spacing w:line="240" w:lineRule="auto" w:before="36"/>
        <w:ind w:right="99"/>
        <w:jc w:val="left"/>
        <w:rPr>
          <w:b w:val="0"/>
          <w:bCs w:val="0"/>
        </w:rPr>
      </w:pPr>
      <w:r>
        <w:rPr>
          <w:rFonts w:ascii="宋体" w:hAnsi="宋体" w:cs="宋体" w:eastAsia="宋体" w:hint="default"/>
        </w:rPr>
        <w:t>2</w:t>
      </w:r>
      <w:r>
        <w:rPr/>
        <w:t>、</w:t>
      </w:r>
      <w:r>
        <w:rPr>
          <w:spacing w:val="-6"/>
        </w:rPr>
        <w:t> </w:t>
      </w:r>
      <w:r>
        <w:rPr/>
        <w:t>已在临时公告披露，但有后续实施的进展或变化的事项</w:t>
      </w:r>
      <w:r>
        <w:rPr>
          <w:b w:val="0"/>
          <w:bCs w:val="0"/>
        </w:rPr>
      </w:r>
    </w:p>
    <w:p>
      <w:pPr>
        <w:pStyle w:val="BodyText"/>
        <w:tabs>
          <w:tab w:pos="1060" w:val="left" w:leader="none"/>
        </w:tabs>
        <w:spacing w:line="240" w:lineRule="auto" w:before="59"/>
        <w:ind w:right="99"/>
        <w:jc w:val="left"/>
      </w:pPr>
      <w:r>
        <w:rPr>
          <w:spacing w:val="-1"/>
        </w:rPr>
        <w:t>□适用</w:t>
        <w:tab/>
      </w:r>
      <w:r>
        <w:rPr>
          <w:spacing w:val="-2"/>
        </w:rPr>
        <w:t>√不适用</w:t>
      </w:r>
    </w:p>
    <w:p>
      <w:pPr>
        <w:pStyle w:val="Heading3"/>
        <w:spacing w:line="240" w:lineRule="auto" w:before="56"/>
        <w:ind w:right="99"/>
        <w:jc w:val="left"/>
        <w:rPr>
          <w:b w:val="0"/>
          <w:bCs w:val="0"/>
        </w:rPr>
      </w:pPr>
      <w:r>
        <w:rPr>
          <w:rFonts w:ascii="宋体" w:hAnsi="宋体" w:cs="宋体" w:eastAsia="宋体" w:hint="default"/>
        </w:rPr>
        <w:t>3</w:t>
      </w:r>
      <w:r>
        <w:rPr/>
        <w:t>、</w:t>
      </w:r>
      <w:r>
        <w:rPr>
          <w:spacing w:val="-3"/>
        </w:rPr>
        <w:t> </w:t>
      </w:r>
      <w:r>
        <w:rPr/>
        <w:t>临时公告未披露的事项</w:t>
      </w:r>
      <w:r>
        <w:rPr>
          <w:b w:val="0"/>
          <w:bCs w:val="0"/>
        </w:rPr>
      </w:r>
    </w:p>
    <w:p>
      <w:pPr>
        <w:pStyle w:val="BodyText"/>
        <w:spacing w:line="240" w:lineRule="auto" w:before="58"/>
        <w:ind w:right="99"/>
        <w:jc w:val="left"/>
      </w:pPr>
      <w:r>
        <w:rPr/>
        <w:t>□适用</w:t>
      </w:r>
      <w:r>
        <w:rPr>
          <w:spacing w:val="-1"/>
        </w:rPr>
        <w:t> </w:t>
      </w:r>
      <w:r>
        <w:rPr/>
        <w:t>√不适用</w:t>
      </w:r>
    </w:p>
    <w:p>
      <w:pPr>
        <w:pStyle w:val="Heading3"/>
        <w:spacing w:line="240" w:lineRule="auto" w:before="56"/>
        <w:ind w:right="99"/>
        <w:jc w:val="left"/>
        <w:rPr>
          <w:b w:val="0"/>
          <w:bCs w:val="0"/>
        </w:rPr>
      </w:pPr>
      <w:r>
        <w:rPr>
          <w:rFonts w:ascii="Calibri" w:hAnsi="Calibri" w:cs="Calibri" w:eastAsia="Calibri" w:hint="default"/>
        </w:rPr>
        <w:t>(</w:t>
      </w:r>
      <w:r>
        <w:rPr/>
        <w:t>四</w:t>
      </w:r>
      <w:r>
        <w:rPr>
          <w:rFonts w:ascii="Calibri" w:hAnsi="Calibri" w:cs="Calibri" w:eastAsia="Calibri" w:hint="default"/>
        </w:rPr>
        <w:t>)</w:t>
      </w:r>
      <w:r>
        <w:rPr>
          <w:rFonts w:ascii="Calibri" w:hAnsi="Calibri" w:cs="Calibri" w:eastAsia="Calibri" w:hint="default"/>
          <w:spacing w:val="32"/>
        </w:rPr>
        <w:t> </w:t>
      </w:r>
      <w:r>
        <w:rPr/>
        <w:t>关联债权债务往来</w:t>
      </w:r>
      <w:r>
        <w:rPr>
          <w:b w:val="0"/>
          <w:bCs w:val="0"/>
        </w:rPr>
      </w:r>
    </w:p>
    <w:p>
      <w:pPr>
        <w:pStyle w:val="Heading3"/>
        <w:spacing w:line="240" w:lineRule="auto" w:before="32"/>
        <w:ind w:right="99"/>
        <w:jc w:val="left"/>
        <w:rPr>
          <w:b w:val="0"/>
          <w:bCs w:val="0"/>
        </w:rPr>
      </w:pPr>
      <w:r>
        <w:rPr>
          <w:rFonts w:ascii="宋体" w:hAnsi="宋体" w:cs="宋体" w:eastAsia="宋体" w:hint="default"/>
        </w:rPr>
        <w:t>1</w:t>
      </w:r>
      <w:r>
        <w:rPr/>
        <w:t>、</w:t>
      </w:r>
      <w:r>
        <w:rPr>
          <w:spacing w:val="-4"/>
        </w:rPr>
        <w:t> </w:t>
      </w:r>
      <w:r>
        <w:rPr/>
        <w:t>已在临时公告披露且后续实施无进展或变化的事项</w:t>
      </w:r>
      <w:r>
        <w:rPr>
          <w:b w:val="0"/>
          <w:bCs w:val="0"/>
        </w:rPr>
      </w:r>
    </w:p>
    <w:p>
      <w:pPr>
        <w:pStyle w:val="BodyText"/>
        <w:spacing w:line="240" w:lineRule="auto" w:before="56"/>
        <w:ind w:right="99"/>
        <w:jc w:val="left"/>
      </w:pPr>
      <w:r>
        <w:rPr/>
        <w:t>□适用</w:t>
      </w:r>
      <w:r>
        <w:rPr>
          <w:spacing w:val="-1"/>
        </w:rPr>
        <w:t> </w:t>
      </w:r>
      <w:r>
        <w:rPr/>
        <w:t>√不适用</w:t>
      </w:r>
    </w:p>
    <w:p>
      <w:pPr>
        <w:pStyle w:val="Heading3"/>
        <w:spacing w:line="240" w:lineRule="auto" w:before="58"/>
        <w:ind w:right="99"/>
        <w:jc w:val="left"/>
        <w:rPr>
          <w:b w:val="0"/>
          <w:bCs w:val="0"/>
        </w:rPr>
      </w:pPr>
      <w:r>
        <w:rPr>
          <w:rFonts w:ascii="宋体" w:hAnsi="宋体" w:cs="宋体" w:eastAsia="宋体" w:hint="default"/>
        </w:rPr>
        <w:t>2</w:t>
      </w:r>
      <w:r>
        <w:rPr/>
        <w:t>、</w:t>
      </w:r>
      <w:r>
        <w:rPr>
          <w:spacing w:val="-6"/>
        </w:rPr>
        <w:t> </w:t>
      </w:r>
      <w:r>
        <w:rPr/>
        <w:t>已在临时公告披露，但有后续实施的进展或变化的事项</w:t>
      </w:r>
      <w:r>
        <w:rPr>
          <w:b w:val="0"/>
          <w:bCs w:val="0"/>
        </w:rPr>
      </w:r>
    </w:p>
    <w:p>
      <w:pPr>
        <w:pStyle w:val="BodyText"/>
        <w:tabs>
          <w:tab w:pos="1060" w:val="left" w:leader="none"/>
        </w:tabs>
        <w:spacing w:line="240" w:lineRule="auto" w:before="56"/>
        <w:ind w:right="99"/>
        <w:jc w:val="left"/>
      </w:pPr>
      <w:r>
        <w:rPr>
          <w:spacing w:val="-1"/>
        </w:rPr>
        <w:t>□适用</w:t>
        <w:tab/>
      </w:r>
      <w:r>
        <w:rPr>
          <w:spacing w:val="-2"/>
        </w:rPr>
        <w:t>√不适用</w:t>
      </w:r>
    </w:p>
    <w:p>
      <w:pPr>
        <w:pStyle w:val="Heading3"/>
        <w:spacing w:line="240" w:lineRule="auto" w:before="56"/>
        <w:ind w:right="99"/>
        <w:jc w:val="left"/>
        <w:rPr>
          <w:b w:val="0"/>
          <w:bCs w:val="0"/>
        </w:rPr>
      </w:pPr>
      <w:r>
        <w:rPr>
          <w:rFonts w:ascii="宋体" w:hAnsi="宋体" w:cs="宋体" w:eastAsia="宋体" w:hint="default"/>
        </w:rPr>
        <w:t>3</w:t>
      </w:r>
      <w:r>
        <w:rPr/>
        <w:t>、</w:t>
      </w:r>
      <w:r>
        <w:rPr>
          <w:spacing w:val="-3"/>
        </w:rPr>
        <w:t> </w:t>
      </w:r>
      <w:r>
        <w:rPr/>
        <w:t>临时公告未披露的事项</w:t>
      </w:r>
      <w:r>
        <w:rPr>
          <w:b w:val="0"/>
          <w:bCs w:val="0"/>
        </w:rPr>
      </w:r>
    </w:p>
    <w:p>
      <w:pPr>
        <w:pStyle w:val="BodyText"/>
        <w:spacing w:line="240" w:lineRule="auto" w:before="58"/>
        <w:ind w:right="99"/>
        <w:jc w:val="left"/>
      </w:pPr>
      <w:r>
        <w:rPr/>
        <w:t>□适用</w:t>
      </w:r>
      <w:r>
        <w:rPr>
          <w:spacing w:val="-1"/>
        </w:rPr>
        <w:t> </w:t>
      </w:r>
      <w:r>
        <w:rPr/>
        <w:t>√不适用</w:t>
      </w:r>
    </w:p>
    <w:p>
      <w:pPr>
        <w:pStyle w:val="Heading3"/>
        <w:spacing w:line="240" w:lineRule="auto" w:before="56"/>
        <w:ind w:right="99"/>
        <w:jc w:val="left"/>
        <w:rPr>
          <w:b w:val="0"/>
          <w:bCs w:val="0"/>
        </w:rPr>
      </w:pPr>
      <w:r>
        <w:rPr>
          <w:rFonts w:ascii="Calibri" w:hAnsi="Calibri" w:cs="Calibri" w:eastAsia="Calibri" w:hint="default"/>
        </w:rPr>
        <w:t>(</w:t>
      </w:r>
      <w:r>
        <w:rPr/>
        <w:t>五</w:t>
      </w:r>
      <w:r>
        <w:rPr>
          <w:rFonts w:ascii="Calibri" w:hAnsi="Calibri" w:cs="Calibri" w:eastAsia="Calibri" w:hint="default"/>
        </w:rPr>
        <w:t>)</w:t>
      </w:r>
      <w:r>
        <w:rPr>
          <w:rFonts w:ascii="Calibri" w:hAnsi="Calibri" w:cs="Calibri" w:eastAsia="Calibri" w:hint="default"/>
          <w:spacing w:val="30"/>
        </w:rPr>
        <w:t> </w:t>
      </w:r>
      <w:r>
        <w:rPr/>
        <w:t>其他</w:t>
      </w:r>
      <w:r>
        <w:rPr>
          <w:b w:val="0"/>
          <w:bCs w:val="0"/>
        </w:rPr>
      </w:r>
    </w:p>
    <w:p>
      <w:pPr>
        <w:pStyle w:val="BodyText"/>
        <w:tabs>
          <w:tab w:pos="1060" w:val="left" w:leader="none"/>
        </w:tabs>
        <w:spacing w:line="240" w:lineRule="auto" w:before="32"/>
        <w:ind w:right="99"/>
        <w:jc w:val="left"/>
      </w:pPr>
      <w:r>
        <w:rPr>
          <w:spacing w:val="-1"/>
        </w:rPr>
        <w:t>□适用</w:t>
        <w:tab/>
      </w:r>
      <w:r>
        <w:rPr>
          <w:spacing w:val="-2"/>
        </w:rPr>
        <w:t>√不适用</w:t>
      </w:r>
    </w:p>
    <w:p>
      <w:pPr>
        <w:spacing w:after="0" w:line="240" w:lineRule="auto"/>
        <w:jc w:val="left"/>
        <w:sectPr>
          <w:footerReference w:type="default" r:id="rId39"/>
          <w:pgSz w:w="11910" w:h="16840"/>
          <w:pgMar w:footer="1195" w:header="855" w:top="1320" w:bottom="1380" w:left="1580" w:right="104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pStyle w:val="Heading3"/>
        <w:tabs>
          <w:tab w:pos="977" w:val="left" w:leader="none"/>
        </w:tabs>
        <w:spacing w:line="290" w:lineRule="auto" w:before="36"/>
        <w:ind w:left="138" w:right="6316"/>
        <w:jc w:val="left"/>
        <w:rPr>
          <w:b w:val="0"/>
          <w:bCs w:val="0"/>
        </w:rPr>
      </w:pPr>
      <w:r>
        <w:rPr/>
        <w:t>十五、重大合同及其履行情况</w:t>
      </w:r>
      <w:r>
        <w:rPr>
          <w:w w:val="100"/>
        </w:rPr>
        <w:t> </w:t>
      </w:r>
      <w:r>
        <w:rPr>
          <w:rFonts w:ascii="宋体" w:hAnsi="宋体" w:cs="宋体" w:eastAsia="宋体" w:hint="default"/>
          <w:spacing w:val="-1"/>
        </w:rPr>
        <w:t>(</w:t>
      </w:r>
      <w:r>
        <w:rPr>
          <w:spacing w:val="-1"/>
        </w:rPr>
        <w:t>一</w:t>
      </w:r>
      <w:r>
        <w:rPr>
          <w:rFonts w:ascii="宋体" w:hAnsi="宋体" w:cs="宋体" w:eastAsia="宋体" w:hint="default"/>
          <w:spacing w:val="-1"/>
        </w:rPr>
        <w:t>)</w:t>
        <w:tab/>
      </w:r>
      <w:r>
        <w:rPr>
          <w:spacing w:val="-1"/>
        </w:rPr>
        <w:t>托管、承包、租赁事项</w:t>
      </w:r>
      <w:r>
        <w:rPr>
          <w:spacing w:val="-96"/>
        </w:rPr>
        <w:t> </w:t>
      </w:r>
      <w:r>
        <w:rPr>
          <w:spacing w:val="-96"/>
        </w:rPr>
      </w:r>
      <w:r>
        <w:rPr>
          <w:rFonts w:ascii="宋体" w:hAnsi="宋体" w:cs="宋体" w:eastAsia="宋体" w:hint="default"/>
        </w:rPr>
        <w:t>1</w:t>
      </w:r>
      <w:r>
        <w:rPr/>
        <w:t>、</w:t>
      </w:r>
      <w:r>
        <w:rPr>
          <w:spacing w:val="-2"/>
        </w:rPr>
        <w:t> </w:t>
      </w:r>
      <w:r>
        <w:rPr/>
        <w:t>托管情况</w:t>
      </w:r>
      <w:r>
        <w:rPr>
          <w:b w:val="0"/>
          <w:bCs w:val="0"/>
        </w:rPr>
      </w:r>
    </w:p>
    <w:p>
      <w:pPr>
        <w:spacing w:line="290" w:lineRule="auto" w:before="12"/>
        <w:ind w:left="138" w:right="7674"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
          <w:sz w:val="21"/>
          <w:szCs w:val="21"/>
        </w:rPr>
        <w:t> </w:t>
      </w:r>
      <w:r>
        <w:rPr>
          <w:rFonts w:ascii="宋体" w:hAnsi="宋体" w:cs="宋体" w:eastAsia="宋体" w:hint="default"/>
          <w:sz w:val="21"/>
          <w:szCs w:val="21"/>
        </w:rPr>
        <w:t>√不适用</w:t>
      </w:r>
      <w:r>
        <w:rPr>
          <w:rFonts w:ascii="宋体" w:hAnsi="宋体" w:cs="宋体" w:eastAsia="宋体" w:hint="default"/>
          <w:w w:val="100"/>
          <w:sz w:val="21"/>
          <w:szCs w:val="21"/>
        </w:rPr>
        <w:t> </w:t>
      </w: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2"/>
          <w:sz w:val="21"/>
          <w:szCs w:val="21"/>
        </w:rPr>
        <w:t> </w:t>
      </w:r>
      <w:r>
        <w:rPr>
          <w:rFonts w:ascii="宋体" w:hAnsi="宋体" w:cs="宋体" w:eastAsia="宋体" w:hint="default"/>
          <w:b/>
          <w:bCs/>
          <w:sz w:val="21"/>
          <w:szCs w:val="21"/>
        </w:rPr>
        <w:t>承包情况</w:t>
      </w:r>
      <w:r>
        <w:rPr>
          <w:rFonts w:ascii="宋体" w:hAnsi="宋体" w:cs="宋体" w:eastAsia="宋体" w:hint="default"/>
          <w:sz w:val="21"/>
          <w:szCs w:val="21"/>
        </w:rPr>
      </w:r>
    </w:p>
    <w:p>
      <w:pPr>
        <w:spacing w:line="290" w:lineRule="auto" w:before="12"/>
        <w:ind w:left="138" w:right="7674"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
          <w:sz w:val="21"/>
          <w:szCs w:val="21"/>
        </w:rPr>
        <w:t> </w:t>
      </w:r>
      <w:r>
        <w:rPr>
          <w:rFonts w:ascii="宋体" w:hAnsi="宋体" w:cs="宋体" w:eastAsia="宋体" w:hint="default"/>
          <w:sz w:val="21"/>
          <w:szCs w:val="21"/>
        </w:rPr>
        <w:t>√不适用</w:t>
      </w:r>
      <w:r>
        <w:rPr>
          <w:rFonts w:ascii="宋体" w:hAnsi="宋体" w:cs="宋体" w:eastAsia="宋体" w:hint="default"/>
          <w:w w:val="100"/>
          <w:sz w:val="21"/>
          <w:szCs w:val="21"/>
        </w:rPr>
        <w:t> </w:t>
      </w:r>
      <w:r>
        <w:rPr>
          <w:rFonts w:ascii="宋体" w:hAnsi="宋体" w:cs="宋体" w:eastAsia="宋体" w:hint="default"/>
          <w:b/>
          <w:bCs/>
          <w:sz w:val="21"/>
          <w:szCs w:val="21"/>
        </w:rPr>
        <w:t>3</w:t>
      </w:r>
      <w:r>
        <w:rPr>
          <w:rFonts w:ascii="宋体" w:hAnsi="宋体" w:cs="宋体" w:eastAsia="宋体" w:hint="default"/>
          <w:b/>
          <w:bCs/>
          <w:sz w:val="21"/>
          <w:szCs w:val="21"/>
        </w:rPr>
        <w:t>、</w:t>
      </w:r>
      <w:r>
        <w:rPr>
          <w:rFonts w:ascii="宋体" w:hAnsi="宋体" w:cs="宋体" w:eastAsia="宋体" w:hint="default"/>
          <w:b/>
          <w:bCs/>
          <w:spacing w:val="-2"/>
          <w:sz w:val="21"/>
          <w:szCs w:val="21"/>
        </w:rPr>
        <w:t> </w:t>
      </w:r>
      <w:r>
        <w:rPr>
          <w:rFonts w:ascii="宋体" w:hAnsi="宋体" w:cs="宋体" w:eastAsia="宋体" w:hint="default"/>
          <w:b/>
          <w:bCs/>
          <w:sz w:val="21"/>
          <w:szCs w:val="21"/>
        </w:rPr>
        <w:t>租赁情况</w:t>
      </w:r>
      <w:r>
        <w:rPr>
          <w:rFonts w:ascii="宋体" w:hAnsi="宋体" w:cs="宋体" w:eastAsia="宋体" w:hint="default"/>
          <w:sz w:val="21"/>
          <w:szCs w:val="21"/>
        </w:rPr>
      </w:r>
    </w:p>
    <w:p>
      <w:pPr>
        <w:pStyle w:val="BodyText"/>
        <w:spacing w:line="240" w:lineRule="auto" w:before="12"/>
        <w:ind w:left="138" w:right="6316"/>
        <w:jc w:val="left"/>
      </w:pPr>
      <w:r>
        <w:rPr/>
        <w:t>□适用</w:t>
      </w:r>
      <w:r>
        <w:rPr>
          <w:spacing w:val="-1"/>
        </w:rPr>
        <w:t> </w:t>
      </w:r>
      <w:r>
        <w:rPr/>
        <w:t>√不适用</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footerReference w:type="default" r:id="rId40"/>
          <w:pgSz w:w="11910" w:h="16840"/>
          <w:pgMar w:footer="1195" w:header="855" w:top="1320" w:bottom="1380" w:left="1660" w:right="840"/>
        </w:sectPr>
      </w:pPr>
    </w:p>
    <w:p>
      <w:pPr>
        <w:pStyle w:val="Heading3"/>
        <w:tabs>
          <w:tab w:pos="977" w:val="left" w:leader="none"/>
        </w:tabs>
        <w:spacing w:line="240" w:lineRule="auto" w:before="36"/>
        <w:ind w:left="138" w:right="-18"/>
        <w:jc w:val="left"/>
        <w:rPr>
          <w:b w:val="0"/>
          <w:bCs w:val="0"/>
        </w:rPr>
      </w:pPr>
      <w:r>
        <w:rPr>
          <w:rFonts w:ascii="宋体" w:hAnsi="宋体" w:cs="宋体" w:eastAsia="宋体" w:hint="default"/>
          <w:spacing w:val="-1"/>
        </w:rPr>
        <w:t>(</w:t>
      </w:r>
      <w:r>
        <w:rPr>
          <w:spacing w:val="-1"/>
        </w:rPr>
        <w:t>二</w:t>
      </w:r>
      <w:r>
        <w:rPr>
          <w:rFonts w:ascii="宋体" w:hAnsi="宋体" w:cs="宋体" w:eastAsia="宋体" w:hint="default"/>
          <w:spacing w:val="-1"/>
        </w:rPr>
        <w:t>)</w:t>
        <w:tab/>
      </w:r>
      <w:r>
        <w:rPr/>
        <w:t>担保情况</w:t>
      </w:r>
      <w:r>
        <w:rPr>
          <w:b w:val="0"/>
          <w:bCs w:val="0"/>
        </w:rPr>
      </w:r>
    </w:p>
    <w:p>
      <w:pPr>
        <w:pStyle w:val="BodyText"/>
        <w:spacing w:line="240" w:lineRule="auto" w:before="58"/>
        <w:ind w:left="138"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tabs>
          <w:tab w:pos="1189" w:val="left" w:leader="none"/>
        </w:tabs>
        <w:spacing w:line="240" w:lineRule="auto"/>
        <w:ind w:left="138" w:right="0"/>
        <w:jc w:val="left"/>
      </w:pPr>
      <w:r>
        <w:rPr/>
        <w:t>单位</w:t>
      </w:r>
      <w:r>
        <w:rPr>
          <w:rFonts w:ascii="宋体" w:hAnsi="宋体" w:cs="宋体" w:eastAsia="宋体" w:hint="default"/>
        </w:rPr>
        <w:t>:</w:t>
      </w:r>
      <w:r>
        <w:rPr>
          <w:rFonts w:ascii="宋体" w:hAnsi="宋体" w:cs="宋体" w:eastAsia="宋体" w:hint="default"/>
          <w:spacing w:val="2"/>
        </w:rPr>
        <w:t> </w:t>
      </w:r>
      <w:r>
        <w:rPr/>
        <w:t>元</w:t>
        <w:tab/>
        <w:t>币种</w:t>
      </w:r>
      <w:r>
        <w:rPr>
          <w:rFonts w:ascii="宋体" w:hAnsi="宋体" w:cs="宋体" w:eastAsia="宋体" w:hint="default"/>
        </w:rPr>
        <w:t>: </w:t>
      </w:r>
      <w:r>
        <w:rPr/>
        <w:t>人民币</w:t>
      </w:r>
    </w:p>
    <w:p>
      <w:pPr>
        <w:spacing w:after="0" w:line="240" w:lineRule="auto"/>
        <w:jc w:val="left"/>
        <w:sectPr>
          <w:type w:val="continuous"/>
          <w:pgSz w:w="11910" w:h="16840"/>
          <w:pgMar w:top="1320" w:bottom="1380" w:left="1660" w:right="840"/>
          <w:cols w:num="2" w:equalWidth="0">
            <w:col w:w="1823" w:space="5015"/>
            <w:col w:w="2572"/>
          </w:cols>
        </w:sectPr>
      </w:pPr>
    </w:p>
    <w:p>
      <w:pPr>
        <w:spacing w:line="240" w:lineRule="auto" w:before="7"/>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622"/>
        <w:gridCol w:w="619"/>
        <w:gridCol w:w="622"/>
        <w:gridCol w:w="697"/>
        <w:gridCol w:w="617"/>
        <w:gridCol w:w="626"/>
        <w:gridCol w:w="619"/>
        <w:gridCol w:w="620"/>
        <w:gridCol w:w="619"/>
        <w:gridCol w:w="619"/>
        <w:gridCol w:w="694"/>
        <w:gridCol w:w="620"/>
        <w:gridCol w:w="619"/>
        <w:gridCol w:w="614"/>
      </w:tblGrid>
      <w:tr>
        <w:trPr>
          <w:trHeight w:val="302" w:hRule="exact"/>
        </w:trPr>
        <w:tc>
          <w:tcPr>
            <w:tcW w:w="8826" w:type="dxa"/>
            <w:gridSpan w:val="14"/>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2306" w:right="0"/>
              <w:jc w:val="left"/>
              <w:rPr>
                <w:rFonts w:ascii="宋体" w:hAnsi="宋体" w:cs="宋体" w:eastAsia="宋体" w:hint="default"/>
                <w:sz w:val="21"/>
                <w:szCs w:val="21"/>
              </w:rPr>
            </w:pPr>
            <w:r>
              <w:rPr>
                <w:rFonts w:ascii="宋体" w:hAnsi="宋体" w:cs="宋体" w:eastAsia="宋体" w:hint="default"/>
                <w:sz w:val="21"/>
                <w:szCs w:val="21"/>
              </w:rPr>
              <w:t>公司对外担保情况（不包括对子公司的担保）</w:t>
            </w:r>
          </w:p>
        </w:tc>
      </w:tr>
      <w:tr>
        <w:trPr>
          <w:trHeight w:val="1644" w:hRule="exact"/>
        </w:trPr>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72" w:lineRule="exact"/>
              <w:ind w:left="199" w:right="91" w:hanging="104"/>
              <w:jc w:val="left"/>
              <w:rPr>
                <w:rFonts w:ascii="宋体" w:hAnsi="宋体" w:cs="宋体" w:eastAsia="宋体" w:hint="default"/>
                <w:sz w:val="21"/>
                <w:szCs w:val="21"/>
              </w:rPr>
            </w:pPr>
            <w:r>
              <w:rPr>
                <w:rFonts w:ascii="宋体" w:hAnsi="宋体" w:cs="宋体" w:eastAsia="宋体" w:hint="default"/>
                <w:sz w:val="21"/>
                <w:szCs w:val="21"/>
              </w:rPr>
              <w:t>担保</w:t>
            </w:r>
            <w:r>
              <w:rPr>
                <w:rFonts w:ascii="宋体" w:hAnsi="宋体" w:cs="宋体" w:eastAsia="宋体" w:hint="default"/>
                <w:spacing w:val="-103"/>
                <w:sz w:val="21"/>
                <w:szCs w:val="21"/>
              </w:rPr>
              <w:t> </w:t>
            </w:r>
            <w:r>
              <w:rPr>
                <w:rFonts w:ascii="宋体" w:hAnsi="宋体" w:cs="宋体" w:eastAsia="宋体" w:hint="default"/>
                <w:sz w:val="21"/>
                <w:szCs w:val="21"/>
              </w:rPr>
              <w:t>方</w:t>
            </w:r>
          </w:p>
        </w:tc>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93" w:right="0"/>
              <w:jc w:val="both"/>
              <w:rPr>
                <w:rFonts w:ascii="宋体" w:hAnsi="宋体" w:cs="宋体" w:eastAsia="宋体" w:hint="default"/>
                <w:sz w:val="21"/>
                <w:szCs w:val="21"/>
              </w:rPr>
            </w:pPr>
            <w:r>
              <w:rPr>
                <w:rFonts w:ascii="宋体" w:hAnsi="宋体" w:cs="宋体" w:eastAsia="宋体" w:hint="default"/>
                <w:sz w:val="21"/>
                <w:szCs w:val="21"/>
              </w:rPr>
              <w:t>担保</w:t>
            </w:r>
          </w:p>
          <w:p>
            <w:pPr>
              <w:pStyle w:val="TableParagraph"/>
              <w:spacing w:line="237" w:lineRule="auto" w:before="2"/>
              <w:ind w:left="93" w:right="91"/>
              <w:jc w:val="both"/>
              <w:rPr>
                <w:rFonts w:ascii="宋体" w:hAnsi="宋体" w:cs="宋体" w:eastAsia="宋体" w:hint="default"/>
                <w:sz w:val="21"/>
                <w:szCs w:val="21"/>
              </w:rPr>
            </w:pPr>
            <w:r>
              <w:rPr>
                <w:rFonts w:ascii="宋体" w:hAnsi="宋体" w:cs="宋体" w:eastAsia="宋体" w:hint="default"/>
                <w:sz w:val="21"/>
                <w:szCs w:val="21"/>
              </w:rPr>
              <w:t>方与</w:t>
            </w:r>
            <w:r>
              <w:rPr>
                <w:rFonts w:ascii="宋体" w:hAnsi="宋体" w:cs="宋体" w:eastAsia="宋体" w:hint="default"/>
                <w:spacing w:val="-103"/>
                <w:sz w:val="21"/>
                <w:szCs w:val="21"/>
              </w:rPr>
              <w:t> </w:t>
            </w:r>
            <w:r>
              <w:rPr>
                <w:rFonts w:ascii="宋体" w:hAnsi="宋体" w:cs="宋体" w:eastAsia="宋体" w:hint="default"/>
                <w:sz w:val="21"/>
                <w:szCs w:val="21"/>
              </w:rPr>
              <w:t>上市</w:t>
            </w:r>
            <w:r>
              <w:rPr>
                <w:rFonts w:ascii="宋体" w:hAnsi="宋体" w:cs="宋体" w:eastAsia="宋体" w:hint="default"/>
                <w:spacing w:val="-103"/>
                <w:sz w:val="21"/>
                <w:szCs w:val="21"/>
              </w:rPr>
              <w:t> </w:t>
            </w:r>
            <w:r>
              <w:rPr>
                <w:rFonts w:ascii="宋体" w:hAnsi="宋体" w:cs="宋体" w:eastAsia="宋体" w:hint="default"/>
                <w:sz w:val="21"/>
                <w:szCs w:val="21"/>
              </w:rPr>
              <w:t>公司</w:t>
            </w:r>
            <w:r>
              <w:rPr>
                <w:rFonts w:ascii="宋体" w:hAnsi="宋体" w:cs="宋体" w:eastAsia="宋体" w:hint="default"/>
                <w:spacing w:val="-103"/>
                <w:sz w:val="21"/>
                <w:szCs w:val="21"/>
              </w:rPr>
              <w:t> </w:t>
            </w:r>
            <w:r>
              <w:rPr>
                <w:rFonts w:ascii="宋体" w:hAnsi="宋体" w:cs="宋体" w:eastAsia="宋体" w:hint="default"/>
                <w:sz w:val="21"/>
                <w:szCs w:val="21"/>
              </w:rPr>
              <w:t>的关</w:t>
            </w:r>
            <w:r>
              <w:rPr>
                <w:rFonts w:ascii="宋体" w:hAnsi="宋体" w:cs="宋体" w:eastAsia="宋体" w:hint="default"/>
                <w:spacing w:val="-103"/>
                <w:sz w:val="21"/>
                <w:szCs w:val="21"/>
              </w:rPr>
              <w:t> </w:t>
            </w:r>
            <w:r>
              <w:rPr>
                <w:rFonts w:ascii="宋体" w:hAnsi="宋体" w:cs="宋体" w:eastAsia="宋体" w:hint="default"/>
                <w:sz w:val="21"/>
                <w:szCs w:val="21"/>
              </w:rPr>
              <w:t>系</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72" w:lineRule="exact"/>
              <w:ind w:left="93" w:right="95"/>
              <w:jc w:val="left"/>
              <w:rPr>
                <w:rFonts w:ascii="宋体" w:hAnsi="宋体" w:cs="宋体" w:eastAsia="宋体" w:hint="default"/>
                <w:sz w:val="21"/>
                <w:szCs w:val="21"/>
              </w:rPr>
            </w:pPr>
            <w:r>
              <w:rPr>
                <w:rFonts w:ascii="宋体" w:hAnsi="宋体" w:cs="宋体" w:eastAsia="宋体" w:hint="default"/>
                <w:sz w:val="21"/>
                <w:szCs w:val="21"/>
              </w:rPr>
              <w:t>被担</w:t>
            </w:r>
            <w:r>
              <w:rPr>
                <w:rFonts w:ascii="宋体" w:hAnsi="宋体" w:cs="宋体" w:eastAsia="宋体" w:hint="default"/>
                <w:spacing w:val="-103"/>
                <w:sz w:val="21"/>
                <w:szCs w:val="21"/>
              </w:rPr>
              <w:t> </w:t>
            </w:r>
            <w:r>
              <w:rPr>
                <w:rFonts w:ascii="宋体" w:hAnsi="宋体" w:cs="宋体" w:eastAsia="宋体" w:hint="default"/>
                <w:sz w:val="21"/>
                <w:szCs w:val="21"/>
              </w:rPr>
              <w:t>保方</w:t>
            </w:r>
          </w:p>
        </w:tc>
        <w:tc>
          <w:tcPr>
            <w:tcW w:w="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72" w:lineRule="exact"/>
              <w:ind w:left="235" w:right="26" w:hanging="210"/>
              <w:jc w:val="left"/>
              <w:rPr>
                <w:rFonts w:ascii="宋体" w:hAnsi="宋体" w:cs="宋体" w:eastAsia="宋体" w:hint="default"/>
                <w:sz w:val="21"/>
                <w:szCs w:val="21"/>
              </w:rPr>
            </w:pPr>
            <w:r>
              <w:rPr>
                <w:rFonts w:ascii="宋体" w:hAnsi="宋体" w:cs="宋体" w:eastAsia="宋体" w:hint="default"/>
                <w:sz w:val="21"/>
                <w:szCs w:val="21"/>
              </w:rPr>
              <w:t>担保金</w:t>
            </w:r>
            <w:r>
              <w:rPr>
                <w:rFonts w:ascii="宋体" w:hAnsi="宋体" w:cs="宋体" w:eastAsia="宋体" w:hint="default"/>
                <w:spacing w:val="-102"/>
                <w:sz w:val="21"/>
                <w:szCs w:val="21"/>
              </w:rPr>
              <w:t> </w:t>
            </w:r>
            <w:r>
              <w:rPr>
                <w:rFonts w:ascii="宋体" w:hAnsi="宋体" w:cs="宋体" w:eastAsia="宋体" w:hint="default"/>
                <w:sz w:val="21"/>
                <w:szCs w:val="21"/>
              </w:rPr>
              <w:t>额</w:t>
            </w:r>
          </w:p>
        </w:tc>
        <w:tc>
          <w:tcPr>
            <w:tcW w:w="61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93" w:right="0"/>
              <w:jc w:val="both"/>
              <w:rPr>
                <w:rFonts w:ascii="宋体" w:hAnsi="宋体" w:cs="宋体" w:eastAsia="宋体" w:hint="default"/>
                <w:sz w:val="21"/>
                <w:szCs w:val="21"/>
              </w:rPr>
            </w:pPr>
            <w:r>
              <w:rPr>
                <w:rFonts w:ascii="宋体" w:hAnsi="宋体" w:cs="宋体" w:eastAsia="宋体" w:hint="default"/>
                <w:sz w:val="21"/>
                <w:szCs w:val="21"/>
              </w:rPr>
              <w:t>担保</w:t>
            </w:r>
          </w:p>
          <w:p>
            <w:pPr>
              <w:pStyle w:val="TableParagraph"/>
              <w:spacing w:line="237" w:lineRule="auto" w:before="2"/>
              <w:ind w:left="40" w:right="36" w:firstLine="52"/>
              <w:jc w:val="both"/>
              <w:rPr>
                <w:rFonts w:ascii="宋体" w:hAnsi="宋体" w:cs="宋体" w:eastAsia="宋体" w:hint="default"/>
                <w:sz w:val="21"/>
                <w:szCs w:val="21"/>
              </w:rPr>
            </w:pPr>
            <w:r>
              <w:rPr>
                <w:rFonts w:ascii="宋体" w:hAnsi="宋体" w:cs="宋体" w:eastAsia="宋体" w:hint="default"/>
                <w:sz w:val="21"/>
                <w:szCs w:val="21"/>
              </w:rPr>
              <w:t>发生</w:t>
            </w:r>
            <w:r>
              <w:rPr>
                <w:rFonts w:ascii="宋体" w:hAnsi="宋体" w:cs="宋体" w:eastAsia="宋体" w:hint="default"/>
                <w:w w:val="100"/>
                <w:sz w:val="21"/>
                <w:szCs w:val="21"/>
              </w:rPr>
              <w:t> </w:t>
            </w:r>
            <w:r>
              <w:rPr>
                <w:rFonts w:ascii="宋体" w:hAnsi="宋体" w:cs="宋体" w:eastAsia="宋体" w:hint="default"/>
                <w:sz w:val="21"/>
                <w:szCs w:val="21"/>
              </w:rPr>
              <w:t>日期</w:t>
            </w:r>
            <w:r>
              <w:rPr>
                <w:rFonts w:ascii="宋体" w:hAnsi="宋体" w:cs="宋体" w:eastAsia="宋体" w:hint="default"/>
                <w:spacing w:val="-103"/>
                <w:sz w:val="21"/>
                <w:szCs w:val="21"/>
              </w:rPr>
              <w:t> </w:t>
            </w:r>
            <w:r>
              <w:rPr>
                <w:rFonts w:ascii="宋体" w:hAnsi="宋体" w:cs="宋体" w:eastAsia="宋体" w:hint="default"/>
                <w:sz w:val="21"/>
                <w:szCs w:val="21"/>
              </w:rPr>
              <w:t>(</w:t>
            </w:r>
            <w:r>
              <w:rPr>
                <w:rFonts w:ascii="宋体" w:hAnsi="宋体" w:cs="宋体" w:eastAsia="宋体" w:hint="default"/>
                <w:sz w:val="21"/>
                <w:szCs w:val="21"/>
              </w:rPr>
              <w:t>协议</w:t>
            </w:r>
            <w:r>
              <w:rPr>
                <w:rFonts w:ascii="宋体" w:hAnsi="宋体" w:cs="宋体" w:eastAsia="宋体" w:hint="default"/>
                <w:spacing w:val="-102"/>
                <w:sz w:val="21"/>
                <w:szCs w:val="21"/>
              </w:rPr>
              <w:t> </w:t>
            </w:r>
            <w:r>
              <w:rPr>
                <w:rFonts w:ascii="宋体" w:hAnsi="宋体" w:cs="宋体" w:eastAsia="宋体" w:hint="default"/>
                <w:sz w:val="21"/>
                <w:szCs w:val="21"/>
              </w:rPr>
              <w:t>签署</w:t>
            </w:r>
            <w:r>
              <w:rPr>
                <w:rFonts w:ascii="宋体" w:hAnsi="宋体" w:cs="宋体" w:eastAsia="宋体" w:hint="default"/>
                <w:spacing w:val="-103"/>
                <w:sz w:val="21"/>
                <w:szCs w:val="21"/>
              </w:rPr>
              <w:t> </w:t>
            </w:r>
            <w:r>
              <w:rPr>
                <w:rFonts w:ascii="宋体" w:hAnsi="宋体" w:cs="宋体" w:eastAsia="宋体" w:hint="default"/>
                <w:sz w:val="21"/>
                <w:szCs w:val="21"/>
              </w:rPr>
              <w:t>日</w:t>
            </w:r>
            <w:r>
              <w:rPr>
                <w:rFonts w:ascii="宋体" w:hAnsi="宋体" w:cs="宋体" w:eastAsia="宋体" w:hint="default"/>
                <w:sz w:val="21"/>
                <w:szCs w:val="21"/>
              </w:rPr>
              <w:t>)</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8"/>
                <w:szCs w:val="28"/>
              </w:rPr>
            </w:pPr>
          </w:p>
          <w:p>
            <w:pPr>
              <w:pStyle w:val="TableParagraph"/>
              <w:spacing w:line="237" w:lineRule="auto"/>
              <w:ind w:left="98" w:right="95"/>
              <w:jc w:val="both"/>
              <w:rPr>
                <w:rFonts w:ascii="宋体" w:hAnsi="宋体" w:cs="宋体" w:eastAsia="宋体" w:hint="default"/>
                <w:sz w:val="21"/>
                <w:szCs w:val="21"/>
              </w:rPr>
            </w:pPr>
            <w:r>
              <w:rPr>
                <w:rFonts w:ascii="宋体" w:hAnsi="宋体" w:cs="宋体" w:eastAsia="宋体" w:hint="default"/>
                <w:sz w:val="21"/>
                <w:szCs w:val="21"/>
              </w:rPr>
              <w:t>担保</w:t>
            </w:r>
            <w:r>
              <w:rPr>
                <w:rFonts w:ascii="宋体" w:hAnsi="宋体" w:cs="宋体" w:eastAsia="宋体" w:hint="default"/>
                <w:spacing w:val="-103"/>
                <w:sz w:val="21"/>
                <w:szCs w:val="21"/>
              </w:rPr>
              <w:t> </w:t>
            </w:r>
            <w:r>
              <w:rPr>
                <w:rFonts w:ascii="宋体" w:hAnsi="宋体" w:cs="宋体" w:eastAsia="宋体" w:hint="default"/>
                <w:sz w:val="21"/>
                <w:szCs w:val="21"/>
              </w:rPr>
              <w:t>起始</w:t>
            </w:r>
            <w:r>
              <w:rPr>
                <w:rFonts w:ascii="宋体" w:hAnsi="宋体" w:cs="宋体" w:eastAsia="宋体" w:hint="default"/>
                <w:spacing w:val="-103"/>
                <w:sz w:val="21"/>
                <w:szCs w:val="21"/>
              </w:rPr>
              <w:t> </w:t>
            </w:r>
            <w:r>
              <w:rPr>
                <w:rFonts w:ascii="宋体" w:hAnsi="宋体" w:cs="宋体" w:eastAsia="宋体" w:hint="default"/>
                <w:sz w:val="21"/>
                <w:szCs w:val="21"/>
              </w:rPr>
              <w:t>日</w:t>
            </w:r>
          </w:p>
        </w:tc>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8"/>
                <w:szCs w:val="28"/>
              </w:rPr>
            </w:pPr>
          </w:p>
          <w:p>
            <w:pPr>
              <w:pStyle w:val="TableParagraph"/>
              <w:spacing w:line="237" w:lineRule="auto"/>
              <w:ind w:left="93" w:right="91"/>
              <w:jc w:val="both"/>
              <w:rPr>
                <w:rFonts w:ascii="宋体" w:hAnsi="宋体" w:cs="宋体" w:eastAsia="宋体" w:hint="default"/>
                <w:sz w:val="21"/>
                <w:szCs w:val="21"/>
              </w:rPr>
            </w:pPr>
            <w:r>
              <w:rPr>
                <w:rFonts w:ascii="宋体" w:hAnsi="宋体" w:cs="宋体" w:eastAsia="宋体" w:hint="default"/>
                <w:sz w:val="21"/>
                <w:szCs w:val="21"/>
              </w:rPr>
              <w:t>担保</w:t>
            </w:r>
            <w:r>
              <w:rPr>
                <w:rFonts w:ascii="宋体" w:hAnsi="宋体" w:cs="宋体" w:eastAsia="宋体" w:hint="default"/>
                <w:spacing w:val="-103"/>
                <w:sz w:val="21"/>
                <w:szCs w:val="21"/>
              </w:rPr>
              <w:t> </w:t>
            </w:r>
            <w:r>
              <w:rPr>
                <w:rFonts w:ascii="宋体" w:hAnsi="宋体" w:cs="宋体" w:eastAsia="宋体" w:hint="default"/>
                <w:sz w:val="21"/>
                <w:szCs w:val="21"/>
              </w:rPr>
              <w:t>到期</w:t>
            </w:r>
            <w:r>
              <w:rPr>
                <w:rFonts w:ascii="宋体" w:hAnsi="宋体" w:cs="宋体" w:eastAsia="宋体" w:hint="default"/>
                <w:spacing w:val="-103"/>
                <w:sz w:val="21"/>
                <w:szCs w:val="21"/>
              </w:rPr>
              <w:t> </w:t>
            </w:r>
            <w:r>
              <w:rPr>
                <w:rFonts w:ascii="宋体" w:hAnsi="宋体" w:cs="宋体" w:eastAsia="宋体" w:hint="default"/>
                <w:sz w:val="21"/>
                <w:szCs w:val="21"/>
              </w:rPr>
              <w:t>日</w:t>
            </w:r>
          </w:p>
        </w:tc>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72" w:lineRule="exact"/>
              <w:ind w:left="93" w:right="93"/>
              <w:jc w:val="left"/>
              <w:rPr>
                <w:rFonts w:ascii="宋体" w:hAnsi="宋体" w:cs="宋体" w:eastAsia="宋体" w:hint="default"/>
                <w:sz w:val="21"/>
                <w:szCs w:val="21"/>
              </w:rPr>
            </w:pPr>
            <w:r>
              <w:rPr>
                <w:rFonts w:ascii="宋体" w:hAnsi="宋体" w:cs="宋体" w:eastAsia="宋体" w:hint="default"/>
                <w:sz w:val="21"/>
                <w:szCs w:val="21"/>
              </w:rPr>
              <w:t>担保</w:t>
            </w:r>
            <w:r>
              <w:rPr>
                <w:rFonts w:ascii="宋体" w:hAnsi="宋体" w:cs="宋体" w:eastAsia="宋体" w:hint="default"/>
                <w:spacing w:val="-103"/>
                <w:sz w:val="21"/>
                <w:szCs w:val="21"/>
              </w:rPr>
              <w:t> </w:t>
            </w:r>
            <w:r>
              <w:rPr>
                <w:rFonts w:ascii="宋体" w:hAnsi="宋体" w:cs="宋体" w:eastAsia="宋体" w:hint="default"/>
                <w:sz w:val="21"/>
                <w:szCs w:val="21"/>
              </w:rPr>
              <w:t>类型</w:t>
            </w:r>
          </w:p>
        </w:tc>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05"/>
              <w:ind w:left="93" w:right="91"/>
              <w:jc w:val="both"/>
              <w:rPr>
                <w:rFonts w:ascii="宋体" w:hAnsi="宋体" w:cs="宋体" w:eastAsia="宋体" w:hint="default"/>
                <w:sz w:val="21"/>
                <w:szCs w:val="21"/>
              </w:rPr>
            </w:pPr>
            <w:r>
              <w:rPr>
                <w:rFonts w:ascii="宋体" w:hAnsi="宋体" w:cs="宋体" w:eastAsia="宋体" w:hint="default"/>
                <w:sz w:val="21"/>
                <w:szCs w:val="21"/>
              </w:rPr>
              <w:t>担保</w:t>
            </w:r>
            <w:r>
              <w:rPr>
                <w:rFonts w:ascii="宋体" w:hAnsi="宋体" w:cs="宋体" w:eastAsia="宋体" w:hint="default"/>
                <w:spacing w:val="-103"/>
                <w:sz w:val="21"/>
                <w:szCs w:val="21"/>
              </w:rPr>
              <w:t> </w:t>
            </w:r>
            <w:r>
              <w:rPr>
                <w:rFonts w:ascii="宋体" w:hAnsi="宋体" w:cs="宋体" w:eastAsia="宋体" w:hint="default"/>
                <w:sz w:val="21"/>
                <w:szCs w:val="21"/>
              </w:rPr>
              <w:t>是否</w:t>
            </w:r>
            <w:r>
              <w:rPr>
                <w:rFonts w:ascii="宋体" w:hAnsi="宋体" w:cs="宋体" w:eastAsia="宋体" w:hint="default"/>
                <w:spacing w:val="-103"/>
                <w:sz w:val="21"/>
                <w:szCs w:val="21"/>
              </w:rPr>
              <w:t> </w:t>
            </w:r>
            <w:r>
              <w:rPr>
                <w:rFonts w:ascii="宋体" w:hAnsi="宋体" w:cs="宋体" w:eastAsia="宋体" w:hint="default"/>
                <w:sz w:val="21"/>
                <w:szCs w:val="21"/>
              </w:rPr>
              <w:t>已经</w:t>
            </w:r>
            <w:r>
              <w:rPr>
                <w:rFonts w:ascii="宋体" w:hAnsi="宋体" w:cs="宋体" w:eastAsia="宋体" w:hint="default"/>
                <w:spacing w:val="-103"/>
                <w:sz w:val="21"/>
                <w:szCs w:val="21"/>
              </w:rPr>
              <w:t> </w:t>
            </w:r>
            <w:r>
              <w:rPr>
                <w:rFonts w:ascii="宋体" w:hAnsi="宋体" w:cs="宋体" w:eastAsia="宋体" w:hint="default"/>
                <w:sz w:val="21"/>
                <w:szCs w:val="21"/>
              </w:rPr>
              <w:t>履行</w:t>
            </w:r>
            <w:r>
              <w:rPr>
                <w:rFonts w:ascii="宋体" w:hAnsi="宋体" w:cs="宋体" w:eastAsia="宋体" w:hint="default"/>
                <w:spacing w:val="-103"/>
                <w:sz w:val="21"/>
                <w:szCs w:val="21"/>
              </w:rPr>
              <w:t> </w:t>
            </w:r>
            <w:r>
              <w:rPr>
                <w:rFonts w:ascii="宋体" w:hAnsi="宋体" w:cs="宋体" w:eastAsia="宋体" w:hint="default"/>
                <w:sz w:val="21"/>
                <w:szCs w:val="21"/>
              </w:rPr>
              <w:t>完毕</w:t>
            </w:r>
          </w:p>
        </w:tc>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8"/>
                <w:szCs w:val="28"/>
              </w:rPr>
            </w:pPr>
          </w:p>
          <w:p>
            <w:pPr>
              <w:pStyle w:val="TableParagraph"/>
              <w:spacing w:line="237" w:lineRule="auto"/>
              <w:ind w:left="93" w:right="91"/>
              <w:jc w:val="both"/>
              <w:rPr>
                <w:rFonts w:ascii="宋体" w:hAnsi="宋体" w:cs="宋体" w:eastAsia="宋体" w:hint="default"/>
                <w:sz w:val="21"/>
                <w:szCs w:val="21"/>
              </w:rPr>
            </w:pPr>
            <w:r>
              <w:rPr>
                <w:rFonts w:ascii="宋体" w:hAnsi="宋体" w:cs="宋体" w:eastAsia="宋体" w:hint="default"/>
                <w:sz w:val="21"/>
                <w:szCs w:val="21"/>
              </w:rPr>
              <w:t>担保</w:t>
            </w:r>
            <w:r>
              <w:rPr>
                <w:rFonts w:ascii="宋体" w:hAnsi="宋体" w:cs="宋体" w:eastAsia="宋体" w:hint="default"/>
                <w:spacing w:val="-103"/>
                <w:sz w:val="21"/>
                <w:szCs w:val="21"/>
              </w:rPr>
              <w:t> </w:t>
            </w:r>
            <w:r>
              <w:rPr>
                <w:rFonts w:ascii="宋体" w:hAnsi="宋体" w:cs="宋体" w:eastAsia="宋体" w:hint="default"/>
                <w:sz w:val="21"/>
                <w:szCs w:val="21"/>
              </w:rPr>
              <w:t>是否</w:t>
            </w:r>
            <w:r>
              <w:rPr>
                <w:rFonts w:ascii="宋体" w:hAnsi="宋体" w:cs="宋体" w:eastAsia="宋体" w:hint="default"/>
                <w:spacing w:val="-103"/>
                <w:sz w:val="21"/>
                <w:szCs w:val="21"/>
              </w:rPr>
              <w:t> </w:t>
            </w:r>
            <w:r>
              <w:rPr>
                <w:rFonts w:ascii="宋体" w:hAnsi="宋体" w:cs="宋体" w:eastAsia="宋体" w:hint="default"/>
                <w:sz w:val="21"/>
                <w:szCs w:val="21"/>
              </w:rPr>
              <w:t>逾期</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72" w:lineRule="exact"/>
              <w:ind w:left="26" w:right="23"/>
              <w:jc w:val="left"/>
              <w:rPr>
                <w:rFonts w:ascii="宋体" w:hAnsi="宋体" w:cs="宋体" w:eastAsia="宋体" w:hint="default"/>
                <w:sz w:val="21"/>
                <w:szCs w:val="21"/>
              </w:rPr>
            </w:pPr>
            <w:r>
              <w:rPr>
                <w:rFonts w:ascii="宋体" w:hAnsi="宋体" w:cs="宋体" w:eastAsia="宋体" w:hint="default"/>
                <w:sz w:val="21"/>
                <w:szCs w:val="21"/>
              </w:rPr>
              <w:t>担保逾</w:t>
            </w:r>
            <w:r>
              <w:rPr>
                <w:rFonts w:ascii="宋体" w:hAnsi="宋体" w:cs="宋体" w:eastAsia="宋体" w:hint="default"/>
                <w:spacing w:val="-102"/>
                <w:sz w:val="21"/>
                <w:szCs w:val="21"/>
              </w:rPr>
              <w:t> </w:t>
            </w:r>
            <w:r>
              <w:rPr>
                <w:rFonts w:ascii="宋体" w:hAnsi="宋体" w:cs="宋体" w:eastAsia="宋体" w:hint="default"/>
                <w:sz w:val="21"/>
                <w:szCs w:val="21"/>
              </w:rPr>
              <w:t>期金额</w:t>
            </w:r>
          </w:p>
        </w:tc>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37" w:lineRule="auto"/>
              <w:ind w:left="93" w:right="92"/>
              <w:jc w:val="both"/>
              <w:rPr>
                <w:rFonts w:ascii="宋体" w:hAnsi="宋体" w:cs="宋体" w:eastAsia="宋体" w:hint="default"/>
                <w:sz w:val="21"/>
                <w:szCs w:val="21"/>
              </w:rPr>
            </w:pPr>
            <w:r>
              <w:rPr>
                <w:rFonts w:ascii="宋体" w:hAnsi="宋体" w:cs="宋体" w:eastAsia="宋体" w:hint="default"/>
                <w:sz w:val="21"/>
                <w:szCs w:val="21"/>
              </w:rPr>
              <w:t>是否</w:t>
            </w:r>
            <w:r>
              <w:rPr>
                <w:rFonts w:ascii="宋体" w:hAnsi="宋体" w:cs="宋体" w:eastAsia="宋体" w:hint="default"/>
                <w:spacing w:val="-103"/>
                <w:sz w:val="21"/>
                <w:szCs w:val="21"/>
              </w:rPr>
              <w:t> </w:t>
            </w:r>
            <w:r>
              <w:rPr>
                <w:rFonts w:ascii="宋体" w:hAnsi="宋体" w:cs="宋体" w:eastAsia="宋体" w:hint="default"/>
                <w:sz w:val="21"/>
                <w:szCs w:val="21"/>
              </w:rPr>
              <w:t>存在</w:t>
            </w:r>
            <w:r>
              <w:rPr>
                <w:rFonts w:ascii="宋体" w:hAnsi="宋体" w:cs="宋体" w:eastAsia="宋体" w:hint="default"/>
                <w:spacing w:val="-103"/>
                <w:sz w:val="21"/>
                <w:szCs w:val="21"/>
              </w:rPr>
              <w:t> </w:t>
            </w:r>
            <w:r>
              <w:rPr>
                <w:rFonts w:ascii="宋体" w:hAnsi="宋体" w:cs="宋体" w:eastAsia="宋体" w:hint="default"/>
                <w:sz w:val="21"/>
                <w:szCs w:val="21"/>
              </w:rPr>
              <w:t>反担</w:t>
            </w:r>
            <w:r>
              <w:rPr>
                <w:rFonts w:ascii="宋体" w:hAnsi="宋体" w:cs="宋体" w:eastAsia="宋体" w:hint="default"/>
                <w:spacing w:val="-103"/>
                <w:sz w:val="21"/>
                <w:szCs w:val="21"/>
              </w:rPr>
              <w:t> </w:t>
            </w:r>
            <w:r>
              <w:rPr>
                <w:rFonts w:ascii="宋体" w:hAnsi="宋体" w:cs="宋体" w:eastAsia="宋体" w:hint="default"/>
                <w:sz w:val="21"/>
                <w:szCs w:val="21"/>
              </w:rPr>
              <w:t>保</w:t>
            </w:r>
          </w:p>
        </w:tc>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37" w:lineRule="auto"/>
              <w:ind w:left="93" w:right="91"/>
              <w:jc w:val="both"/>
              <w:rPr>
                <w:rFonts w:ascii="宋体" w:hAnsi="宋体" w:cs="宋体" w:eastAsia="宋体" w:hint="default"/>
                <w:sz w:val="21"/>
                <w:szCs w:val="21"/>
              </w:rPr>
            </w:pPr>
            <w:r>
              <w:rPr>
                <w:rFonts w:ascii="宋体" w:hAnsi="宋体" w:cs="宋体" w:eastAsia="宋体" w:hint="default"/>
                <w:sz w:val="21"/>
                <w:szCs w:val="21"/>
              </w:rPr>
              <w:t>是否</w:t>
            </w:r>
            <w:r>
              <w:rPr>
                <w:rFonts w:ascii="宋体" w:hAnsi="宋体" w:cs="宋体" w:eastAsia="宋体" w:hint="default"/>
                <w:spacing w:val="-103"/>
                <w:sz w:val="21"/>
                <w:szCs w:val="21"/>
              </w:rPr>
              <w:t> </w:t>
            </w:r>
            <w:r>
              <w:rPr>
                <w:rFonts w:ascii="宋体" w:hAnsi="宋体" w:cs="宋体" w:eastAsia="宋体" w:hint="default"/>
                <w:sz w:val="21"/>
                <w:szCs w:val="21"/>
              </w:rPr>
              <w:t>为关</w:t>
            </w:r>
            <w:r>
              <w:rPr>
                <w:rFonts w:ascii="宋体" w:hAnsi="宋体" w:cs="宋体" w:eastAsia="宋体" w:hint="default"/>
                <w:spacing w:val="-103"/>
                <w:sz w:val="21"/>
                <w:szCs w:val="21"/>
              </w:rPr>
              <w:t> </w:t>
            </w:r>
            <w:r>
              <w:rPr>
                <w:rFonts w:ascii="宋体" w:hAnsi="宋体" w:cs="宋体" w:eastAsia="宋体" w:hint="default"/>
                <w:sz w:val="21"/>
                <w:szCs w:val="21"/>
              </w:rPr>
              <w:t>联方</w:t>
            </w:r>
            <w:r>
              <w:rPr>
                <w:rFonts w:ascii="宋体" w:hAnsi="宋体" w:cs="宋体" w:eastAsia="宋体" w:hint="default"/>
                <w:spacing w:val="-103"/>
                <w:sz w:val="21"/>
                <w:szCs w:val="21"/>
              </w:rPr>
              <w:t> </w:t>
            </w:r>
            <w:r>
              <w:rPr>
                <w:rFonts w:ascii="宋体" w:hAnsi="宋体" w:cs="宋体" w:eastAsia="宋体" w:hint="default"/>
                <w:sz w:val="21"/>
                <w:szCs w:val="21"/>
              </w:rPr>
              <w:t>担保</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72" w:lineRule="exact"/>
              <w:ind w:left="91" w:right="89"/>
              <w:jc w:val="left"/>
              <w:rPr>
                <w:rFonts w:ascii="宋体" w:hAnsi="宋体" w:cs="宋体" w:eastAsia="宋体" w:hint="default"/>
                <w:sz w:val="21"/>
                <w:szCs w:val="21"/>
              </w:rPr>
            </w:pPr>
            <w:r>
              <w:rPr>
                <w:rFonts w:ascii="宋体" w:hAnsi="宋体" w:cs="宋体" w:eastAsia="宋体" w:hint="default"/>
                <w:sz w:val="21"/>
                <w:szCs w:val="21"/>
              </w:rPr>
              <w:t>关联</w:t>
            </w:r>
            <w:r>
              <w:rPr>
                <w:rFonts w:ascii="宋体" w:hAnsi="宋体" w:cs="宋体" w:eastAsia="宋体" w:hint="default"/>
                <w:spacing w:val="-103"/>
                <w:sz w:val="21"/>
                <w:szCs w:val="21"/>
              </w:rPr>
              <w:t> </w:t>
            </w:r>
            <w:r>
              <w:rPr>
                <w:rFonts w:ascii="宋体" w:hAnsi="宋体" w:cs="宋体" w:eastAsia="宋体" w:hint="default"/>
                <w:sz w:val="21"/>
                <w:szCs w:val="21"/>
              </w:rPr>
              <w:t>关系</w:t>
            </w:r>
          </w:p>
        </w:tc>
      </w:tr>
      <w:tr>
        <w:trPr>
          <w:trHeight w:val="302" w:hRule="exact"/>
        </w:trPr>
        <w:tc>
          <w:tcPr>
            <w:tcW w:w="622" w:type="dxa"/>
            <w:tcBorders>
              <w:top w:val="single" w:sz="4" w:space="0" w:color="000000"/>
              <w:left w:val="single" w:sz="4" w:space="0" w:color="000000"/>
              <w:bottom w:val="single" w:sz="4" w:space="0" w:color="000000"/>
              <w:right w:val="single" w:sz="4" w:space="0" w:color="000000"/>
            </w:tcBorders>
          </w:tcPr>
          <w:p>
            <w:pPr/>
          </w:p>
        </w:tc>
        <w:tc>
          <w:tcPr>
            <w:tcW w:w="619" w:type="dxa"/>
            <w:tcBorders>
              <w:top w:val="single" w:sz="4" w:space="0" w:color="000000"/>
              <w:left w:val="single" w:sz="4" w:space="0" w:color="000000"/>
              <w:bottom w:val="single" w:sz="4" w:space="0" w:color="000000"/>
              <w:right w:val="single" w:sz="4" w:space="0" w:color="000000"/>
            </w:tcBorders>
          </w:tcPr>
          <w:p>
            <w:pPr/>
          </w:p>
        </w:tc>
        <w:tc>
          <w:tcPr>
            <w:tcW w:w="622" w:type="dxa"/>
            <w:tcBorders>
              <w:top w:val="single" w:sz="4" w:space="0" w:color="000000"/>
              <w:left w:val="single" w:sz="4" w:space="0" w:color="000000"/>
              <w:bottom w:val="single" w:sz="4" w:space="0" w:color="000000"/>
              <w:right w:val="single" w:sz="4" w:space="0" w:color="000000"/>
            </w:tcBorders>
          </w:tcPr>
          <w:p>
            <w:pPr/>
          </w:p>
        </w:tc>
        <w:tc>
          <w:tcPr>
            <w:tcW w:w="697" w:type="dxa"/>
            <w:tcBorders>
              <w:top w:val="single" w:sz="4" w:space="0" w:color="000000"/>
              <w:left w:val="single" w:sz="4" w:space="0" w:color="000000"/>
              <w:bottom w:val="single" w:sz="4" w:space="0" w:color="000000"/>
              <w:right w:val="single" w:sz="4" w:space="0" w:color="000000"/>
            </w:tcBorders>
          </w:tcPr>
          <w:p>
            <w:pPr/>
          </w:p>
        </w:tc>
        <w:tc>
          <w:tcPr>
            <w:tcW w:w="617" w:type="dxa"/>
            <w:tcBorders>
              <w:top w:val="single" w:sz="4" w:space="0" w:color="000000"/>
              <w:left w:val="single" w:sz="4" w:space="0" w:color="000000"/>
              <w:bottom w:val="single" w:sz="4" w:space="0" w:color="000000"/>
              <w:right w:val="single" w:sz="4" w:space="0" w:color="000000"/>
            </w:tcBorders>
          </w:tcPr>
          <w:p>
            <w:pPr/>
          </w:p>
        </w:tc>
        <w:tc>
          <w:tcPr>
            <w:tcW w:w="626" w:type="dxa"/>
            <w:tcBorders>
              <w:top w:val="single" w:sz="4" w:space="0" w:color="000000"/>
              <w:left w:val="single" w:sz="4" w:space="0" w:color="000000"/>
              <w:bottom w:val="single" w:sz="4" w:space="0" w:color="000000"/>
              <w:right w:val="single" w:sz="4" w:space="0" w:color="000000"/>
            </w:tcBorders>
          </w:tcPr>
          <w:p>
            <w:pPr/>
          </w:p>
        </w:tc>
        <w:tc>
          <w:tcPr>
            <w:tcW w:w="619"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619" w:type="dxa"/>
            <w:tcBorders>
              <w:top w:val="single" w:sz="4" w:space="0" w:color="000000"/>
              <w:left w:val="single" w:sz="4" w:space="0" w:color="000000"/>
              <w:bottom w:val="single" w:sz="4" w:space="0" w:color="000000"/>
              <w:right w:val="single" w:sz="4" w:space="0" w:color="000000"/>
            </w:tcBorders>
          </w:tcPr>
          <w:p>
            <w:pPr/>
          </w:p>
        </w:tc>
        <w:tc>
          <w:tcPr>
            <w:tcW w:w="619" w:type="dxa"/>
            <w:tcBorders>
              <w:top w:val="single" w:sz="4" w:space="0" w:color="000000"/>
              <w:left w:val="single" w:sz="4" w:space="0" w:color="000000"/>
              <w:bottom w:val="single" w:sz="4" w:space="0" w:color="000000"/>
              <w:right w:val="single" w:sz="4" w:space="0" w:color="000000"/>
            </w:tcBorders>
          </w:tcPr>
          <w:p>
            <w:pPr/>
          </w:p>
        </w:tc>
        <w:tc>
          <w:tcPr>
            <w:tcW w:w="694"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619"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r>
      <w:tr>
        <w:trPr>
          <w:trHeight w:val="555" w:hRule="exact"/>
        </w:trPr>
        <w:tc>
          <w:tcPr>
            <w:tcW w:w="3802"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pacing w:val="-4"/>
                <w:sz w:val="21"/>
                <w:szCs w:val="21"/>
              </w:rPr>
              <w:t>报告期内担保发生额合计（不包括对子公</w:t>
            </w:r>
          </w:p>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司的担保）</w:t>
            </w:r>
          </w:p>
        </w:tc>
        <w:tc>
          <w:tcPr>
            <w:tcW w:w="5024" w:type="dxa"/>
            <w:gridSpan w:val="8"/>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3802"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报告期末担保余额合计（</w:t>
            </w:r>
            <w:r>
              <w:rPr>
                <w:rFonts w:ascii="宋体" w:hAnsi="宋体" w:cs="宋体" w:eastAsia="宋体" w:hint="default"/>
                <w:sz w:val="21"/>
                <w:szCs w:val="21"/>
              </w:rPr>
              <w:t>A</w:t>
            </w:r>
            <w:r>
              <w:rPr>
                <w:rFonts w:ascii="宋体" w:hAnsi="宋体" w:cs="宋体" w:eastAsia="宋体" w:hint="default"/>
                <w:sz w:val="21"/>
                <w:szCs w:val="21"/>
              </w:rPr>
              <w:t>）（不包括对</w:t>
            </w:r>
          </w:p>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子公司的担保）</w:t>
            </w:r>
          </w:p>
        </w:tc>
        <w:tc>
          <w:tcPr>
            <w:tcW w:w="5024" w:type="dxa"/>
            <w:gridSpan w:val="8"/>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8826" w:type="dxa"/>
            <w:gridSpan w:val="14"/>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683" w:right="0"/>
              <w:jc w:val="left"/>
              <w:rPr>
                <w:rFonts w:ascii="宋体" w:hAnsi="宋体" w:cs="宋体" w:eastAsia="宋体" w:hint="default"/>
                <w:sz w:val="21"/>
                <w:szCs w:val="21"/>
              </w:rPr>
            </w:pPr>
            <w:r>
              <w:rPr>
                <w:rFonts w:ascii="宋体" w:hAnsi="宋体" w:cs="宋体" w:eastAsia="宋体" w:hint="default"/>
                <w:sz w:val="21"/>
                <w:szCs w:val="21"/>
              </w:rPr>
              <w:t>公司及其子公司对子公司的担保情况</w:t>
            </w:r>
          </w:p>
        </w:tc>
      </w:tr>
      <w:tr>
        <w:trPr>
          <w:trHeight w:val="317" w:hRule="exact"/>
        </w:trPr>
        <w:tc>
          <w:tcPr>
            <w:tcW w:w="3802" w:type="dxa"/>
            <w:gridSpan w:val="6"/>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报告期内对子公司担保发生额合计</w:t>
            </w:r>
          </w:p>
        </w:tc>
        <w:tc>
          <w:tcPr>
            <w:tcW w:w="5024" w:type="dxa"/>
            <w:gridSpan w:val="8"/>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8"/>
              <w:jc w:val="right"/>
              <w:rPr>
                <w:rFonts w:ascii="宋体" w:hAnsi="宋体" w:cs="宋体" w:eastAsia="宋体" w:hint="default"/>
                <w:sz w:val="21"/>
                <w:szCs w:val="21"/>
              </w:rPr>
            </w:pPr>
            <w:r>
              <w:rPr>
                <w:rFonts w:ascii="宋体"/>
                <w:w w:val="100"/>
                <w:sz w:val="21"/>
              </w:rPr>
              <w:t>0</w:t>
            </w:r>
          </w:p>
        </w:tc>
      </w:tr>
      <w:tr>
        <w:trPr>
          <w:trHeight w:val="554" w:hRule="exact"/>
        </w:trPr>
        <w:tc>
          <w:tcPr>
            <w:tcW w:w="3802" w:type="dxa"/>
            <w:gridSpan w:val="6"/>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报告期末对子公司担保余额合计（</w:t>
            </w:r>
            <w:r>
              <w:rPr>
                <w:rFonts w:ascii="宋体" w:hAnsi="宋体" w:cs="宋体" w:eastAsia="宋体" w:hint="default"/>
                <w:sz w:val="21"/>
                <w:szCs w:val="21"/>
              </w:rPr>
              <w:t>B</w:t>
            </w:r>
            <w:r>
              <w:rPr>
                <w:rFonts w:ascii="宋体" w:hAnsi="宋体" w:cs="宋体" w:eastAsia="宋体" w:hint="default"/>
                <w:sz w:val="21"/>
                <w:szCs w:val="21"/>
              </w:rPr>
              <w:t>）</w:t>
            </w:r>
          </w:p>
        </w:tc>
        <w:tc>
          <w:tcPr>
            <w:tcW w:w="5024" w:type="dxa"/>
            <w:gridSpan w:val="8"/>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270,000,000</w:t>
            </w:r>
          </w:p>
        </w:tc>
      </w:tr>
      <w:tr>
        <w:trPr>
          <w:trHeight w:val="319" w:hRule="exact"/>
        </w:trPr>
        <w:tc>
          <w:tcPr>
            <w:tcW w:w="8826" w:type="dxa"/>
            <w:gridSpan w:val="14"/>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69" w:right="0"/>
              <w:jc w:val="left"/>
              <w:rPr>
                <w:rFonts w:ascii="宋体" w:hAnsi="宋体" w:cs="宋体" w:eastAsia="宋体" w:hint="default"/>
                <w:sz w:val="21"/>
                <w:szCs w:val="21"/>
              </w:rPr>
            </w:pPr>
            <w:r>
              <w:rPr>
                <w:rFonts w:ascii="宋体" w:hAnsi="宋体" w:cs="宋体" w:eastAsia="宋体" w:hint="default"/>
                <w:sz w:val="21"/>
                <w:szCs w:val="21"/>
              </w:rPr>
              <w:t>公司担保总额情况（包括对子公司的担保）</w:t>
            </w:r>
          </w:p>
        </w:tc>
      </w:tr>
      <w:tr>
        <w:trPr>
          <w:trHeight w:val="480" w:hRule="exact"/>
        </w:trPr>
        <w:tc>
          <w:tcPr>
            <w:tcW w:w="3802" w:type="dxa"/>
            <w:gridSpan w:val="6"/>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担保总额（</w:t>
            </w:r>
            <w:r>
              <w:rPr>
                <w:rFonts w:ascii="宋体" w:hAnsi="宋体" w:cs="宋体" w:eastAsia="宋体" w:hint="default"/>
                <w:sz w:val="21"/>
                <w:szCs w:val="21"/>
              </w:rPr>
              <w:t>A+B</w:t>
            </w:r>
            <w:r>
              <w:rPr>
                <w:rFonts w:ascii="宋体" w:hAnsi="宋体" w:cs="宋体" w:eastAsia="宋体" w:hint="default"/>
                <w:sz w:val="21"/>
                <w:szCs w:val="21"/>
              </w:rPr>
              <w:t>）</w:t>
            </w:r>
          </w:p>
        </w:tc>
        <w:tc>
          <w:tcPr>
            <w:tcW w:w="5024" w:type="dxa"/>
            <w:gridSpan w:val="8"/>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270,000,000</w:t>
            </w:r>
          </w:p>
        </w:tc>
      </w:tr>
      <w:tr>
        <w:trPr>
          <w:trHeight w:val="317" w:hRule="exact"/>
        </w:trPr>
        <w:tc>
          <w:tcPr>
            <w:tcW w:w="3802" w:type="dxa"/>
            <w:gridSpan w:val="6"/>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担保总额占公司净资产的比例</w:t>
            </w:r>
            <w:r>
              <w:rPr>
                <w:rFonts w:ascii="宋体" w:hAnsi="宋体" w:cs="宋体" w:eastAsia="宋体" w:hint="default"/>
                <w:sz w:val="21"/>
                <w:szCs w:val="21"/>
              </w:rPr>
              <w:t>(%)</w:t>
            </w:r>
          </w:p>
        </w:tc>
        <w:tc>
          <w:tcPr>
            <w:tcW w:w="5024" w:type="dxa"/>
            <w:gridSpan w:val="8"/>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sz w:val="21"/>
              </w:rPr>
              <w:t>4.6</w:t>
            </w:r>
          </w:p>
        </w:tc>
      </w:tr>
      <w:tr>
        <w:trPr>
          <w:trHeight w:val="320" w:hRule="exact"/>
        </w:trPr>
        <w:tc>
          <w:tcPr>
            <w:tcW w:w="8826" w:type="dxa"/>
            <w:gridSpan w:val="14"/>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26" w:right="0"/>
              <w:jc w:val="left"/>
              <w:rPr>
                <w:rFonts w:ascii="宋体" w:hAnsi="宋体" w:cs="宋体" w:eastAsia="宋体" w:hint="default"/>
                <w:sz w:val="21"/>
                <w:szCs w:val="21"/>
              </w:rPr>
            </w:pPr>
            <w:r>
              <w:rPr>
                <w:rFonts w:ascii="宋体" w:hAnsi="宋体" w:cs="宋体" w:eastAsia="宋体" w:hint="default"/>
                <w:sz w:val="21"/>
                <w:szCs w:val="21"/>
              </w:rPr>
              <w:t>其中：</w:t>
            </w:r>
          </w:p>
        </w:tc>
      </w:tr>
      <w:tr>
        <w:trPr>
          <w:trHeight w:val="554" w:hRule="exact"/>
        </w:trPr>
        <w:tc>
          <w:tcPr>
            <w:tcW w:w="3802"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pacing w:val="-4"/>
                <w:sz w:val="21"/>
                <w:szCs w:val="21"/>
              </w:rPr>
              <w:t>为股东、实际控制人及其关联方提供担保</w:t>
            </w:r>
          </w:p>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的金额（</w:t>
            </w:r>
            <w:r>
              <w:rPr>
                <w:rFonts w:ascii="宋体" w:hAnsi="宋体" w:cs="宋体" w:eastAsia="宋体" w:hint="default"/>
                <w:sz w:val="21"/>
                <w:szCs w:val="21"/>
              </w:rPr>
              <w:t>C</w:t>
            </w:r>
            <w:r>
              <w:rPr>
                <w:rFonts w:ascii="宋体" w:hAnsi="宋体" w:cs="宋体" w:eastAsia="宋体" w:hint="default"/>
                <w:sz w:val="21"/>
                <w:szCs w:val="21"/>
              </w:rPr>
              <w:t>）</w:t>
            </w:r>
          </w:p>
        </w:tc>
        <w:tc>
          <w:tcPr>
            <w:tcW w:w="5024" w:type="dxa"/>
            <w:gridSpan w:val="8"/>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3802"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直接或间接为资产负债率超过</w:t>
            </w:r>
            <w:r>
              <w:rPr>
                <w:rFonts w:ascii="宋体" w:hAnsi="宋体" w:cs="宋体" w:eastAsia="宋体" w:hint="default"/>
                <w:sz w:val="21"/>
                <w:szCs w:val="21"/>
              </w:rPr>
              <w:t>70%</w:t>
            </w:r>
            <w:r>
              <w:rPr>
                <w:rFonts w:ascii="宋体" w:hAnsi="宋体" w:cs="宋体" w:eastAsia="宋体" w:hint="default"/>
                <w:sz w:val="21"/>
                <w:szCs w:val="21"/>
              </w:rPr>
              <w:t>的被担</w:t>
            </w:r>
          </w:p>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保对象提供的债务担保金额（</w:t>
            </w:r>
            <w:r>
              <w:rPr>
                <w:rFonts w:ascii="宋体" w:hAnsi="宋体" w:cs="宋体" w:eastAsia="宋体" w:hint="default"/>
                <w:sz w:val="21"/>
                <w:szCs w:val="21"/>
              </w:rPr>
              <w:t>D</w:t>
            </w:r>
            <w:r>
              <w:rPr>
                <w:rFonts w:ascii="宋体" w:hAnsi="宋体" w:cs="宋体" w:eastAsia="宋体" w:hint="default"/>
                <w:sz w:val="21"/>
                <w:szCs w:val="21"/>
              </w:rPr>
              <w:t>）</w:t>
            </w:r>
          </w:p>
        </w:tc>
        <w:tc>
          <w:tcPr>
            <w:tcW w:w="5024" w:type="dxa"/>
            <w:gridSpan w:val="8"/>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802" w:type="dxa"/>
            <w:gridSpan w:val="6"/>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17"/>
              <w:jc w:val="left"/>
              <w:rPr>
                <w:rFonts w:ascii="宋体" w:hAnsi="宋体" w:cs="宋体" w:eastAsia="宋体" w:hint="default"/>
                <w:sz w:val="21"/>
                <w:szCs w:val="21"/>
              </w:rPr>
            </w:pPr>
            <w:r>
              <w:rPr>
                <w:rFonts w:ascii="宋体" w:hAnsi="宋体" w:cs="宋体" w:eastAsia="宋体" w:hint="default"/>
                <w:spacing w:val="-2"/>
                <w:sz w:val="21"/>
                <w:szCs w:val="21"/>
              </w:rPr>
              <w:t>担保总额超过净资产</w:t>
            </w:r>
            <w:r>
              <w:rPr>
                <w:rFonts w:ascii="宋体" w:hAnsi="宋体" w:cs="宋体" w:eastAsia="宋体" w:hint="default"/>
                <w:spacing w:val="-2"/>
                <w:sz w:val="21"/>
                <w:szCs w:val="21"/>
              </w:rPr>
              <w:t>50%</w:t>
            </w:r>
            <w:r>
              <w:rPr>
                <w:rFonts w:ascii="宋体" w:hAnsi="宋体" w:cs="宋体" w:eastAsia="宋体" w:hint="default"/>
                <w:spacing w:val="-2"/>
                <w:sz w:val="21"/>
                <w:szCs w:val="21"/>
              </w:rPr>
              <w:t>部分的金额（</w:t>
            </w:r>
            <w:r>
              <w:rPr>
                <w:rFonts w:ascii="宋体" w:hAnsi="宋体" w:cs="宋体" w:eastAsia="宋体" w:hint="default"/>
                <w:spacing w:val="-2"/>
                <w:sz w:val="21"/>
                <w:szCs w:val="21"/>
              </w:rPr>
              <w:t>E</w:t>
            </w:r>
            <w:r>
              <w:rPr>
                <w:rFonts w:ascii="宋体" w:hAnsi="宋体" w:cs="宋体" w:eastAsia="宋体" w:hint="default"/>
                <w:spacing w:val="-2"/>
                <w:sz w:val="21"/>
                <w:szCs w:val="21"/>
              </w:rPr>
              <w:t>）</w:t>
            </w:r>
          </w:p>
        </w:tc>
        <w:tc>
          <w:tcPr>
            <w:tcW w:w="5024" w:type="dxa"/>
            <w:gridSpan w:val="8"/>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3802" w:type="dxa"/>
            <w:gridSpan w:val="6"/>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26" w:right="0"/>
              <w:jc w:val="left"/>
              <w:rPr>
                <w:rFonts w:ascii="宋体" w:hAnsi="宋体" w:cs="宋体" w:eastAsia="宋体" w:hint="default"/>
                <w:sz w:val="21"/>
                <w:szCs w:val="21"/>
              </w:rPr>
            </w:pPr>
            <w:r>
              <w:rPr>
                <w:rFonts w:ascii="宋体" w:hAnsi="宋体" w:cs="宋体" w:eastAsia="宋体" w:hint="default"/>
                <w:sz w:val="21"/>
                <w:szCs w:val="21"/>
              </w:rPr>
              <w:t>上述三项担保金额合计（</w:t>
            </w:r>
            <w:r>
              <w:rPr>
                <w:rFonts w:ascii="宋体" w:hAnsi="宋体" w:cs="宋体" w:eastAsia="宋体" w:hint="default"/>
                <w:sz w:val="21"/>
                <w:szCs w:val="21"/>
              </w:rPr>
              <w:t>C+D+E</w:t>
            </w:r>
            <w:r>
              <w:rPr>
                <w:rFonts w:ascii="宋体" w:hAnsi="宋体" w:cs="宋体" w:eastAsia="宋体" w:hint="default"/>
                <w:sz w:val="21"/>
                <w:szCs w:val="21"/>
              </w:rPr>
              <w:t>）</w:t>
            </w:r>
          </w:p>
        </w:tc>
        <w:tc>
          <w:tcPr>
            <w:tcW w:w="5024" w:type="dxa"/>
            <w:gridSpan w:val="8"/>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802" w:type="dxa"/>
            <w:gridSpan w:val="6"/>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6" w:right="0"/>
              <w:jc w:val="left"/>
              <w:rPr>
                <w:rFonts w:ascii="宋体" w:hAnsi="宋体" w:cs="宋体" w:eastAsia="宋体" w:hint="default"/>
                <w:sz w:val="21"/>
                <w:szCs w:val="21"/>
              </w:rPr>
            </w:pPr>
            <w:r>
              <w:rPr>
                <w:rFonts w:ascii="宋体" w:hAnsi="宋体" w:cs="宋体" w:eastAsia="宋体" w:hint="default"/>
                <w:sz w:val="21"/>
                <w:szCs w:val="21"/>
              </w:rPr>
              <w:t>未到期担保可能承担连带清偿责任说明</w:t>
            </w:r>
          </w:p>
        </w:tc>
        <w:tc>
          <w:tcPr>
            <w:tcW w:w="5024" w:type="dxa"/>
            <w:gridSpan w:val="8"/>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3802" w:type="dxa"/>
            <w:gridSpan w:val="6"/>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担保情况说明</w:t>
            </w:r>
          </w:p>
        </w:tc>
        <w:tc>
          <w:tcPr>
            <w:tcW w:w="5024" w:type="dxa"/>
            <w:gridSpan w:val="8"/>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20"/>
          <w:szCs w:val="20"/>
        </w:rPr>
      </w:pPr>
    </w:p>
    <w:p>
      <w:pPr>
        <w:pStyle w:val="Heading3"/>
        <w:tabs>
          <w:tab w:pos="977" w:val="left" w:leader="none"/>
        </w:tabs>
        <w:spacing w:line="290" w:lineRule="auto" w:before="36"/>
        <w:ind w:left="138" w:right="5263"/>
        <w:jc w:val="left"/>
        <w:rPr>
          <w:b w:val="0"/>
          <w:bCs w:val="0"/>
        </w:rPr>
      </w:pPr>
      <w:r>
        <w:rPr>
          <w:rFonts w:ascii="宋体" w:hAnsi="宋体" w:cs="宋体" w:eastAsia="宋体" w:hint="default"/>
          <w:spacing w:val="-1"/>
        </w:rPr>
        <w:t>(</w:t>
      </w:r>
      <w:r>
        <w:rPr>
          <w:spacing w:val="-1"/>
        </w:rPr>
        <w:t>三</w:t>
      </w:r>
      <w:r>
        <w:rPr>
          <w:rFonts w:ascii="宋体" w:hAnsi="宋体" w:cs="宋体" w:eastAsia="宋体" w:hint="default"/>
          <w:spacing w:val="-1"/>
        </w:rPr>
        <w:t>)</w:t>
        <w:tab/>
      </w:r>
      <w:r>
        <w:rPr>
          <w:spacing w:val="-1"/>
        </w:rPr>
        <w:t>委托他人进行现金资产管理的情况</w:t>
      </w:r>
      <w:r>
        <w:rPr>
          <w:spacing w:val="-92"/>
        </w:rPr>
        <w:t> </w:t>
      </w:r>
      <w:r>
        <w:rPr>
          <w:spacing w:val="-92"/>
        </w:rPr>
      </w:r>
      <w:r>
        <w:rPr>
          <w:rFonts w:ascii="宋体" w:hAnsi="宋体" w:cs="宋体" w:eastAsia="宋体" w:hint="default"/>
        </w:rPr>
        <w:t>1</w:t>
      </w:r>
      <w:r>
        <w:rPr/>
        <w:t>、</w:t>
      </w:r>
      <w:r>
        <w:rPr>
          <w:spacing w:val="1"/>
        </w:rPr>
        <w:t> </w:t>
      </w:r>
      <w:r>
        <w:rPr/>
        <w:t>委托理财情况</w:t>
      </w:r>
      <w:r>
        <w:rPr>
          <w:b w:val="0"/>
          <w:bCs w:val="0"/>
        </w:rPr>
      </w:r>
    </w:p>
    <w:p>
      <w:pPr>
        <w:pStyle w:val="Heading3"/>
        <w:spacing w:line="240" w:lineRule="auto" w:before="14"/>
        <w:ind w:left="138" w:right="6316"/>
        <w:jc w:val="left"/>
        <w:rPr>
          <w:b w:val="0"/>
          <w:bCs w:val="0"/>
        </w:rPr>
      </w:pPr>
      <w:r>
        <w:rPr>
          <w:rFonts w:ascii="宋体" w:hAnsi="宋体" w:cs="宋体" w:eastAsia="宋体" w:hint="default"/>
        </w:rPr>
        <w:t>(1).</w:t>
      </w:r>
      <w:r>
        <w:rPr/>
        <w:t>委托理财总体情况</w:t>
      </w:r>
      <w:r>
        <w:rPr>
          <w:b w:val="0"/>
          <w:bCs w:val="0"/>
        </w:rPr>
      </w:r>
    </w:p>
    <w:p>
      <w:pPr>
        <w:spacing w:after="0" w:line="240" w:lineRule="auto"/>
        <w:jc w:val="left"/>
        <w:sectPr>
          <w:type w:val="continuous"/>
          <w:pgSz w:w="11910" w:h="16840"/>
          <w:pgMar w:top="1320" w:bottom="1380" w:left="1660" w:right="840"/>
        </w:sectPr>
      </w:pPr>
    </w:p>
    <w:p>
      <w:pPr>
        <w:spacing w:line="240" w:lineRule="auto" w:before="4"/>
        <w:rPr>
          <w:rFonts w:ascii="宋体" w:hAnsi="宋体" w:cs="宋体" w:eastAsia="宋体" w:hint="default"/>
          <w:b/>
          <w:bCs/>
          <w:sz w:val="9"/>
          <w:szCs w:val="9"/>
        </w:rPr>
      </w:pPr>
    </w:p>
    <w:p>
      <w:pPr>
        <w:tabs>
          <w:tab w:pos="1060" w:val="left" w:leader="none"/>
        </w:tabs>
        <w:spacing w:before="36"/>
        <w:ind w:left="218" w:right="7303" w:firstLine="0"/>
        <w:jc w:val="left"/>
        <w:rPr>
          <w:rFonts w:ascii="宋体" w:hAnsi="宋体" w:cs="宋体" w:eastAsia="宋体" w:hint="default"/>
          <w:sz w:val="21"/>
          <w:szCs w:val="21"/>
        </w:rPr>
      </w:pPr>
      <w:r>
        <w:rPr>
          <w:rFonts w:ascii="宋体" w:hAnsi="宋体" w:cs="宋体" w:eastAsia="宋体" w:hint="default"/>
          <w:spacing w:val="-1"/>
          <w:sz w:val="21"/>
          <w:szCs w:val="21"/>
        </w:rPr>
        <w:t>□适用</w:t>
        <w:tab/>
      </w:r>
      <w:r>
        <w:rPr>
          <w:rFonts w:ascii="宋体" w:hAnsi="宋体" w:cs="宋体" w:eastAsia="宋体" w:hint="default"/>
          <w:spacing w:val="-2"/>
          <w:sz w:val="21"/>
          <w:szCs w:val="21"/>
        </w:rPr>
        <w:t>√不适用</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b/>
          <w:bCs/>
          <w:sz w:val="21"/>
          <w:szCs w:val="21"/>
        </w:rPr>
        <w:t>其他情况</w:t>
      </w:r>
      <w:r>
        <w:rPr>
          <w:rFonts w:ascii="宋体" w:hAnsi="宋体" w:cs="宋体" w:eastAsia="宋体" w:hint="default"/>
          <w:sz w:val="21"/>
          <w:szCs w:val="21"/>
        </w:rPr>
      </w:r>
    </w:p>
    <w:p>
      <w:pPr>
        <w:tabs>
          <w:tab w:pos="1060" w:val="left" w:leader="none"/>
        </w:tabs>
        <w:spacing w:line="274" w:lineRule="exact" w:before="22"/>
        <w:ind w:left="218" w:right="6872" w:firstLine="0"/>
        <w:jc w:val="left"/>
        <w:rPr>
          <w:rFonts w:ascii="宋体" w:hAnsi="宋体" w:cs="宋体" w:eastAsia="宋体" w:hint="default"/>
          <w:sz w:val="21"/>
          <w:szCs w:val="21"/>
        </w:rPr>
      </w:pPr>
      <w:r>
        <w:rPr>
          <w:rFonts w:ascii="宋体" w:hAnsi="宋体" w:cs="宋体" w:eastAsia="宋体" w:hint="default"/>
          <w:spacing w:val="-1"/>
          <w:sz w:val="21"/>
          <w:szCs w:val="21"/>
        </w:rPr>
        <w:t>□适用</w:t>
        <w:tab/>
      </w:r>
      <w:r>
        <w:rPr>
          <w:rFonts w:ascii="宋体" w:hAnsi="宋体" w:cs="宋体" w:eastAsia="宋体" w:hint="default"/>
          <w:spacing w:val="-2"/>
          <w:sz w:val="21"/>
          <w:szCs w:val="21"/>
        </w:rPr>
        <w:t>√不适用</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b/>
          <w:bCs/>
          <w:sz w:val="21"/>
          <w:szCs w:val="21"/>
        </w:rPr>
        <w:t>(2).</w:t>
      </w:r>
      <w:r>
        <w:rPr>
          <w:rFonts w:ascii="宋体" w:hAnsi="宋体" w:cs="宋体" w:eastAsia="宋体" w:hint="default"/>
          <w:b/>
          <w:bCs/>
          <w:sz w:val="21"/>
          <w:szCs w:val="21"/>
        </w:rPr>
        <w:t>单项委托理财情况</w:t>
      </w:r>
      <w:r>
        <w:rPr>
          <w:rFonts w:ascii="宋体" w:hAnsi="宋体" w:cs="宋体" w:eastAsia="宋体" w:hint="default"/>
          <w:sz w:val="21"/>
          <w:szCs w:val="21"/>
        </w:rPr>
      </w:r>
    </w:p>
    <w:p>
      <w:pPr>
        <w:pStyle w:val="BodyText"/>
        <w:tabs>
          <w:tab w:pos="1060" w:val="left" w:leader="none"/>
        </w:tabs>
        <w:spacing w:line="246" w:lineRule="exact"/>
        <w:ind w:right="147"/>
        <w:jc w:val="left"/>
      </w:pPr>
      <w:r>
        <w:rPr>
          <w:spacing w:val="-1"/>
        </w:rPr>
        <w:t>□适用</w:t>
        <w:tab/>
      </w:r>
      <w:r>
        <w:rPr>
          <w:spacing w:val="-2"/>
        </w:rPr>
        <w:t>√不适用</w:t>
      </w:r>
    </w:p>
    <w:p>
      <w:pPr>
        <w:spacing w:line="240" w:lineRule="auto" w:before="8"/>
        <w:rPr>
          <w:rFonts w:ascii="宋体" w:hAnsi="宋体" w:cs="宋体" w:eastAsia="宋体" w:hint="default"/>
          <w:sz w:val="20"/>
          <w:szCs w:val="20"/>
        </w:rPr>
      </w:pPr>
    </w:p>
    <w:p>
      <w:pPr>
        <w:pStyle w:val="Heading3"/>
        <w:spacing w:line="274" w:lineRule="exact"/>
        <w:ind w:right="147"/>
        <w:jc w:val="left"/>
        <w:rPr>
          <w:b w:val="0"/>
          <w:bCs w:val="0"/>
        </w:rPr>
      </w:pPr>
      <w:r>
        <w:rPr/>
        <w:t>其他情况</w:t>
      </w:r>
      <w:r>
        <w:rPr>
          <w:b w:val="0"/>
          <w:bCs w:val="0"/>
        </w:rPr>
      </w:r>
    </w:p>
    <w:p>
      <w:pPr>
        <w:tabs>
          <w:tab w:pos="1060" w:val="left" w:leader="none"/>
        </w:tabs>
        <w:spacing w:line="272" w:lineRule="exact" w:before="27"/>
        <w:ind w:left="218" w:right="6872" w:firstLine="0"/>
        <w:jc w:val="left"/>
        <w:rPr>
          <w:rFonts w:ascii="宋体" w:hAnsi="宋体" w:cs="宋体" w:eastAsia="宋体" w:hint="default"/>
          <w:sz w:val="21"/>
          <w:szCs w:val="21"/>
        </w:rPr>
      </w:pPr>
      <w:r>
        <w:rPr>
          <w:rFonts w:ascii="宋体" w:hAnsi="宋体" w:cs="宋体" w:eastAsia="宋体" w:hint="default"/>
          <w:spacing w:val="-1"/>
          <w:sz w:val="21"/>
          <w:szCs w:val="21"/>
        </w:rPr>
        <w:t>□适用</w:t>
        <w:tab/>
      </w:r>
      <w:r>
        <w:rPr>
          <w:rFonts w:ascii="宋体" w:hAnsi="宋体" w:cs="宋体" w:eastAsia="宋体" w:hint="default"/>
          <w:spacing w:val="-2"/>
          <w:sz w:val="21"/>
          <w:szCs w:val="21"/>
        </w:rPr>
        <w:t>√不适用</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b/>
          <w:bCs/>
          <w:sz w:val="21"/>
          <w:szCs w:val="21"/>
        </w:rPr>
        <w:t>(3).</w:t>
      </w:r>
      <w:r>
        <w:rPr>
          <w:rFonts w:ascii="宋体" w:hAnsi="宋体" w:cs="宋体" w:eastAsia="宋体" w:hint="default"/>
          <w:b/>
          <w:bCs/>
          <w:sz w:val="21"/>
          <w:szCs w:val="21"/>
        </w:rPr>
        <w:t>委托理财减值准备</w:t>
      </w:r>
      <w:r>
        <w:rPr>
          <w:rFonts w:ascii="宋体" w:hAnsi="宋体" w:cs="宋体" w:eastAsia="宋体" w:hint="default"/>
          <w:sz w:val="21"/>
          <w:szCs w:val="21"/>
        </w:rPr>
      </w:r>
    </w:p>
    <w:p>
      <w:pPr>
        <w:pStyle w:val="BodyText"/>
        <w:tabs>
          <w:tab w:pos="1060" w:val="left" w:leader="none"/>
        </w:tabs>
        <w:spacing w:line="249" w:lineRule="exact"/>
        <w:ind w:right="147"/>
        <w:jc w:val="left"/>
      </w:pPr>
      <w:r>
        <w:rPr>
          <w:spacing w:val="-1"/>
        </w:rPr>
        <w:t>□适用</w:t>
        <w:tab/>
      </w:r>
      <w:r>
        <w:rPr>
          <w:spacing w:val="-2"/>
        </w:rPr>
        <w:t>√不适用</w:t>
      </w:r>
    </w:p>
    <w:p>
      <w:pPr>
        <w:pStyle w:val="Heading3"/>
        <w:spacing w:line="290" w:lineRule="auto" w:before="56"/>
        <w:ind w:right="6858"/>
        <w:jc w:val="left"/>
        <w:rPr>
          <w:b w:val="0"/>
          <w:bCs w:val="0"/>
        </w:rPr>
      </w:pPr>
      <w:r>
        <w:rPr>
          <w:rFonts w:ascii="宋体" w:hAnsi="宋体" w:cs="宋体" w:eastAsia="宋体" w:hint="default"/>
        </w:rPr>
        <w:t>2</w:t>
      </w:r>
      <w:r>
        <w:rPr/>
        <w:t>、</w:t>
      </w:r>
      <w:r>
        <w:rPr>
          <w:spacing w:val="-3"/>
        </w:rPr>
        <w:t> </w:t>
      </w:r>
      <w:r>
        <w:rPr/>
        <w:t>委托贷款情况</w:t>
      </w:r>
      <w:r>
        <w:rPr>
          <w:w w:val="100"/>
        </w:rPr>
        <w:t> </w:t>
      </w:r>
      <w:r>
        <w:rPr>
          <w:rFonts w:ascii="宋体" w:hAnsi="宋体" w:cs="宋体" w:eastAsia="宋体" w:hint="default"/>
        </w:rPr>
        <w:t>(1).</w:t>
      </w:r>
      <w:r>
        <w:rPr/>
        <w:t>委托贷款总体情况</w:t>
      </w:r>
      <w:r>
        <w:rPr>
          <w:b w:val="0"/>
          <w:bCs w:val="0"/>
        </w:rPr>
      </w:r>
    </w:p>
    <w:p>
      <w:pPr>
        <w:pStyle w:val="BodyText"/>
        <w:tabs>
          <w:tab w:pos="1060" w:val="left" w:leader="none"/>
        </w:tabs>
        <w:spacing w:line="227" w:lineRule="exact"/>
        <w:ind w:right="147"/>
        <w:jc w:val="left"/>
      </w:pPr>
      <w:r>
        <w:rPr>
          <w:spacing w:val="-1"/>
        </w:rPr>
        <w:t>□适用</w:t>
        <w:tab/>
      </w:r>
      <w:r>
        <w:rPr>
          <w:spacing w:val="-2"/>
        </w:rPr>
        <w:t>√不适用</w:t>
      </w:r>
    </w:p>
    <w:p>
      <w:pPr>
        <w:pStyle w:val="Heading3"/>
        <w:spacing w:line="272" w:lineRule="exact"/>
        <w:ind w:right="147"/>
        <w:jc w:val="left"/>
        <w:rPr>
          <w:b w:val="0"/>
          <w:bCs w:val="0"/>
        </w:rPr>
      </w:pPr>
      <w:r>
        <w:rPr/>
        <w:t>其他情况</w:t>
      </w:r>
      <w:r>
        <w:rPr>
          <w:b w:val="0"/>
          <w:bCs w:val="0"/>
        </w:rPr>
      </w:r>
    </w:p>
    <w:p>
      <w:pPr>
        <w:tabs>
          <w:tab w:pos="1060" w:val="left" w:leader="none"/>
        </w:tabs>
        <w:spacing w:before="0"/>
        <w:ind w:left="218" w:right="6872" w:firstLine="0"/>
        <w:jc w:val="left"/>
        <w:rPr>
          <w:rFonts w:ascii="宋体" w:hAnsi="宋体" w:cs="宋体" w:eastAsia="宋体" w:hint="default"/>
          <w:sz w:val="21"/>
          <w:szCs w:val="21"/>
        </w:rPr>
      </w:pPr>
      <w:r>
        <w:rPr>
          <w:rFonts w:ascii="宋体" w:hAnsi="宋体" w:cs="宋体" w:eastAsia="宋体" w:hint="default"/>
          <w:spacing w:val="-1"/>
          <w:sz w:val="21"/>
          <w:szCs w:val="21"/>
        </w:rPr>
        <w:t>□适用</w:t>
        <w:tab/>
      </w:r>
      <w:r>
        <w:rPr>
          <w:rFonts w:ascii="宋体" w:hAnsi="宋体" w:cs="宋体" w:eastAsia="宋体" w:hint="default"/>
          <w:spacing w:val="-2"/>
          <w:sz w:val="21"/>
          <w:szCs w:val="21"/>
        </w:rPr>
        <w:t>√不适用</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b/>
          <w:bCs/>
          <w:sz w:val="21"/>
          <w:szCs w:val="21"/>
        </w:rPr>
        <w:t>(2).</w:t>
      </w:r>
      <w:r>
        <w:rPr>
          <w:rFonts w:ascii="宋体" w:hAnsi="宋体" w:cs="宋体" w:eastAsia="宋体" w:hint="default"/>
          <w:b/>
          <w:bCs/>
          <w:sz w:val="21"/>
          <w:szCs w:val="21"/>
        </w:rPr>
        <w:t>单项委托贷款情况</w:t>
      </w:r>
      <w:r>
        <w:rPr>
          <w:rFonts w:ascii="宋体" w:hAnsi="宋体" w:cs="宋体" w:eastAsia="宋体" w:hint="default"/>
          <w:sz w:val="21"/>
          <w:szCs w:val="21"/>
        </w:rPr>
      </w:r>
    </w:p>
    <w:p>
      <w:pPr>
        <w:tabs>
          <w:tab w:pos="1060" w:val="left" w:leader="none"/>
        </w:tabs>
        <w:spacing w:line="274" w:lineRule="exact" w:before="22"/>
        <w:ind w:left="218" w:right="7303" w:firstLine="0"/>
        <w:jc w:val="left"/>
        <w:rPr>
          <w:rFonts w:ascii="宋体" w:hAnsi="宋体" w:cs="宋体" w:eastAsia="宋体" w:hint="default"/>
          <w:sz w:val="21"/>
          <w:szCs w:val="21"/>
        </w:rPr>
      </w:pPr>
      <w:r>
        <w:rPr>
          <w:rFonts w:ascii="宋体" w:hAnsi="宋体" w:cs="宋体" w:eastAsia="宋体" w:hint="default"/>
          <w:spacing w:val="-1"/>
          <w:sz w:val="21"/>
          <w:szCs w:val="21"/>
        </w:rPr>
        <w:t>□适用</w:t>
        <w:tab/>
      </w:r>
      <w:r>
        <w:rPr>
          <w:rFonts w:ascii="宋体" w:hAnsi="宋体" w:cs="宋体" w:eastAsia="宋体" w:hint="default"/>
          <w:spacing w:val="-2"/>
          <w:sz w:val="21"/>
          <w:szCs w:val="21"/>
        </w:rPr>
        <w:t>√不适用</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b/>
          <w:bCs/>
          <w:sz w:val="21"/>
          <w:szCs w:val="21"/>
        </w:rPr>
        <w:t>其他情况</w:t>
      </w:r>
      <w:r>
        <w:rPr>
          <w:rFonts w:ascii="宋体" w:hAnsi="宋体" w:cs="宋体" w:eastAsia="宋体" w:hint="default"/>
          <w:sz w:val="21"/>
          <w:szCs w:val="21"/>
        </w:rPr>
      </w:r>
    </w:p>
    <w:p>
      <w:pPr>
        <w:pStyle w:val="BodyText"/>
        <w:tabs>
          <w:tab w:pos="1060" w:val="left" w:leader="none"/>
        </w:tabs>
        <w:spacing w:line="246" w:lineRule="exact"/>
        <w:ind w:right="147"/>
        <w:jc w:val="left"/>
      </w:pPr>
      <w:r>
        <w:rPr>
          <w:spacing w:val="-1"/>
        </w:rPr>
        <w:t>□适用</w:t>
        <w:tab/>
      </w:r>
      <w:r>
        <w:rPr>
          <w:spacing w:val="-2"/>
        </w:rPr>
        <w:t>√不适用</w:t>
      </w:r>
    </w:p>
    <w:p>
      <w:pPr>
        <w:spacing w:line="240" w:lineRule="auto" w:before="8"/>
        <w:rPr>
          <w:rFonts w:ascii="宋体" w:hAnsi="宋体" w:cs="宋体" w:eastAsia="宋体" w:hint="default"/>
          <w:sz w:val="20"/>
          <w:szCs w:val="20"/>
        </w:rPr>
      </w:pPr>
    </w:p>
    <w:p>
      <w:pPr>
        <w:pStyle w:val="Heading3"/>
        <w:spacing w:line="273" w:lineRule="exact"/>
        <w:ind w:right="147"/>
        <w:jc w:val="left"/>
        <w:rPr>
          <w:b w:val="0"/>
          <w:bCs w:val="0"/>
        </w:rPr>
      </w:pPr>
      <w:r>
        <w:rPr>
          <w:rFonts w:ascii="宋体" w:hAnsi="宋体" w:cs="宋体" w:eastAsia="宋体" w:hint="default"/>
        </w:rPr>
        <w:t>(3).</w:t>
      </w:r>
      <w:r>
        <w:rPr/>
        <w:t>委托贷款减值准备</w:t>
      </w:r>
      <w:r>
        <w:rPr>
          <w:b w:val="0"/>
          <w:bCs w:val="0"/>
        </w:rPr>
      </w:r>
    </w:p>
    <w:p>
      <w:pPr>
        <w:pStyle w:val="BodyText"/>
        <w:tabs>
          <w:tab w:pos="1060" w:val="left" w:leader="none"/>
        </w:tabs>
        <w:spacing w:line="273" w:lineRule="exact"/>
        <w:ind w:right="147"/>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right="147"/>
        <w:jc w:val="left"/>
        <w:rPr>
          <w:b w:val="0"/>
          <w:bCs w:val="0"/>
        </w:rPr>
      </w:pPr>
      <w:r>
        <w:rPr>
          <w:rFonts w:ascii="宋体" w:hAnsi="宋体" w:cs="宋体" w:eastAsia="宋体" w:hint="default"/>
        </w:rPr>
        <w:t>3</w:t>
      </w:r>
      <w:r>
        <w:rPr/>
        <w:t>、</w:t>
      </w:r>
      <w:r>
        <w:rPr>
          <w:spacing w:val="-2"/>
        </w:rPr>
        <w:t> </w:t>
      </w:r>
      <w:r>
        <w:rPr/>
        <w:t>其他情况</w:t>
      </w:r>
      <w:r>
        <w:rPr>
          <w:b w:val="0"/>
          <w:bCs w:val="0"/>
        </w:rPr>
      </w:r>
    </w:p>
    <w:p>
      <w:pPr>
        <w:pStyle w:val="BodyText"/>
        <w:tabs>
          <w:tab w:pos="1060" w:val="left" w:leader="none"/>
        </w:tabs>
        <w:spacing w:line="240" w:lineRule="auto" w:before="58"/>
        <w:ind w:right="147"/>
        <w:jc w:val="left"/>
      </w:pPr>
      <w:r>
        <w:rPr>
          <w:spacing w:val="-1"/>
        </w:rPr>
        <w:t>√适用</w:t>
        <w:tab/>
      </w:r>
      <w:r>
        <w:rPr>
          <w:spacing w:val="-2"/>
        </w:rPr>
        <w:t>□不适用</w:t>
      </w:r>
    </w:p>
    <w:p>
      <w:pPr>
        <w:spacing w:line="240" w:lineRule="auto" w:before="3"/>
        <w:rPr>
          <w:rFonts w:ascii="宋体" w:hAnsi="宋体" w:cs="宋体" w:eastAsia="宋体" w:hint="default"/>
          <w:sz w:val="23"/>
          <w:szCs w:val="23"/>
        </w:rPr>
      </w:pPr>
    </w:p>
    <w:tbl>
      <w:tblPr>
        <w:tblW w:w="0" w:type="auto"/>
        <w:jc w:val="left"/>
        <w:tblInd w:w="105" w:type="dxa"/>
        <w:tblLayout w:type="fixed"/>
        <w:tblCellMar>
          <w:top w:w="0" w:type="dxa"/>
          <w:left w:w="0" w:type="dxa"/>
          <w:bottom w:w="0" w:type="dxa"/>
          <w:right w:w="0" w:type="dxa"/>
        </w:tblCellMar>
        <w:tblLook w:val="01E0"/>
      </w:tblPr>
      <w:tblGrid>
        <w:gridCol w:w="1668"/>
        <w:gridCol w:w="1371"/>
        <w:gridCol w:w="845"/>
        <w:gridCol w:w="1752"/>
        <w:gridCol w:w="1159"/>
        <w:gridCol w:w="661"/>
        <w:gridCol w:w="658"/>
      </w:tblGrid>
      <w:tr>
        <w:trPr>
          <w:trHeight w:val="554"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签约方</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投资份额</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（元）</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8"/>
              <w:jc w:val="left"/>
              <w:rPr>
                <w:rFonts w:ascii="宋体" w:hAnsi="宋体" w:cs="宋体" w:eastAsia="宋体" w:hint="default"/>
                <w:sz w:val="21"/>
                <w:szCs w:val="21"/>
              </w:rPr>
            </w:pPr>
            <w:r>
              <w:rPr>
                <w:rFonts w:ascii="宋体" w:hAnsi="宋体" w:cs="宋体" w:eastAsia="宋体" w:hint="default"/>
                <w:sz w:val="21"/>
                <w:szCs w:val="21"/>
              </w:rPr>
              <w:t>投资期</w:t>
            </w:r>
          </w:p>
          <w:p>
            <w:pPr>
              <w:pStyle w:val="TableParagraph"/>
              <w:spacing w:line="273" w:lineRule="exact"/>
              <w:ind w:left="103" w:right="-8"/>
              <w:jc w:val="left"/>
              <w:rPr>
                <w:rFonts w:ascii="宋体" w:hAnsi="宋体" w:cs="宋体" w:eastAsia="宋体" w:hint="default"/>
                <w:sz w:val="21"/>
                <w:szCs w:val="21"/>
              </w:rPr>
            </w:pPr>
            <w:r>
              <w:rPr>
                <w:rFonts w:ascii="宋体" w:hAnsi="宋体" w:cs="宋体" w:eastAsia="宋体" w:hint="default"/>
                <w:spacing w:val="-106"/>
                <w:w w:val="100"/>
                <w:sz w:val="21"/>
                <w:szCs w:val="21"/>
              </w:rPr>
              <w:t>限</w:t>
            </w:r>
            <w:r>
              <w:rPr>
                <w:rFonts w:ascii="宋体" w:hAnsi="宋体" w:cs="宋体" w:eastAsia="宋体" w:hint="default"/>
                <w:w w:val="100"/>
                <w:sz w:val="21"/>
                <w:szCs w:val="21"/>
              </w:rPr>
              <w:t>（天）</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产品类型</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投资盈亏</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（元）</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涉诉</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资金</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来源</w:t>
            </w:r>
          </w:p>
        </w:tc>
      </w:tr>
      <w:tr>
        <w:trPr>
          <w:trHeight w:val="554"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包商银行北京</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中关村支行</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400,000,000</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190</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保本浮动收益型</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理财</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5,151,689</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募集</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资金</w:t>
            </w:r>
          </w:p>
        </w:tc>
      </w:tr>
      <w:tr>
        <w:trPr>
          <w:trHeight w:val="828"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珠海华润银行</w:t>
            </w:r>
          </w:p>
          <w:p>
            <w:pPr>
              <w:pStyle w:val="TableParagraph"/>
              <w:spacing w:line="272" w:lineRule="exact" w:before="27"/>
              <w:ind w:left="103" w:right="290"/>
              <w:jc w:val="left"/>
              <w:rPr>
                <w:rFonts w:ascii="宋体" w:hAnsi="宋体" w:cs="宋体" w:eastAsia="宋体" w:hint="default"/>
                <w:sz w:val="21"/>
                <w:szCs w:val="21"/>
              </w:rPr>
            </w:pPr>
            <w:r>
              <w:rPr>
                <w:rFonts w:ascii="宋体" w:hAnsi="宋体" w:cs="宋体" w:eastAsia="宋体" w:hint="default"/>
                <w:sz w:val="21"/>
                <w:szCs w:val="21"/>
              </w:rPr>
              <w:t>深圳科技园支</w:t>
            </w:r>
            <w:r>
              <w:rPr>
                <w:rFonts w:ascii="宋体" w:hAnsi="宋体" w:cs="宋体" w:eastAsia="宋体" w:hint="default"/>
                <w:w w:val="100"/>
                <w:sz w:val="21"/>
                <w:szCs w:val="21"/>
              </w:rPr>
              <w:t> </w:t>
            </w:r>
            <w:r>
              <w:rPr>
                <w:rFonts w:ascii="宋体" w:hAnsi="宋体" w:cs="宋体" w:eastAsia="宋体" w:hint="default"/>
                <w:sz w:val="21"/>
                <w:szCs w:val="21"/>
              </w:rPr>
              <w:t>行</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200,000,000</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189</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保本浮动收益型</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理财</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3,987,123</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募集</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资金</w:t>
            </w:r>
          </w:p>
        </w:tc>
      </w:tr>
      <w:tr>
        <w:trPr>
          <w:trHeight w:val="554"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厦门国际银行</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北京分行</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200,000,000</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60</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保本保证收益型</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理财</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1,716,667</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募集</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资金</w:t>
            </w:r>
          </w:p>
        </w:tc>
      </w:tr>
      <w:tr>
        <w:trPr>
          <w:trHeight w:val="555"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包商银行北京</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中关村支行</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200,000,000</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53</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保本浮动收益型</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理财</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sz w:val="21"/>
              </w:rPr>
              <w:t>1,588,944</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募集</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资金</w:t>
            </w:r>
          </w:p>
        </w:tc>
      </w:tr>
      <w:tr>
        <w:trPr>
          <w:trHeight w:val="554"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包商银行北京</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中关村支行</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350,000,000</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91</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保本浮动收益型</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理财</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sz w:val="21"/>
              </w:rPr>
              <w:t>4,563,953</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募集</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资金</w:t>
            </w:r>
          </w:p>
        </w:tc>
      </w:tr>
    </w:tbl>
    <w:p>
      <w:pPr>
        <w:spacing w:line="240" w:lineRule="auto" w:before="9"/>
        <w:rPr>
          <w:rFonts w:ascii="宋体" w:hAnsi="宋体" w:cs="宋体" w:eastAsia="宋体" w:hint="default"/>
          <w:sz w:val="24"/>
          <w:szCs w:val="24"/>
        </w:rPr>
      </w:pPr>
    </w:p>
    <w:p>
      <w:pPr>
        <w:pStyle w:val="BodyText"/>
        <w:spacing w:line="240" w:lineRule="auto" w:before="36"/>
        <w:ind w:left="638" w:right="0"/>
        <w:jc w:val="left"/>
      </w:pPr>
      <w:r>
        <w:rPr>
          <w:rFonts w:ascii="宋体" w:hAnsi="宋体" w:cs="宋体" w:eastAsia="宋体" w:hint="default"/>
        </w:rPr>
        <w:t>2016</w:t>
      </w:r>
      <w:r>
        <w:rPr>
          <w:rFonts w:ascii="宋体" w:hAnsi="宋体" w:cs="宋体" w:eastAsia="宋体" w:hint="default"/>
          <w:spacing w:val="-41"/>
        </w:rPr>
        <w:t> </w:t>
      </w:r>
      <w:r>
        <w:rPr/>
        <w:t>年</w:t>
      </w:r>
      <w:r>
        <w:rPr>
          <w:spacing w:val="-41"/>
        </w:rPr>
        <w:t> </w:t>
      </w:r>
      <w:r>
        <w:rPr>
          <w:rFonts w:ascii="宋体" w:hAnsi="宋体" w:cs="宋体" w:eastAsia="宋体" w:hint="default"/>
        </w:rPr>
        <w:t>8</w:t>
      </w:r>
      <w:r>
        <w:rPr>
          <w:rFonts w:ascii="宋体" w:hAnsi="宋体" w:cs="宋体" w:eastAsia="宋体" w:hint="default"/>
          <w:spacing w:val="-41"/>
        </w:rPr>
        <w:t> </w:t>
      </w:r>
      <w:r>
        <w:rPr/>
        <w:t>月</w:t>
      </w:r>
      <w:r>
        <w:rPr>
          <w:spacing w:val="-41"/>
        </w:rPr>
        <w:t> </w:t>
      </w:r>
      <w:r>
        <w:rPr>
          <w:rFonts w:ascii="宋体" w:hAnsi="宋体" w:cs="宋体" w:eastAsia="宋体" w:hint="default"/>
        </w:rPr>
        <w:t>31</w:t>
      </w:r>
      <w:r>
        <w:rPr>
          <w:rFonts w:ascii="宋体" w:hAnsi="宋体" w:cs="宋体" w:eastAsia="宋体" w:hint="default"/>
          <w:spacing w:val="-43"/>
        </w:rPr>
        <w:t> </w:t>
      </w:r>
      <w:r>
        <w:rPr/>
        <w:t>日，公司第六届董事会第四十二次会议审议通过了《公司关于公司延长使用</w:t>
      </w:r>
    </w:p>
    <w:p>
      <w:pPr>
        <w:pStyle w:val="BodyText"/>
        <w:spacing w:line="355" w:lineRule="auto" w:before="133"/>
        <w:ind w:right="148"/>
        <w:jc w:val="both"/>
      </w:pPr>
      <w:r>
        <w:rPr/>
        <w:t>部分闲置募集资金进行现金管理的议案》，同意公司延长使用不超过</w:t>
      </w:r>
      <w:r>
        <w:rPr>
          <w:spacing w:val="-50"/>
        </w:rPr>
        <w:t> </w:t>
      </w:r>
      <w:r>
        <w:rPr>
          <w:rFonts w:ascii="宋体" w:hAnsi="宋体" w:cs="宋体" w:eastAsia="宋体" w:hint="default"/>
        </w:rPr>
        <w:t>8</w:t>
      </w:r>
      <w:r>
        <w:rPr>
          <w:rFonts w:ascii="宋体" w:hAnsi="宋体" w:cs="宋体" w:eastAsia="宋体" w:hint="default"/>
          <w:spacing w:val="-50"/>
        </w:rPr>
        <w:t> </w:t>
      </w:r>
      <w:r>
        <w:rPr/>
        <w:t>亿元的暂时闲置募集资金</w:t>
      </w:r>
      <w:r>
        <w:rPr>
          <w:w w:val="100"/>
        </w:rPr>
        <w:t> </w:t>
      </w:r>
      <w:r>
        <w:rPr>
          <w:spacing w:val="-1"/>
        </w:rPr>
        <w:t>购买安全性高、流动性好、有保本约定的短期理财产品或办理银行定期存款，期限不得超过公司</w:t>
      </w:r>
      <w:r>
        <w:rPr>
          <w:spacing w:val="-55"/>
        </w:rPr>
        <w:t> </w:t>
      </w:r>
      <w:r>
        <w:rPr>
          <w:spacing w:val="-55"/>
        </w:rPr>
      </w:r>
      <w:r>
        <w:rPr/>
        <w:t>本次董事会批准之日起</w:t>
      </w:r>
      <w:r>
        <w:rPr>
          <w:spacing w:val="-54"/>
        </w:rPr>
        <w:t> </w:t>
      </w:r>
      <w:r>
        <w:rPr>
          <w:rFonts w:ascii="宋体" w:hAnsi="宋体" w:cs="宋体" w:eastAsia="宋体" w:hint="default"/>
        </w:rPr>
        <w:t>12</w:t>
      </w:r>
      <w:r>
        <w:rPr>
          <w:rFonts w:ascii="宋体" w:hAnsi="宋体" w:cs="宋体" w:eastAsia="宋体" w:hint="default"/>
          <w:spacing w:val="-57"/>
        </w:rPr>
        <w:t> </w:t>
      </w:r>
      <w:r>
        <w:rPr/>
        <w:t>个月，并在上述额度及期限范围内可以滚动使用投资额度。</w:t>
      </w:r>
    </w:p>
    <w:p>
      <w:pPr>
        <w:pStyle w:val="BodyText"/>
        <w:spacing w:line="355" w:lineRule="auto" w:before="155"/>
        <w:ind w:right="0" w:firstLine="419"/>
        <w:jc w:val="left"/>
      </w:pPr>
      <w:r>
        <w:rPr>
          <w:rFonts w:ascii="宋体" w:hAnsi="宋体" w:cs="宋体" w:eastAsia="宋体" w:hint="default"/>
        </w:rPr>
        <w:t>2017</w:t>
      </w:r>
      <w:r>
        <w:rPr>
          <w:rFonts w:ascii="宋体" w:hAnsi="宋体" w:cs="宋体" w:eastAsia="宋体" w:hint="default"/>
          <w:spacing w:val="-44"/>
        </w:rPr>
        <w:t> </w:t>
      </w:r>
      <w:r>
        <w:rPr/>
        <w:t>年</w:t>
      </w:r>
      <w:r>
        <w:rPr>
          <w:spacing w:val="-41"/>
        </w:rPr>
        <w:t> </w:t>
      </w:r>
      <w:r>
        <w:rPr>
          <w:rFonts w:ascii="宋体" w:hAnsi="宋体" w:cs="宋体" w:eastAsia="宋体" w:hint="default"/>
        </w:rPr>
        <w:t>9</w:t>
      </w:r>
      <w:r>
        <w:rPr>
          <w:rFonts w:ascii="宋体" w:hAnsi="宋体" w:cs="宋体" w:eastAsia="宋体" w:hint="default"/>
          <w:spacing w:val="-44"/>
        </w:rPr>
        <w:t> </w:t>
      </w:r>
      <w:r>
        <w:rPr/>
        <w:t>月</w:t>
      </w:r>
      <w:r>
        <w:rPr>
          <w:spacing w:val="-41"/>
        </w:rPr>
        <w:t> </w:t>
      </w:r>
      <w:r>
        <w:rPr>
          <w:rFonts w:ascii="宋体" w:hAnsi="宋体" w:cs="宋体" w:eastAsia="宋体" w:hint="default"/>
        </w:rPr>
        <w:t>8</w:t>
      </w:r>
      <w:r>
        <w:rPr>
          <w:rFonts w:ascii="宋体" w:hAnsi="宋体" w:cs="宋体" w:eastAsia="宋体" w:hint="default"/>
          <w:spacing w:val="-44"/>
        </w:rPr>
        <w:t> </w:t>
      </w:r>
      <w:r>
        <w:rPr>
          <w:spacing w:val="-3"/>
        </w:rPr>
        <w:t>日，公司第七届董事会第十一次会议审议通过了《公司关于使用闲置募集资金</w:t>
      </w:r>
      <w:r>
        <w:rPr>
          <w:w w:val="100"/>
        </w:rPr>
        <w:t> </w:t>
      </w:r>
      <w:r>
        <w:rPr>
          <w:spacing w:val="-1"/>
        </w:rPr>
        <w:t>进行现金管理的议案》，在确保不影响募集资金安全和募集资金投资计划正常进行的前提下，同</w:t>
      </w:r>
    </w:p>
    <w:p>
      <w:pPr>
        <w:spacing w:after="0" w:line="355" w:lineRule="auto"/>
        <w:jc w:val="left"/>
        <w:sectPr>
          <w:footerReference w:type="default" r:id="rId41"/>
          <w:pgSz w:w="11910" w:h="16840"/>
          <w:pgMar w:footer="1195" w:header="855" w:top="1320" w:bottom="1380" w:left="1580" w:right="1120"/>
          <w:pgNumType w:start="52"/>
        </w:sectPr>
      </w:pPr>
    </w:p>
    <w:p>
      <w:pPr>
        <w:spacing w:line="240" w:lineRule="auto" w:before="4"/>
        <w:rPr>
          <w:rFonts w:ascii="宋体" w:hAnsi="宋体" w:cs="宋体" w:eastAsia="宋体" w:hint="default"/>
          <w:sz w:val="9"/>
          <w:szCs w:val="9"/>
        </w:rPr>
      </w:pPr>
    </w:p>
    <w:p>
      <w:pPr>
        <w:pStyle w:val="BodyText"/>
        <w:spacing w:line="240" w:lineRule="auto" w:before="36"/>
        <w:ind w:left="138" w:right="0"/>
        <w:jc w:val="left"/>
      </w:pPr>
      <w:r>
        <w:rPr/>
        <w:t>意公司使用不超过</w:t>
      </w:r>
      <w:r>
        <w:rPr>
          <w:spacing w:val="-50"/>
        </w:rPr>
        <w:t> </w:t>
      </w:r>
      <w:r>
        <w:rPr>
          <w:rFonts w:ascii="宋体" w:hAnsi="宋体" w:cs="宋体" w:eastAsia="宋体" w:hint="default"/>
        </w:rPr>
        <w:t>4</w:t>
      </w:r>
      <w:r>
        <w:rPr>
          <w:rFonts w:ascii="宋体" w:hAnsi="宋体" w:cs="宋体" w:eastAsia="宋体" w:hint="default"/>
          <w:spacing w:val="-50"/>
        </w:rPr>
        <w:t> </w:t>
      </w:r>
      <w:r>
        <w:rPr/>
        <w:t>亿元的暂时闲置募集资金以能够满足安全性高、流动性好为前提条件的方式</w:t>
      </w:r>
    </w:p>
    <w:p>
      <w:pPr>
        <w:pStyle w:val="BodyText"/>
        <w:spacing w:line="355" w:lineRule="auto" w:before="135"/>
        <w:ind w:left="138" w:right="0"/>
        <w:jc w:val="left"/>
      </w:pPr>
      <w:r>
        <w:rPr>
          <w:spacing w:val="-4"/>
        </w:rPr>
        <w:t>进行现金管理，期限不得超过董事会批准之日起</w:t>
      </w:r>
      <w:r>
        <w:rPr>
          <w:spacing w:val="-27"/>
        </w:rPr>
        <w:t> </w:t>
      </w:r>
      <w:r>
        <w:rPr>
          <w:rFonts w:ascii="宋体" w:hAnsi="宋体" w:cs="宋体" w:eastAsia="宋体" w:hint="default"/>
        </w:rPr>
        <w:t>12</w:t>
      </w:r>
      <w:r>
        <w:rPr>
          <w:rFonts w:ascii="宋体" w:hAnsi="宋体" w:cs="宋体" w:eastAsia="宋体" w:hint="default"/>
          <w:spacing w:val="-30"/>
        </w:rPr>
        <w:t> </w:t>
      </w:r>
      <w:r>
        <w:rPr>
          <w:spacing w:val="-4"/>
        </w:rPr>
        <w:t>个月，并在上述额度及期限范围内可以滚动使</w:t>
      </w:r>
      <w:r>
        <w:rPr>
          <w:spacing w:val="-95"/>
        </w:rPr>
        <w:t> </w:t>
      </w:r>
      <w:r>
        <w:rPr>
          <w:spacing w:val="-95"/>
        </w:rPr>
      </w:r>
      <w:r>
        <w:rPr/>
        <w:t>用投资额度。</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pStyle w:val="Heading3"/>
        <w:tabs>
          <w:tab w:pos="977" w:val="left" w:leader="none"/>
        </w:tabs>
        <w:spacing w:line="240" w:lineRule="auto"/>
        <w:ind w:left="138" w:right="0"/>
        <w:jc w:val="left"/>
        <w:rPr>
          <w:b w:val="0"/>
          <w:bCs w:val="0"/>
        </w:rPr>
      </w:pPr>
      <w:r>
        <w:rPr>
          <w:rFonts w:ascii="宋体" w:hAnsi="宋体" w:cs="宋体" w:eastAsia="宋体" w:hint="default"/>
          <w:spacing w:val="-1"/>
        </w:rPr>
        <w:t>(</w:t>
      </w:r>
      <w:r>
        <w:rPr>
          <w:spacing w:val="-1"/>
        </w:rPr>
        <w:t>四</w:t>
      </w:r>
      <w:r>
        <w:rPr>
          <w:rFonts w:ascii="宋体" w:hAnsi="宋体" w:cs="宋体" w:eastAsia="宋体" w:hint="default"/>
          <w:spacing w:val="-1"/>
        </w:rPr>
        <w:t>)</w:t>
        <w:tab/>
      </w:r>
      <w:r>
        <w:rPr/>
        <w:t>其他重大合同</w:t>
      </w:r>
      <w:r>
        <w:rPr>
          <w:b w:val="0"/>
          <w:bCs w:val="0"/>
        </w:rPr>
      </w:r>
    </w:p>
    <w:p>
      <w:pPr>
        <w:pStyle w:val="BodyText"/>
        <w:tabs>
          <w:tab w:pos="980" w:val="left" w:leader="none"/>
        </w:tabs>
        <w:spacing w:line="240" w:lineRule="auto" w:before="56"/>
        <w:ind w:left="138" w:right="0"/>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left="138" w:right="0"/>
        <w:jc w:val="left"/>
        <w:rPr>
          <w:b w:val="0"/>
          <w:bCs w:val="0"/>
        </w:rPr>
      </w:pPr>
      <w:r>
        <w:rPr/>
        <w:t>十六、其他重大事项的说明</w:t>
      </w:r>
      <w:r>
        <w:rPr>
          <w:b w:val="0"/>
          <w:bCs w:val="0"/>
        </w:rPr>
      </w:r>
    </w:p>
    <w:p>
      <w:pPr>
        <w:pStyle w:val="BodyText"/>
        <w:spacing w:line="240" w:lineRule="auto" w:before="56"/>
        <w:ind w:left="138" w:right="0"/>
        <w:jc w:val="left"/>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tabs>
          <w:tab w:pos="781" w:val="left" w:leader="none"/>
        </w:tabs>
        <w:spacing w:line="290" w:lineRule="auto"/>
        <w:ind w:left="138" w:right="5611"/>
        <w:jc w:val="left"/>
        <w:rPr>
          <w:b w:val="0"/>
          <w:bCs w:val="0"/>
        </w:rPr>
      </w:pPr>
      <w:r>
        <w:rPr>
          <w:spacing w:val="-1"/>
        </w:rPr>
        <w:t>十七、积极履行社会责任的工作情况</w:t>
      </w:r>
      <w:r>
        <w:rPr>
          <w:spacing w:val="-91"/>
        </w:rPr>
        <w:t> </w:t>
      </w:r>
      <w:r>
        <w:rPr>
          <w:spacing w:val="-91"/>
        </w:rPr>
      </w:r>
      <w:r>
        <w:rPr>
          <w:rFonts w:ascii="宋体" w:hAnsi="宋体" w:cs="宋体" w:eastAsia="宋体" w:hint="default"/>
          <w:spacing w:val="-1"/>
        </w:rPr>
        <w:t>(</w:t>
      </w:r>
      <w:r>
        <w:rPr>
          <w:spacing w:val="-1"/>
        </w:rPr>
        <w:t>一</w:t>
      </w:r>
      <w:r>
        <w:rPr>
          <w:rFonts w:ascii="宋体" w:hAnsi="宋体" w:cs="宋体" w:eastAsia="宋体" w:hint="default"/>
          <w:spacing w:val="-1"/>
        </w:rPr>
        <w:t>)</w:t>
        <w:tab/>
      </w:r>
      <w:r>
        <w:rPr>
          <w:spacing w:val="-1"/>
        </w:rPr>
        <w:t>上市公司扶贫工作情况</w:t>
      </w:r>
      <w:r>
        <w:rPr>
          <w:b w:val="0"/>
          <w:bCs w:val="0"/>
          <w:spacing w:val="-1"/>
        </w:rPr>
      </w:r>
    </w:p>
    <w:p>
      <w:pPr>
        <w:pStyle w:val="BodyText"/>
        <w:spacing w:line="240" w:lineRule="auto" w:before="12"/>
        <w:ind w:left="138" w:right="0"/>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pStyle w:val="Heading3"/>
        <w:tabs>
          <w:tab w:pos="781" w:val="left" w:leader="none"/>
        </w:tabs>
        <w:spacing w:line="240" w:lineRule="auto"/>
        <w:ind w:left="138" w:right="0"/>
        <w:jc w:val="left"/>
        <w:rPr>
          <w:b w:val="0"/>
          <w:bCs w:val="0"/>
        </w:rPr>
      </w:pPr>
      <w:r>
        <w:rPr>
          <w:rFonts w:ascii="宋体" w:hAnsi="宋体" w:cs="宋体" w:eastAsia="宋体" w:hint="default"/>
          <w:spacing w:val="-1"/>
        </w:rPr>
        <w:t>(</w:t>
      </w:r>
      <w:r>
        <w:rPr>
          <w:spacing w:val="-1"/>
        </w:rPr>
        <w:t>二</w:t>
      </w:r>
      <w:r>
        <w:rPr>
          <w:rFonts w:ascii="宋体" w:hAnsi="宋体" w:cs="宋体" w:eastAsia="宋体" w:hint="default"/>
          <w:spacing w:val="-1"/>
        </w:rPr>
        <w:t>)</w:t>
        <w:tab/>
      </w:r>
      <w:r>
        <w:rPr/>
        <w:t>社会责任工作情况</w:t>
      </w:r>
      <w:r>
        <w:rPr>
          <w:b w:val="0"/>
          <w:bCs w:val="0"/>
        </w:rPr>
      </w:r>
    </w:p>
    <w:p>
      <w:pPr>
        <w:pStyle w:val="BodyText"/>
        <w:tabs>
          <w:tab w:pos="980" w:val="left" w:leader="none"/>
        </w:tabs>
        <w:spacing w:line="274" w:lineRule="exact" w:before="56"/>
        <w:ind w:left="138" w:right="0"/>
        <w:jc w:val="left"/>
      </w:pPr>
      <w:r>
        <w:rPr>
          <w:spacing w:val="-1"/>
        </w:rPr>
        <w:t>√适用</w:t>
        <w:tab/>
      </w:r>
      <w:r>
        <w:rPr>
          <w:spacing w:val="-2"/>
        </w:rPr>
        <w:t>□不适用</w:t>
      </w:r>
    </w:p>
    <w:p>
      <w:pPr>
        <w:pStyle w:val="BodyText"/>
        <w:spacing w:line="274" w:lineRule="exact"/>
        <w:ind w:left="138" w:right="0"/>
        <w:jc w:val="left"/>
      </w:pPr>
      <w:r>
        <w:rPr>
          <w:spacing w:val="-6"/>
        </w:rPr>
        <w:t>公司披露了《用友网络科技股份有限公司 </w:t>
      </w:r>
      <w:r>
        <w:rPr>
          <w:rFonts w:ascii="宋体" w:hAnsi="宋体" w:cs="宋体" w:eastAsia="宋体" w:hint="default"/>
        </w:rPr>
        <w:t>2017</w:t>
      </w:r>
      <w:r>
        <w:rPr>
          <w:rFonts w:ascii="宋体" w:hAnsi="宋体" w:cs="宋体" w:eastAsia="宋体" w:hint="default"/>
          <w:spacing w:val="-35"/>
        </w:rPr>
        <w:t> </w:t>
      </w:r>
      <w:r>
        <w:rPr>
          <w:spacing w:val="-9"/>
        </w:rPr>
        <w:t>年度社会责任报告》，披露网址：</w:t>
      </w:r>
      <w:hyperlink r:id="rId13">
        <w:r>
          <w:rPr>
            <w:rFonts w:ascii="宋体" w:hAnsi="宋体" w:cs="宋体" w:eastAsia="宋体" w:hint="default"/>
            <w:spacing w:val="-9"/>
          </w:rPr>
          <w:t>www.sse.com.cn</w:t>
        </w:r>
      </w:hyperlink>
      <w:r>
        <w:rPr>
          <w:spacing w:val="-9"/>
        </w:rPr>
        <w:t>。</w:t>
      </w:r>
    </w:p>
    <w:p>
      <w:pPr>
        <w:spacing w:line="240" w:lineRule="auto" w:before="3"/>
        <w:rPr>
          <w:rFonts w:ascii="宋体" w:hAnsi="宋体" w:cs="宋体" w:eastAsia="宋体" w:hint="default"/>
          <w:sz w:val="25"/>
          <w:szCs w:val="25"/>
        </w:rPr>
      </w:pPr>
    </w:p>
    <w:p>
      <w:pPr>
        <w:pStyle w:val="Heading3"/>
        <w:tabs>
          <w:tab w:pos="781" w:val="left" w:leader="none"/>
        </w:tabs>
        <w:spacing w:line="240" w:lineRule="auto"/>
        <w:ind w:left="138" w:right="0"/>
        <w:jc w:val="left"/>
        <w:rPr>
          <w:b w:val="0"/>
          <w:bCs w:val="0"/>
        </w:rPr>
      </w:pPr>
      <w:r>
        <w:rPr>
          <w:rFonts w:ascii="宋体" w:hAnsi="宋体" w:cs="宋体" w:eastAsia="宋体" w:hint="default"/>
          <w:spacing w:val="-1"/>
        </w:rPr>
        <w:t>(</w:t>
      </w:r>
      <w:r>
        <w:rPr>
          <w:spacing w:val="-1"/>
        </w:rPr>
        <w:t>三</w:t>
      </w:r>
      <w:r>
        <w:rPr>
          <w:rFonts w:ascii="宋体" w:hAnsi="宋体" w:cs="宋体" w:eastAsia="宋体" w:hint="default"/>
          <w:spacing w:val="-1"/>
        </w:rPr>
        <w:t>)</w:t>
        <w:tab/>
      </w:r>
      <w:r>
        <w:rPr/>
        <w:t>环境信息情况</w:t>
      </w:r>
      <w:r>
        <w:rPr>
          <w:b w:val="0"/>
          <w:bCs w:val="0"/>
        </w:rPr>
      </w:r>
    </w:p>
    <w:p>
      <w:pPr>
        <w:pStyle w:val="Heading3"/>
        <w:tabs>
          <w:tab w:pos="562" w:val="left" w:leader="none"/>
        </w:tabs>
        <w:spacing w:line="240" w:lineRule="auto" w:before="56"/>
        <w:ind w:left="138" w:right="0"/>
        <w:jc w:val="left"/>
        <w:rPr>
          <w:b w:val="0"/>
          <w:bCs w:val="0"/>
        </w:rPr>
      </w:pPr>
      <w:r>
        <w:rPr>
          <w:rFonts w:ascii="宋体" w:hAnsi="宋体" w:cs="宋体" w:eastAsia="宋体" w:hint="default"/>
          <w:w w:val="95"/>
        </w:rPr>
        <w:t>1.</w:t>
        <w:tab/>
      </w:r>
      <w:r>
        <w:rPr/>
        <w:t>属于环境保护部门公布的重点排污单位的公司及其重要子公司的环保情况说明</w:t>
      </w:r>
      <w:r>
        <w:rPr>
          <w:b w:val="0"/>
          <w:bCs w:val="0"/>
        </w:rPr>
      </w:r>
    </w:p>
    <w:p>
      <w:pPr>
        <w:pStyle w:val="BodyText"/>
        <w:tabs>
          <w:tab w:pos="980" w:val="left" w:leader="none"/>
        </w:tabs>
        <w:spacing w:line="288" w:lineRule="auto" w:before="58"/>
        <w:ind w:left="138" w:right="7303"/>
        <w:jc w:val="left"/>
        <w:rPr>
          <w:rFonts w:ascii="宋体" w:hAnsi="宋体" w:cs="宋体" w:eastAsia="宋体" w:hint="default"/>
        </w:rPr>
      </w:pPr>
      <w:r>
        <w:rPr>
          <w:spacing w:val="-1"/>
        </w:rPr>
        <w:t>□适用</w:t>
        <w:tab/>
      </w:r>
      <w:r>
        <w:rPr>
          <w:spacing w:val="-2"/>
        </w:rPr>
        <w:t>√不适用</w:t>
      </w:r>
      <w:r>
        <w:rPr>
          <w:spacing w:val="-99"/>
        </w:rPr>
        <w:t> </w:t>
      </w:r>
      <w:r>
        <w:rPr>
          <w:spacing w:val="-99"/>
        </w:rPr>
      </w:r>
      <w:r>
        <w:rPr>
          <w:rFonts w:ascii="宋体" w:hAnsi="宋体" w:cs="宋体" w:eastAsia="宋体" w:hint="default"/>
          <w:b/>
          <w:bCs/>
        </w:rPr>
        <w:t>2.</w:t>
      </w:r>
      <w:r>
        <w:rPr>
          <w:rFonts w:ascii="宋体" w:hAnsi="宋体" w:cs="宋体" w:eastAsia="宋体" w:hint="default"/>
        </w:rPr>
      </w:r>
    </w:p>
    <w:p>
      <w:pPr>
        <w:pStyle w:val="Heading3"/>
        <w:tabs>
          <w:tab w:pos="562" w:val="left" w:leader="none"/>
        </w:tabs>
        <w:spacing w:line="240" w:lineRule="auto" w:before="4"/>
        <w:ind w:left="138" w:right="0"/>
        <w:jc w:val="left"/>
        <w:rPr>
          <w:b w:val="0"/>
          <w:bCs w:val="0"/>
        </w:rPr>
      </w:pPr>
      <w:r>
        <w:rPr>
          <w:rFonts w:ascii="宋体" w:hAnsi="宋体" w:cs="宋体" w:eastAsia="宋体" w:hint="default"/>
          <w:w w:val="95"/>
        </w:rPr>
        <w:t>3.</w:t>
        <w:tab/>
      </w:r>
      <w:r>
        <w:rPr/>
        <w:t>重点排污单位之外的公司</w:t>
      </w:r>
      <w:r>
        <w:rPr>
          <w:b w:val="0"/>
          <w:bCs w:val="0"/>
        </w:rPr>
      </w:r>
    </w:p>
    <w:p>
      <w:pPr>
        <w:pStyle w:val="BodyText"/>
        <w:tabs>
          <w:tab w:pos="980" w:val="left" w:leader="none"/>
        </w:tabs>
        <w:spacing w:line="240" w:lineRule="auto" w:before="56"/>
        <w:ind w:left="138" w:right="0"/>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tabs>
          <w:tab w:pos="562" w:val="left" w:leader="none"/>
        </w:tabs>
        <w:spacing w:line="240" w:lineRule="auto"/>
        <w:ind w:left="138" w:right="0"/>
        <w:jc w:val="left"/>
        <w:rPr>
          <w:b w:val="0"/>
          <w:bCs w:val="0"/>
        </w:rPr>
      </w:pPr>
      <w:r>
        <w:rPr>
          <w:rFonts w:ascii="宋体" w:hAnsi="宋体" w:cs="宋体" w:eastAsia="宋体" w:hint="default"/>
          <w:w w:val="95"/>
        </w:rPr>
        <w:t>4.</w:t>
        <w:tab/>
      </w:r>
      <w:r>
        <w:rPr/>
        <w:t>其他说明</w:t>
      </w:r>
      <w:r>
        <w:rPr>
          <w:b w:val="0"/>
          <w:bCs w:val="0"/>
        </w:rPr>
      </w:r>
    </w:p>
    <w:p>
      <w:pPr>
        <w:tabs>
          <w:tab w:pos="781" w:val="left" w:leader="none"/>
          <w:tab w:pos="980" w:val="left" w:leader="none"/>
        </w:tabs>
        <w:spacing w:line="290" w:lineRule="auto" w:before="58"/>
        <w:ind w:left="138" w:right="7303" w:firstLine="0"/>
        <w:jc w:val="left"/>
        <w:rPr>
          <w:rFonts w:ascii="宋体" w:hAnsi="宋体" w:cs="宋体" w:eastAsia="宋体" w:hint="default"/>
          <w:sz w:val="21"/>
          <w:szCs w:val="21"/>
        </w:rPr>
      </w:pPr>
      <w:r>
        <w:rPr>
          <w:rFonts w:ascii="宋体" w:hAnsi="宋体" w:cs="宋体" w:eastAsia="宋体" w:hint="default"/>
          <w:spacing w:val="-1"/>
          <w:sz w:val="21"/>
          <w:szCs w:val="21"/>
        </w:rPr>
        <w:t>□适用</w:t>
        <w:tab/>
        <w:tab/>
      </w:r>
      <w:r>
        <w:rPr>
          <w:rFonts w:ascii="宋体" w:hAnsi="宋体" w:cs="宋体" w:eastAsia="宋体" w:hint="default"/>
          <w:spacing w:val="-2"/>
          <w:sz w:val="21"/>
          <w:szCs w:val="21"/>
        </w:rPr>
        <w:t>√不适用</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四</w:t>
      </w:r>
      <w:r>
        <w:rPr>
          <w:rFonts w:ascii="宋体" w:hAnsi="宋体" w:cs="宋体" w:eastAsia="宋体" w:hint="default"/>
          <w:b/>
          <w:bCs/>
          <w:spacing w:val="-1"/>
          <w:sz w:val="21"/>
          <w:szCs w:val="21"/>
        </w:rPr>
        <w:t>)</w:t>
        <w:tab/>
      </w:r>
      <w:r>
        <w:rPr>
          <w:rFonts w:ascii="宋体" w:hAnsi="宋体" w:cs="宋体" w:eastAsia="宋体" w:hint="default"/>
          <w:b/>
          <w:bCs/>
          <w:sz w:val="21"/>
          <w:szCs w:val="21"/>
        </w:rPr>
        <w:t>其他说明</w:t>
      </w:r>
      <w:r>
        <w:rPr>
          <w:rFonts w:ascii="宋体" w:hAnsi="宋体" w:cs="宋体" w:eastAsia="宋体" w:hint="default"/>
          <w:sz w:val="21"/>
          <w:szCs w:val="21"/>
        </w:rPr>
      </w:r>
    </w:p>
    <w:p>
      <w:pPr>
        <w:pStyle w:val="BodyText"/>
        <w:tabs>
          <w:tab w:pos="980" w:val="left" w:leader="none"/>
        </w:tabs>
        <w:spacing w:line="240" w:lineRule="auto" w:before="14"/>
        <w:ind w:left="138" w:right="0"/>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left="138" w:right="0"/>
        <w:jc w:val="left"/>
        <w:rPr>
          <w:b w:val="0"/>
          <w:bCs w:val="0"/>
        </w:rPr>
      </w:pPr>
      <w:r>
        <w:rPr/>
        <w:t>十八、可转换公司债券情况</w:t>
      </w:r>
      <w:r>
        <w:rPr>
          <w:b w:val="0"/>
          <w:bCs w:val="0"/>
        </w:rPr>
      </w:r>
    </w:p>
    <w:p>
      <w:pPr>
        <w:pStyle w:val="Heading3"/>
        <w:spacing w:line="240" w:lineRule="auto" w:before="56"/>
        <w:ind w:left="138" w:right="0"/>
        <w:jc w:val="left"/>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31"/>
        </w:rPr>
        <w:t> </w:t>
      </w:r>
      <w:r>
        <w:rPr/>
        <w:t>转债发行情况</w:t>
      </w:r>
      <w:r>
        <w:rPr>
          <w:b w:val="0"/>
          <w:bCs w:val="0"/>
        </w:rPr>
      </w:r>
    </w:p>
    <w:p>
      <w:pPr>
        <w:pStyle w:val="BodyText"/>
        <w:tabs>
          <w:tab w:pos="980" w:val="left" w:leader="none"/>
        </w:tabs>
        <w:spacing w:line="240" w:lineRule="auto" w:before="32"/>
        <w:ind w:left="138" w:right="0"/>
        <w:jc w:val="left"/>
      </w:pPr>
      <w:r>
        <w:rPr>
          <w:spacing w:val="-1"/>
        </w:rPr>
        <w:t>□适用</w:t>
        <w:tab/>
      </w:r>
      <w:r>
        <w:rPr>
          <w:spacing w:val="-2"/>
        </w:rPr>
        <w:t>√不适用</w:t>
      </w:r>
    </w:p>
    <w:p>
      <w:pPr>
        <w:pStyle w:val="Heading3"/>
        <w:spacing w:line="240" w:lineRule="auto" w:before="56"/>
        <w:ind w:left="138" w:right="0"/>
        <w:jc w:val="left"/>
        <w:rPr>
          <w:b w:val="0"/>
          <w:bCs w:val="0"/>
        </w:rPr>
      </w:pPr>
      <w:r>
        <w:rPr>
          <w:rFonts w:ascii="Calibri" w:hAnsi="Calibri" w:cs="Calibri" w:eastAsia="Calibri" w:hint="default"/>
        </w:rPr>
        <w:t>(</w:t>
      </w:r>
      <w:r>
        <w:rPr/>
        <w:t>二</w:t>
      </w:r>
      <w:r>
        <w:rPr>
          <w:rFonts w:ascii="Calibri" w:hAnsi="Calibri" w:cs="Calibri" w:eastAsia="Calibri" w:hint="default"/>
        </w:rPr>
        <w:t>)</w:t>
      </w:r>
      <w:r>
        <w:rPr>
          <w:rFonts w:ascii="Calibri" w:hAnsi="Calibri" w:cs="Calibri" w:eastAsia="Calibri" w:hint="default"/>
          <w:spacing w:val="28"/>
        </w:rPr>
        <w:t> </w:t>
      </w:r>
      <w:r>
        <w:rPr/>
        <w:t>报告期转债持有人及担保人情况</w:t>
      </w:r>
      <w:r>
        <w:rPr>
          <w:b w:val="0"/>
          <w:bCs w:val="0"/>
        </w:rPr>
      </w:r>
    </w:p>
    <w:p>
      <w:pPr>
        <w:pStyle w:val="BodyText"/>
        <w:spacing w:line="240" w:lineRule="auto" w:before="29"/>
        <w:ind w:left="138" w:right="0"/>
        <w:jc w:val="left"/>
      </w:pPr>
      <w:r>
        <w:rPr/>
        <w:t>□适用</w:t>
      </w:r>
      <w:r>
        <w:rPr>
          <w:spacing w:val="-1"/>
        </w:rPr>
        <w:t> </w:t>
      </w:r>
      <w:r>
        <w:rPr/>
        <w:t>√不适用</w:t>
      </w:r>
    </w:p>
    <w:p>
      <w:pPr>
        <w:pStyle w:val="Heading3"/>
        <w:spacing w:line="240" w:lineRule="auto" w:before="58"/>
        <w:ind w:left="138" w:right="0"/>
        <w:jc w:val="left"/>
        <w:rPr>
          <w:b w:val="0"/>
          <w:bCs w:val="0"/>
        </w:rPr>
      </w:pPr>
      <w:r>
        <w:rPr>
          <w:rFonts w:ascii="Calibri" w:hAnsi="Calibri" w:cs="Calibri" w:eastAsia="Calibri" w:hint="default"/>
        </w:rPr>
        <w:t>(</w:t>
      </w:r>
      <w:r>
        <w:rPr/>
        <w:t>三</w:t>
      </w:r>
      <w:r>
        <w:rPr>
          <w:rFonts w:ascii="Calibri" w:hAnsi="Calibri" w:cs="Calibri" w:eastAsia="Calibri" w:hint="default"/>
        </w:rPr>
        <w:t>)</w:t>
      </w:r>
      <w:r>
        <w:rPr>
          <w:rFonts w:ascii="Calibri" w:hAnsi="Calibri" w:cs="Calibri" w:eastAsia="Calibri" w:hint="default"/>
          <w:spacing w:val="33"/>
        </w:rPr>
        <w:t> </w:t>
      </w:r>
      <w:r>
        <w:rPr/>
        <w:t>报告期转债变动情况</w:t>
      </w:r>
      <w:r>
        <w:rPr>
          <w:b w:val="0"/>
          <w:bCs w:val="0"/>
        </w:rPr>
      </w:r>
    </w:p>
    <w:p>
      <w:pPr>
        <w:pStyle w:val="BodyText"/>
        <w:spacing w:line="240" w:lineRule="auto" w:before="29"/>
        <w:ind w:left="138" w:right="5611"/>
        <w:jc w:val="left"/>
      </w:pPr>
      <w:r>
        <w:rPr/>
        <w:t>□适用</w:t>
      </w:r>
      <w:r>
        <w:rPr>
          <w:spacing w:val="-2"/>
        </w:rPr>
        <w:t> </w:t>
      </w:r>
      <w:r>
        <w:rPr/>
        <w:t>√不适用</w:t>
      </w:r>
      <w:r>
        <w:rPr>
          <w:w w:val="100"/>
        </w:rPr>
        <w:t> </w:t>
      </w:r>
      <w:r>
        <w:rPr>
          <w:spacing w:val="-2"/>
        </w:rPr>
        <w:t>报告期转债累计转股情况</w:t>
      </w:r>
    </w:p>
    <w:p>
      <w:pPr>
        <w:pStyle w:val="BodyText"/>
        <w:spacing w:line="271" w:lineRule="exact"/>
        <w:ind w:left="138" w:right="0"/>
        <w:jc w:val="left"/>
      </w:pPr>
      <w:r>
        <w:rPr/>
        <w:t>□适用</w:t>
      </w:r>
      <w:r>
        <w:rPr>
          <w:spacing w:val="-1"/>
        </w:rPr>
        <w:t> </w:t>
      </w:r>
      <w:r>
        <w:rPr/>
        <w:t>√不适用</w:t>
      </w:r>
    </w:p>
    <w:p>
      <w:pPr>
        <w:pStyle w:val="Heading3"/>
        <w:spacing w:line="240" w:lineRule="auto" w:before="59"/>
        <w:ind w:left="138" w:right="0"/>
        <w:jc w:val="left"/>
        <w:rPr>
          <w:b w:val="0"/>
          <w:bCs w:val="0"/>
        </w:rPr>
      </w:pPr>
      <w:r>
        <w:rPr>
          <w:rFonts w:ascii="Calibri" w:hAnsi="Calibri" w:cs="Calibri" w:eastAsia="Calibri" w:hint="default"/>
        </w:rPr>
        <w:t>(</w:t>
      </w:r>
      <w:r>
        <w:rPr/>
        <w:t>四</w:t>
      </w:r>
      <w:r>
        <w:rPr>
          <w:rFonts w:ascii="Calibri" w:hAnsi="Calibri" w:cs="Calibri" w:eastAsia="Calibri" w:hint="default"/>
        </w:rPr>
        <w:t>)</w:t>
      </w:r>
      <w:r>
        <w:rPr>
          <w:rFonts w:ascii="Calibri" w:hAnsi="Calibri" w:cs="Calibri" w:eastAsia="Calibri" w:hint="default"/>
          <w:spacing w:val="30"/>
        </w:rPr>
        <w:t> </w:t>
      </w:r>
      <w:r>
        <w:rPr/>
        <w:t>转股价格历次调整情况</w:t>
      </w:r>
      <w:r>
        <w:rPr>
          <w:b w:val="0"/>
          <w:bCs w:val="0"/>
        </w:rPr>
      </w:r>
    </w:p>
    <w:p>
      <w:pPr>
        <w:pStyle w:val="BodyText"/>
        <w:spacing w:line="240" w:lineRule="auto" w:before="29"/>
        <w:ind w:left="138" w:right="0"/>
        <w:jc w:val="left"/>
      </w:pPr>
      <w:r>
        <w:rPr/>
        <w:t>□适用</w:t>
      </w:r>
      <w:r>
        <w:rPr>
          <w:spacing w:val="-1"/>
        </w:rPr>
        <w:t> </w:t>
      </w:r>
      <w:r>
        <w:rPr/>
        <w:t>√不适用</w:t>
      </w:r>
    </w:p>
    <w:p>
      <w:pPr>
        <w:spacing w:after="0" w:line="240" w:lineRule="auto"/>
        <w:jc w:val="left"/>
        <w:sectPr>
          <w:pgSz w:w="11910" w:h="16840"/>
          <w:pgMar w:header="855" w:footer="1195" w:top="1320" w:bottom="1380" w:left="1660" w:right="1120"/>
        </w:sectPr>
      </w:pPr>
    </w:p>
    <w:p>
      <w:pPr>
        <w:spacing w:line="240" w:lineRule="auto" w:before="4"/>
        <w:rPr>
          <w:rFonts w:ascii="宋体" w:hAnsi="宋体" w:cs="宋体" w:eastAsia="宋体" w:hint="default"/>
          <w:sz w:val="9"/>
          <w:szCs w:val="9"/>
        </w:rPr>
      </w:pPr>
    </w:p>
    <w:p>
      <w:pPr>
        <w:pStyle w:val="Heading3"/>
        <w:spacing w:line="240" w:lineRule="auto" w:before="36"/>
        <w:ind w:right="147"/>
        <w:jc w:val="left"/>
        <w:rPr>
          <w:b w:val="0"/>
          <w:bCs w:val="0"/>
        </w:rPr>
      </w:pPr>
      <w:r>
        <w:rPr>
          <w:rFonts w:ascii="Calibri" w:hAnsi="Calibri" w:cs="Calibri" w:eastAsia="Calibri" w:hint="default"/>
        </w:rPr>
        <w:t>(</w:t>
      </w:r>
      <w:r>
        <w:rPr/>
        <w:t>五</w:t>
      </w:r>
      <w:r>
        <w:rPr>
          <w:rFonts w:ascii="Calibri" w:hAnsi="Calibri" w:cs="Calibri" w:eastAsia="Calibri" w:hint="default"/>
        </w:rPr>
        <w:t>)</w:t>
      </w:r>
      <w:r>
        <w:rPr>
          <w:rFonts w:ascii="Calibri" w:hAnsi="Calibri" w:cs="Calibri" w:eastAsia="Calibri" w:hint="default"/>
          <w:spacing w:val="27"/>
        </w:rPr>
        <w:t> </w:t>
      </w:r>
      <w:r>
        <w:rPr/>
        <w:t>公司的负债情况、资信变化情况及在未来年度还债的现金安排</w:t>
      </w:r>
      <w:r>
        <w:rPr>
          <w:b w:val="0"/>
          <w:bCs w:val="0"/>
        </w:rPr>
      </w:r>
    </w:p>
    <w:p>
      <w:pPr>
        <w:pStyle w:val="BodyText"/>
        <w:tabs>
          <w:tab w:pos="1060" w:val="left" w:leader="none"/>
        </w:tabs>
        <w:spacing w:line="240" w:lineRule="auto" w:before="32"/>
        <w:ind w:right="147"/>
        <w:jc w:val="left"/>
      </w:pPr>
      <w:r>
        <w:rPr>
          <w:spacing w:val="-1"/>
        </w:rPr>
        <w:t>□适用</w:t>
        <w:tab/>
      </w:r>
      <w:r>
        <w:rPr>
          <w:spacing w:val="-2"/>
        </w:rPr>
        <w:t>√不适用</w:t>
      </w:r>
    </w:p>
    <w:p>
      <w:pPr>
        <w:pStyle w:val="Heading3"/>
        <w:spacing w:line="240" w:lineRule="auto" w:before="56"/>
        <w:ind w:right="147"/>
        <w:jc w:val="left"/>
        <w:rPr>
          <w:b w:val="0"/>
          <w:bCs w:val="0"/>
        </w:rPr>
      </w:pPr>
      <w:r>
        <w:rPr>
          <w:rFonts w:ascii="Calibri" w:hAnsi="Calibri" w:cs="Calibri" w:eastAsia="Calibri" w:hint="default"/>
        </w:rPr>
        <w:t>(</w:t>
      </w:r>
      <w:r>
        <w:rPr/>
        <w:t>六</w:t>
      </w:r>
      <w:r>
        <w:rPr>
          <w:rFonts w:ascii="Calibri" w:hAnsi="Calibri" w:cs="Calibri" w:eastAsia="Calibri" w:hint="default"/>
        </w:rPr>
        <w:t>)</w:t>
      </w:r>
      <w:r>
        <w:rPr>
          <w:rFonts w:ascii="Calibri" w:hAnsi="Calibri" w:cs="Calibri" w:eastAsia="Calibri" w:hint="default"/>
          <w:spacing w:val="32"/>
        </w:rPr>
        <w:t> </w:t>
      </w:r>
      <w:r>
        <w:rPr/>
        <w:t>转债其他情况说明</w:t>
      </w:r>
      <w:r>
        <w:rPr>
          <w:b w:val="0"/>
          <w:bCs w:val="0"/>
        </w:rPr>
      </w:r>
    </w:p>
    <w:p>
      <w:pPr>
        <w:pStyle w:val="BodyText"/>
        <w:tabs>
          <w:tab w:pos="1060" w:val="left" w:leader="none"/>
        </w:tabs>
        <w:spacing w:line="240" w:lineRule="auto" w:before="32"/>
        <w:ind w:right="147"/>
        <w:jc w:val="left"/>
      </w:pPr>
      <w:r>
        <w:rPr>
          <w:spacing w:val="-1"/>
        </w:rPr>
        <w:t>□适用</w:t>
        <w:tab/>
      </w:r>
      <w:r>
        <w:rPr>
          <w:spacing w:val="-2"/>
        </w:rPr>
        <w:t>√不适用</w:t>
      </w:r>
    </w:p>
    <w:p>
      <w:pPr>
        <w:spacing w:line="240" w:lineRule="auto" w:before="1"/>
        <w:rPr>
          <w:rFonts w:ascii="宋体" w:hAnsi="宋体" w:cs="宋体" w:eastAsia="宋体" w:hint="default"/>
          <w:sz w:val="24"/>
          <w:szCs w:val="24"/>
        </w:rPr>
      </w:pPr>
    </w:p>
    <w:p>
      <w:pPr>
        <w:pStyle w:val="Heading1"/>
        <w:tabs>
          <w:tab w:pos="3576" w:val="left" w:leader="none"/>
        </w:tabs>
        <w:spacing w:line="240" w:lineRule="auto" w:before="0"/>
        <w:ind w:left="2316" w:right="147"/>
        <w:jc w:val="left"/>
        <w:rPr>
          <w:b w:val="0"/>
          <w:bCs w:val="0"/>
        </w:rPr>
      </w:pPr>
      <w:bookmarkStart w:name="_TOC_250006" w:id="6"/>
      <w:r>
        <w:rPr>
          <w:w w:val="95"/>
        </w:rPr>
        <w:t>第六节</w:t>
        <w:tab/>
      </w:r>
      <w:r>
        <w:rPr/>
        <w:t>普通股股份变动及股东情况</w:t>
      </w:r>
      <w:bookmarkEnd w:id="6"/>
      <w:r>
        <w:rPr>
          <w:b w:val="0"/>
          <w:bCs w:val="0"/>
        </w:rPr>
      </w:r>
    </w:p>
    <w:p>
      <w:pPr>
        <w:spacing w:line="240" w:lineRule="auto" w:before="7"/>
        <w:rPr>
          <w:rFonts w:ascii="黑体" w:hAnsi="黑体" w:cs="黑体" w:eastAsia="黑体" w:hint="default"/>
          <w:b/>
          <w:bCs/>
          <w:sz w:val="16"/>
          <w:szCs w:val="16"/>
        </w:rPr>
      </w:pPr>
    </w:p>
    <w:p>
      <w:pPr>
        <w:spacing w:after="0" w:line="240" w:lineRule="auto"/>
        <w:rPr>
          <w:rFonts w:ascii="黑体" w:hAnsi="黑体" w:cs="黑体" w:eastAsia="黑体" w:hint="default"/>
          <w:sz w:val="16"/>
          <w:szCs w:val="16"/>
        </w:rPr>
        <w:sectPr>
          <w:pgSz w:w="11910" w:h="16840"/>
          <w:pgMar w:header="855" w:footer="1195" w:top="1320" w:bottom="1380" w:left="1580" w:right="1120"/>
        </w:sectPr>
      </w:pPr>
    </w:p>
    <w:p>
      <w:pPr>
        <w:pStyle w:val="Heading3"/>
        <w:tabs>
          <w:tab w:pos="784" w:val="left" w:leader="none"/>
        </w:tabs>
        <w:spacing w:line="278" w:lineRule="auto" w:before="36"/>
        <w:ind w:right="0"/>
        <w:jc w:val="left"/>
        <w:rPr>
          <w:b w:val="0"/>
          <w:bCs w:val="0"/>
        </w:rPr>
      </w:pPr>
      <w:r>
        <w:rPr/>
        <w:t>一、</w:t>
      </w:r>
      <w:r>
        <w:rPr>
          <w:spacing w:val="-78"/>
        </w:rPr>
        <w:t> </w:t>
      </w:r>
      <w:r>
        <w:rPr/>
        <w:t>普通股股份变动情况</w:t>
      </w:r>
      <w:r>
        <w:rPr>
          <w:spacing w:val="-102"/>
        </w:rPr>
        <w:t> </w:t>
      </w:r>
      <w:r>
        <w:rPr>
          <w:spacing w:val="-102"/>
        </w:rPr>
      </w:r>
      <w:r>
        <w:rPr>
          <w:rFonts w:ascii="Calibri" w:hAnsi="Calibri" w:cs="Calibri" w:eastAsia="Calibri" w:hint="default"/>
        </w:rPr>
        <w:t>(</w:t>
      </w:r>
      <w:r>
        <w:rPr/>
        <w:t>一</w:t>
      </w:r>
      <w:r>
        <w:rPr>
          <w:rFonts w:ascii="Calibri" w:hAnsi="Calibri" w:cs="Calibri" w:eastAsia="Calibri" w:hint="default"/>
        </w:rPr>
        <w:t>)</w:t>
        <w:tab/>
      </w:r>
      <w:r>
        <w:rPr>
          <w:spacing w:val="-1"/>
        </w:rPr>
        <w:t>普通股股份变动情况表</w:t>
      </w:r>
      <w:r>
        <w:rPr>
          <w:spacing w:val="-96"/>
        </w:rPr>
        <w:t> </w:t>
      </w:r>
      <w:r>
        <w:rPr>
          <w:spacing w:val="-96"/>
        </w:rPr>
      </w:r>
      <w:r>
        <w:rPr>
          <w:rFonts w:ascii="宋体" w:hAnsi="宋体" w:cs="宋体" w:eastAsia="宋体" w:hint="default"/>
        </w:rPr>
        <w:t>1</w:t>
      </w:r>
      <w:r>
        <w:rPr/>
        <w:t>、</w:t>
      </w:r>
      <w:r>
        <w:rPr>
          <w:spacing w:val="-3"/>
        </w:rPr>
        <w:t> </w:t>
      </w:r>
      <w:r>
        <w:rPr/>
        <w:t>普通股股份变动情况表</w:t>
      </w:r>
      <w:r>
        <w:rPr>
          <w:b w:val="0"/>
          <w:bCs w:val="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8"/>
          <w:szCs w:val="18"/>
        </w:rPr>
      </w:pPr>
    </w:p>
    <w:p>
      <w:pPr>
        <w:pStyle w:val="BodyText"/>
        <w:spacing w:line="240" w:lineRule="auto"/>
        <w:ind w:right="0"/>
        <w:jc w:val="left"/>
      </w:pPr>
      <w:r>
        <w:rPr/>
        <w:t>单位：股</w:t>
      </w:r>
    </w:p>
    <w:p>
      <w:pPr>
        <w:spacing w:after="0" w:line="240" w:lineRule="auto"/>
        <w:jc w:val="left"/>
        <w:sectPr>
          <w:type w:val="continuous"/>
          <w:pgSz w:w="11910" w:h="16840"/>
          <w:pgMar w:top="1320" w:bottom="1380" w:left="1580" w:right="1120"/>
          <w:cols w:num="2" w:equalWidth="0">
            <w:col w:w="2895" w:space="5099"/>
            <w:col w:w="1216"/>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210"/>
        <w:gridCol w:w="1582"/>
        <w:gridCol w:w="739"/>
        <w:gridCol w:w="427"/>
        <w:gridCol w:w="425"/>
        <w:gridCol w:w="428"/>
        <w:gridCol w:w="845"/>
        <w:gridCol w:w="847"/>
        <w:gridCol w:w="1582"/>
        <w:gridCol w:w="739"/>
      </w:tblGrid>
      <w:tr>
        <w:trPr>
          <w:trHeight w:val="281" w:hRule="exact"/>
        </w:trPr>
        <w:tc>
          <w:tcPr>
            <w:tcW w:w="1210" w:type="dxa"/>
            <w:vMerge w:val="restart"/>
            <w:tcBorders>
              <w:top w:val="single" w:sz="4" w:space="0" w:color="000000"/>
              <w:left w:val="single" w:sz="4" w:space="0" w:color="000000"/>
              <w:right w:val="single" w:sz="4" w:space="0" w:color="000000"/>
            </w:tcBorders>
          </w:tcPr>
          <w:p>
            <w:pPr/>
          </w:p>
        </w:tc>
        <w:tc>
          <w:tcPr>
            <w:tcW w:w="232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31"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2972" w:type="dxa"/>
            <w:gridSpan w:val="5"/>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24" w:right="0"/>
              <w:jc w:val="left"/>
              <w:rPr>
                <w:rFonts w:ascii="宋体" w:hAnsi="宋体" w:cs="宋体" w:eastAsia="宋体" w:hint="default"/>
                <w:sz w:val="21"/>
                <w:szCs w:val="21"/>
              </w:rPr>
            </w:pPr>
            <w:r>
              <w:rPr>
                <w:rFonts w:ascii="宋体" w:hAnsi="宋体" w:cs="宋体" w:eastAsia="宋体" w:hint="default"/>
                <w:sz w:val="21"/>
                <w:szCs w:val="21"/>
              </w:rPr>
              <w:t>本次变动增减（＋，－）</w:t>
            </w:r>
          </w:p>
        </w:tc>
        <w:tc>
          <w:tcPr>
            <w:tcW w:w="232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28"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1373" w:hRule="exact"/>
        </w:trPr>
        <w:tc>
          <w:tcPr>
            <w:tcW w:w="1210" w:type="dxa"/>
            <w:vMerge/>
            <w:tcBorders>
              <w:left w:val="single" w:sz="4" w:space="0" w:color="000000"/>
              <w:bottom w:val="single" w:sz="4" w:space="0" w:color="000000"/>
              <w:right w:val="single" w:sz="4" w:space="0" w:color="000000"/>
            </w:tcBorders>
          </w:tcPr>
          <w:p>
            <w:pP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数量</w:t>
            </w: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2"/>
              <w:ind w:left="206" w:right="151" w:hanging="53"/>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pacing w:val="-103"/>
                <w:sz w:val="21"/>
                <w:szCs w:val="21"/>
              </w:rPr>
              <w:t> </w:t>
            </w:r>
            <w:r>
              <w:rPr>
                <w:rFonts w:ascii="宋体" w:hAnsi="宋体" w:cs="宋体" w:eastAsia="宋体" w:hint="default"/>
                <w:sz w:val="21"/>
                <w:szCs w:val="21"/>
              </w:rPr>
              <w:t>(%)</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05"/>
              <w:ind w:left="103" w:right="101"/>
              <w:jc w:val="both"/>
              <w:rPr>
                <w:rFonts w:ascii="宋体" w:hAnsi="宋体" w:cs="宋体" w:eastAsia="宋体" w:hint="default"/>
                <w:sz w:val="21"/>
                <w:szCs w:val="21"/>
              </w:rPr>
            </w:pPr>
            <w:r>
              <w:rPr>
                <w:rFonts w:ascii="宋体" w:hAnsi="宋体" w:cs="宋体" w:eastAsia="宋体" w:hint="default"/>
                <w:sz w:val="21"/>
                <w:szCs w:val="21"/>
              </w:rPr>
              <w:t>发</w:t>
            </w:r>
            <w:r>
              <w:rPr>
                <w:rFonts w:ascii="宋体" w:hAnsi="宋体" w:cs="宋体" w:eastAsia="宋体" w:hint="default"/>
                <w:w w:val="100"/>
                <w:sz w:val="21"/>
                <w:szCs w:val="21"/>
              </w:rPr>
              <w:t> </w:t>
            </w:r>
            <w:r>
              <w:rPr>
                <w:rFonts w:ascii="宋体" w:hAnsi="宋体" w:cs="宋体" w:eastAsia="宋体" w:hint="default"/>
                <w:sz w:val="21"/>
                <w:szCs w:val="21"/>
              </w:rPr>
              <w:t>行</w:t>
            </w:r>
            <w:r>
              <w:rPr>
                <w:rFonts w:ascii="宋体" w:hAnsi="宋体" w:cs="宋体" w:eastAsia="宋体" w:hint="default"/>
                <w:w w:val="100"/>
                <w:sz w:val="21"/>
                <w:szCs w:val="21"/>
              </w:rPr>
              <w:t> </w:t>
            </w:r>
            <w:r>
              <w:rPr>
                <w:rFonts w:ascii="宋体" w:hAnsi="宋体" w:cs="宋体" w:eastAsia="宋体" w:hint="default"/>
                <w:sz w:val="21"/>
                <w:szCs w:val="21"/>
              </w:rPr>
              <w:t>新</w:t>
            </w:r>
            <w:r>
              <w:rPr>
                <w:rFonts w:ascii="宋体" w:hAnsi="宋体" w:cs="宋体" w:eastAsia="宋体" w:hint="default"/>
                <w:w w:val="100"/>
                <w:sz w:val="21"/>
                <w:szCs w:val="21"/>
              </w:rPr>
              <w:t> </w:t>
            </w:r>
            <w:r>
              <w:rPr>
                <w:rFonts w:ascii="宋体" w:hAnsi="宋体" w:cs="宋体" w:eastAsia="宋体" w:hint="default"/>
                <w:sz w:val="21"/>
                <w:szCs w:val="21"/>
              </w:rPr>
              <w:t>股</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2"/>
              <w:ind w:left="100" w:right="101"/>
              <w:jc w:val="left"/>
              <w:rPr>
                <w:rFonts w:ascii="宋体" w:hAnsi="宋体" w:cs="宋体" w:eastAsia="宋体" w:hint="default"/>
                <w:sz w:val="21"/>
                <w:szCs w:val="21"/>
              </w:rPr>
            </w:pPr>
            <w:r>
              <w:rPr>
                <w:rFonts w:ascii="宋体" w:hAnsi="宋体" w:cs="宋体" w:eastAsia="宋体" w:hint="default"/>
                <w:sz w:val="21"/>
                <w:szCs w:val="21"/>
              </w:rPr>
              <w:t>送</w:t>
            </w:r>
            <w:r>
              <w:rPr>
                <w:rFonts w:ascii="宋体" w:hAnsi="宋体" w:cs="宋体" w:eastAsia="宋体" w:hint="default"/>
                <w:w w:val="100"/>
                <w:sz w:val="21"/>
                <w:szCs w:val="21"/>
              </w:rPr>
              <w:t> </w:t>
            </w:r>
            <w:r>
              <w:rPr>
                <w:rFonts w:ascii="宋体" w:hAnsi="宋体" w:cs="宋体" w:eastAsia="宋体" w:hint="default"/>
                <w:sz w:val="21"/>
                <w:szCs w:val="21"/>
              </w:rPr>
              <w:t>股</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w w:val="100"/>
                <w:sz w:val="21"/>
                <w:szCs w:val="21"/>
              </w:rPr>
              <w:t>公</w:t>
            </w:r>
          </w:p>
          <w:p>
            <w:pPr>
              <w:pStyle w:val="TableParagraph"/>
              <w:spacing w:line="237" w:lineRule="auto" w:before="2"/>
              <w:ind w:left="103" w:right="101"/>
              <w:jc w:val="both"/>
              <w:rPr>
                <w:rFonts w:ascii="宋体" w:hAnsi="宋体" w:cs="宋体" w:eastAsia="宋体" w:hint="default"/>
                <w:sz w:val="21"/>
                <w:szCs w:val="21"/>
              </w:rPr>
            </w:pPr>
            <w:r>
              <w:rPr>
                <w:rFonts w:ascii="宋体" w:hAnsi="宋体" w:cs="宋体" w:eastAsia="宋体" w:hint="default"/>
                <w:sz w:val="21"/>
                <w:szCs w:val="21"/>
              </w:rPr>
              <w:t>积</w:t>
            </w:r>
            <w:r>
              <w:rPr>
                <w:rFonts w:ascii="宋体" w:hAnsi="宋体" w:cs="宋体" w:eastAsia="宋体" w:hint="default"/>
                <w:w w:val="100"/>
                <w:sz w:val="21"/>
                <w:szCs w:val="21"/>
              </w:rPr>
              <w:t> </w:t>
            </w:r>
            <w:r>
              <w:rPr>
                <w:rFonts w:ascii="宋体" w:hAnsi="宋体" w:cs="宋体" w:eastAsia="宋体" w:hint="default"/>
                <w:sz w:val="21"/>
                <w:szCs w:val="21"/>
              </w:rPr>
              <w:t>金</w:t>
            </w:r>
            <w:r>
              <w:rPr>
                <w:rFonts w:ascii="宋体" w:hAnsi="宋体" w:cs="宋体" w:eastAsia="宋体" w:hint="default"/>
                <w:w w:val="100"/>
                <w:sz w:val="21"/>
                <w:szCs w:val="21"/>
              </w:rPr>
              <w:t> </w:t>
            </w:r>
            <w:r>
              <w:rPr>
                <w:rFonts w:ascii="宋体" w:hAnsi="宋体" w:cs="宋体" w:eastAsia="宋体" w:hint="default"/>
                <w:sz w:val="21"/>
                <w:szCs w:val="21"/>
              </w:rPr>
              <w:t>转</w:t>
            </w:r>
            <w:r>
              <w:rPr>
                <w:rFonts w:ascii="宋体" w:hAnsi="宋体" w:cs="宋体" w:eastAsia="宋体" w:hint="default"/>
                <w:w w:val="100"/>
                <w:sz w:val="21"/>
                <w:szCs w:val="21"/>
              </w:rPr>
              <w:t> </w:t>
            </w:r>
            <w:r>
              <w:rPr>
                <w:rFonts w:ascii="宋体" w:hAnsi="宋体" w:cs="宋体" w:eastAsia="宋体" w:hint="default"/>
                <w:sz w:val="21"/>
                <w:szCs w:val="21"/>
              </w:rPr>
              <w:t>股</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208"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208"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数量</w:t>
            </w: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2"/>
              <w:ind w:left="206" w:right="151" w:hanging="53"/>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pacing w:val="-103"/>
                <w:sz w:val="21"/>
                <w:szCs w:val="21"/>
              </w:rPr>
              <w:t> </w:t>
            </w:r>
            <w:r>
              <w:rPr>
                <w:rFonts w:ascii="宋体" w:hAnsi="宋体" w:cs="宋体" w:eastAsia="宋体" w:hint="default"/>
                <w:sz w:val="21"/>
                <w:szCs w:val="21"/>
              </w:rPr>
              <w:t>(%)</w:t>
            </w:r>
          </w:p>
        </w:tc>
      </w:tr>
      <w:tr>
        <w:trPr>
          <w:trHeight w:val="554"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13"/>
                <w:sz w:val="21"/>
                <w:szCs w:val="21"/>
              </w:rPr>
              <w:t>一、有限售</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条件股份</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3,927,453</w:t>
            </w: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sz w:val="21"/>
              </w:rPr>
              <w:t>0.27</w:t>
            </w:r>
          </w:p>
        </w:tc>
        <w:tc>
          <w:tcPr>
            <w:tcW w:w="42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sz w:val="21"/>
              </w:rPr>
              <w:t>19,250</w:t>
            </w:r>
          </w:p>
          <w:p>
            <w:pPr>
              <w:pStyle w:val="TableParagraph"/>
              <w:spacing w:line="273" w:lineRule="exact"/>
              <w:ind w:left="314" w:right="0"/>
              <w:jc w:val="left"/>
              <w:rPr>
                <w:rFonts w:ascii="宋体" w:hAnsi="宋体" w:cs="宋体" w:eastAsia="宋体" w:hint="default"/>
                <w:sz w:val="21"/>
                <w:szCs w:val="21"/>
              </w:rPr>
            </w:pPr>
            <w:r>
              <w:rPr>
                <w:rFonts w:ascii="宋体"/>
                <w:sz w:val="21"/>
              </w:rPr>
              <w:t>,800</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sz w:val="21"/>
              </w:rPr>
              <w:t>19,250</w:t>
            </w:r>
          </w:p>
          <w:p>
            <w:pPr>
              <w:pStyle w:val="TableParagraph"/>
              <w:spacing w:line="273" w:lineRule="exact"/>
              <w:ind w:left="314" w:right="0"/>
              <w:jc w:val="left"/>
              <w:rPr>
                <w:rFonts w:ascii="宋体" w:hAnsi="宋体" w:cs="宋体" w:eastAsia="宋体" w:hint="default"/>
                <w:sz w:val="21"/>
                <w:szCs w:val="21"/>
              </w:rPr>
            </w:pPr>
            <w:r>
              <w:rPr>
                <w:rFonts w:ascii="宋体"/>
                <w:sz w:val="21"/>
              </w:rPr>
              <w:t>,800</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23,178,253</w:t>
            </w: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1.58</w:t>
            </w:r>
          </w:p>
        </w:tc>
      </w:tr>
      <w:tr>
        <w:trPr>
          <w:trHeight w:val="554"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、国家持</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股</w:t>
            </w:r>
          </w:p>
        </w:tc>
        <w:tc>
          <w:tcPr>
            <w:tcW w:w="1582"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42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82"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r>
      <w:tr>
        <w:trPr>
          <w:trHeight w:val="555"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、国有法</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人持股</w:t>
            </w:r>
          </w:p>
        </w:tc>
        <w:tc>
          <w:tcPr>
            <w:tcW w:w="1582"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42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82"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、其他内</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资持股</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3,927,453</w:t>
            </w: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sz w:val="21"/>
              </w:rPr>
              <w:t>0.27</w:t>
            </w:r>
          </w:p>
        </w:tc>
        <w:tc>
          <w:tcPr>
            <w:tcW w:w="42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19,250</w:t>
            </w:r>
          </w:p>
          <w:p>
            <w:pPr>
              <w:pStyle w:val="TableParagraph"/>
              <w:spacing w:line="274" w:lineRule="exact"/>
              <w:ind w:left="314" w:right="0"/>
              <w:jc w:val="left"/>
              <w:rPr>
                <w:rFonts w:ascii="宋体" w:hAnsi="宋体" w:cs="宋体" w:eastAsia="宋体" w:hint="default"/>
                <w:sz w:val="21"/>
                <w:szCs w:val="21"/>
              </w:rPr>
            </w:pPr>
            <w:r>
              <w:rPr>
                <w:rFonts w:ascii="宋体"/>
                <w:sz w:val="21"/>
              </w:rPr>
              <w:t>,800</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19,250</w:t>
            </w:r>
          </w:p>
          <w:p>
            <w:pPr>
              <w:pStyle w:val="TableParagraph"/>
              <w:spacing w:line="274" w:lineRule="exact"/>
              <w:ind w:left="314" w:right="0"/>
              <w:jc w:val="left"/>
              <w:rPr>
                <w:rFonts w:ascii="宋体" w:hAnsi="宋体" w:cs="宋体" w:eastAsia="宋体" w:hint="default"/>
                <w:sz w:val="21"/>
                <w:szCs w:val="21"/>
              </w:rPr>
            </w:pPr>
            <w:r>
              <w:rPr>
                <w:rFonts w:ascii="宋体"/>
                <w:sz w:val="21"/>
              </w:rPr>
              <w:t>,800</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23,178,253</w:t>
            </w: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1.58</w:t>
            </w:r>
          </w:p>
        </w:tc>
      </w:tr>
      <w:tr>
        <w:trPr>
          <w:trHeight w:val="828"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其中：境内</w:t>
            </w:r>
          </w:p>
          <w:p>
            <w:pPr>
              <w:pStyle w:val="TableParagraph"/>
              <w:spacing w:line="272" w:lineRule="exact" w:before="27"/>
              <w:ind w:left="103" w:right="252"/>
              <w:jc w:val="left"/>
              <w:rPr>
                <w:rFonts w:ascii="宋体" w:hAnsi="宋体" w:cs="宋体" w:eastAsia="宋体" w:hint="default"/>
                <w:sz w:val="21"/>
                <w:szCs w:val="21"/>
              </w:rPr>
            </w:pPr>
            <w:r>
              <w:rPr>
                <w:rFonts w:ascii="宋体" w:hAnsi="宋体" w:cs="宋体" w:eastAsia="宋体" w:hint="default"/>
                <w:sz w:val="21"/>
                <w:szCs w:val="21"/>
              </w:rPr>
              <w:t>非国有法</w:t>
            </w:r>
            <w:r>
              <w:rPr>
                <w:rFonts w:ascii="宋体" w:hAnsi="宋体" w:cs="宋体" w:eastAsia="宋体" w:hint="default"/>
                <w:w w:val="100"/>
                <w:sz w:val="21"/>
                <w:szCs w:val="21"/>
              </w:rPr>
              <w:t> </w:t>
            </w:r>
            <w:r>
              <w:rPr>
                <w:rFonts w:ascii="宋体" w:hAnsi="宋体" w:cs="宋体" w:eastAsia="宋体" w:hint="default"/>
                <w:sz w:val="21"/>
                <w:szCs w:val="21"/>
              </w:rPr>
              <w:t>人持股</w:t>
            </w:r>
          </w:p>
        </w:tc>
        <w:tc>
          <w:tcPr>
            <w:tcW w:w="1582"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42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82"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r>
      <w:tr>
        <w:trPr>
          <w:trHeight w:val="828"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firstLine="631"/>
              <w:jc w:val="left"/>
              <w:rPr>
                <w:rFonts w:ascii="宋体" w:hAnsi="宋体" w:cs="宋体" w:eastAsia="宋体" w:hint="default"/>
                <w:sz w:val="21"/>
                <w:szCs w:val="21"/>
              </w:rPr>
            </w:pPr>
            <w:r>
              <w:rPr>
                <w:rFonts w:ascii="宋体" w:hAnsi="宋体" w:cs="宋体" w:eastAsia="宋体" w:hint="default"/>
                <w:w w:val="100"/>
                <w:sz w:val="21"/>
                <w:szCs w:val="21"/>
              </w:rPr>
              <w:t>境</w:t>
            </w:r>
          </w:p>
          <w:p>
            <w:pPr>
              <w:pStyle w:val="TableParagraph"/>
              <w:spacing w:line="272" w:lineRule="exact" w:before="27"/>
              <w:ind w:left="103" w:right="252"/>
              <w:jc w:val="left"/>
              <w:rPr>
                <w:rFonts w:ascii="宋体" w:hAnsi="宋体" w:cs="宋体" w:eastAsia="宋体" w:hint="default"/>
                <w:sz w:val="21"/>
                <w:szCs w:val="21"/>
              </w:rPr>
            </w:pPr>
            <w:r>
              <w:rPr>
                <w:rFonts w:ascii="宋体" w:hAnsi="宋体" w:cs="宋体" w:eastAsia="宋体" w:hint="default"/>
                <w:sz w:val="21"/>
                <w:szCs w:val="21"/>
              </w:rPr>
              <w:t>内自然人</w:t>
            </w:r>
            <w:r>
              <w:rPr>
                <w:rFonts w:ascii="宋体" w:hAnsi="宋体" w:cs="宋体" w:eastAsia="宋体" w:hint="default"/>
                <w:w w:val="100"/>
                <w:sz w:val="21"/>
                <w:szCs w:val="21"/>
              </w:rPr>
              <w:t> </w:t>
            </w:r>
            <w:r>
              <w:rPr>
                <w:rFonts w:ascii="宋体" w:hAnsi="宋体" w:cs="宋体" w:eastAsia="宋体" w:hint="default"/>
                <w:sz w:val="21"/>
                <w:szCs w:val="21"/>
              </w:rPr>
              <w:t>持股</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3,927,453</w:t>
            </w: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sz w:val="21"/>
              </w:rPr>
              <w:t>0.27</w:t>
            </w:r>
          </w:p>
        </w:tc>
        <w:tc>
          <w:tcPr>
            <w:tcW w:w="42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19,250</w:t>
            </w:r>
          </w:p>
          <w:p>
            <w:pPr>
              <w:pStyle w:val="TableParagraph"/>
              <w:spacing w:line="274" w:lineRule="exact"/>
              <w:ind w:left="314" w:right="0"/>
              <w:jc w:val="left"/>
              <w:rPr>
                <w:rFonts w:ascii="宋体" w:hAnsi="宋体" w:cs="宋体" w:eastAsia="宋体" w:hint="default"/>
                <w:sz w:val="21"/>
                <w:szCs w:val="21"/>
              </w:rPr>
            </w:pPr>
            <w:r>
              <w:rPr>
                <w:rFonts w:ascii="宋体"/>
                <w:sz w:val="21"/>
              </w:rPr>
              <w:t>,800</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19,250</w:t>
            </w:r>
          </w:p>
          <w:p>
            <w:pPr>
              <w:pStyle w:val="TableParagraph"/>
              <w:spacing w:line="274" w:lineRule="exact"/>
              <w:ind w:left="314" w:right="0"/>
              <w:jc w:val="left"/>
              <w:rPr>
                <w:rFonts w:ascii="宋体" w:hAnsi="宋体" w:cs="宋体" w:eastAsia="宋体" w:hint="default"/>
                <w:sz w:val="21"/>
                <w:szCs w:val="21"/>
              </w:rPr>
            </w:pPr>
            <w:r>
              <w:rPr>
                <w:rFonts w:ascii="宋体"/>
                <w:sz w:val="21"/>
              </w:rPr>
              <w:t>,800</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23,178,253</w:t>
            </w: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1.58</w:t>
            </w:r>
          </w:p>
        </w:tc>
      </w:tr>
      <w:tr>
        <w:trPr>
          <w:trHeight w:val="554"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、外资持</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股</w:t>
            </w:r>
          </w:p>
        </w:tc>
        <w:tc>
          <w:tcPr>
            <w:tcW w:w="1582"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42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82"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r>
      <w:tr>
        <w:trPr>
          <w:trHeight w:val="555"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其中：境外</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法人持股</w:t>
            </w:r>
          </w:p>
        </w:tc>
        <w:tc>
          <w:tcPr>
            <w:tcW w:w="1582"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42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82"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r>
      <w:tr>
        <w:trPr>
          <w:trHeight w:val="826"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firstLine="631"/>
              <w:jc w:val="left"/>
              <w:rPr>
                <w:rFonts w:ascii="宋体" w:hAnsi="宋体" w:cs="宋体" w:eastAsia="宋体" w:hint="default"/>
                <w:sz w:val="21"/>
                <w:szCs w:val="21"/>
              </w:rPr>
            </w:pPr>
            <w:r>
              <w:rPr>
                <w:rFonts w:ascii="宋体" w:hAnsi="宋体" w:cs="宋体" w:eastAsia="宋体" w:hint="default"/>
                <w:w w:val="100"/>
                <w:sz w:val="21"/>
                <w:szCs w:val="21"/>
              </w:rPr>
              <w:t>境</w:t>
            </w:r>
          </w:p>
          <w:p>
            <w:pPr>
              <w:pStyle w:val="TableParagraph"/>
              <w:spacing w:line="240" w:lineRule="auto"/>
              <w:ind w:left="103" w:right="252"/>
              <w:jc w:val="left"/>
              <w:rPr>
                <w:rFonts w:ascii="宋体" w:hAnsi="宋体" w:cs="宋体" w:eastAsia="宋体" w:hint="default"/>
                <w:sz w:val="21"/>
                <w:szCs w:val="21"/>
              </w:rPr>
            </w:pPr>
            <w:r>
              <w:rPr>
                <w:rFonts w:ascii="宋体" w:hAnsi="宋体" w:cs="宋体" w:eastAsia="宋体" w:hint="default"/>
                <w:sz w:val="21"/>
                <w:szCs w:val="21"/>
              </w:rPr>
              <w:t>外自然人</w:t>
            </w:r>
            <w:r>
              <w:rPr>
                <w:rFonts w:ascii="宋体" w:hAnsi="宋体" w:cs="宋体" w:eastAsia="宋体" w:hint="default"/>
                <w:w w:val="100"/>
                <w:sz w:val="21"/>
                <w:szCs w:val="21"/>
              </w:rPr>
              <w:t> </w:t>
            </w:r>
            <w:r>
              <w:rPr>
                <w:rFonts w:ascii="宋体" w:hAnsi="宋体" w:cs="宋体" w:eastAsia="宋体" w:hint="default"/>
                <w:sz w:val="21"/>
                <w:szCs w:val="21"/>
              </w:rPr>
              <w:t>持股</w:t>
            </w:r>
          </w:p>
        </w:tc>
        <w:tc>
          <w:tcPr>
            <w:tcW w:w="1582"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42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82"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r>
      <w:tr>
        <w:trPr>
          <w:trHeight w:val="828"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pacing w:val="-13"/>
                <w:sz w:val="21"/>
                <w:szCs w:val="21"/>
              </w:rPr>
              <w:t>二、无限售</w:t>
            </w:r>
          </w:p>
          <w:p>
            <w:pPr>
              <w:pStyle w:val="TableParagraph"/>
              <w:spacing w:line="272" w:lineRule="exact" w:before="26"/>
              <w:ind w:left="103" w:right="48"/>
              <w:jc w:val="left"/>
              <w:rPr>
                <w:rFonts w:ascii="宋体" w:hAnsi="宋体" w:cs="宋体" w:eastAsia="宋体" w:hint="default"/>
                <w:sz w:val="21"/>
                <w:szCs w:val="21"/>
              </w:rPr>
            </w:pPr>
            <w:r>
              <w:rPr>
                <w:rFonts w:ascii="宋体" w:hAnsi="宋体" w:cs="宋体" w:eastAsia="宋体" w:hint="default"/>
                <w:spacing w:val="36"/>
                <w:sz w:val="21"/>
                <w:szCs w:val="21"/>
              </w:rPr>
              <w:t>条件流通</w:t>
            </w:r>
            <w:r>
              <w:rPr>
                <w:rFonts w:ascii="宋体" w:hAnsi="宋体" w:cs="宋体" w:eastAsia="宋体" w:hint="default"/>
                <w:spacing w:val="-95"/>
                <w:sz w:val="21"/>
                <w:szCs w:val="21"/>
              </w:rPr>
              <w:t> </w:t>
            </w:r>
            <w:r>
              <w:rPr>
                <w:rFonts w:ascii="宋体" w:hAnsi="宋体" w:cs="宋体" w:eastAsia="宋体" w:hint="default"/>
                <w:sz w:val="21"/>
                <w:szCs w:val="21"/>
              </w:rPr>
              <w:t>股份</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1,460,365,990</w:t>
            </w: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sz w:val="21"/>
              </w:rPr>
              <w:t>99.73</w:t>
            </w:r>
          </w:p>
        </w:tc>
        <w:tc>
          <w:tcPr>
            <w:tcW w:w="42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sz w:val="21"/>
              </w:rPr>
              <w:t>-19,32</w:t>
            </w:r>
          </w:p>
          <w:p>
            <w:pPr>
              <w:pStyle w:val="TableParagraph"/>
              <w:spacing w:line="273" w:lineRule="exact"/>
              <w:ind w:left="110" w:right="0"/>
              <w:jc w:val="center"/>
              <w:rPr>
                <w:rFonts w:ascii="宋体" w:hAnsi="宋体" w:cs="宋体" w:eastAsia="宋体" w:hint="default"/>
                <w:sz w:val="21"/>
                <w:szCs w:val="21"/>
              </w:rPr>
            </w:pPr>
            <w:r>
              <w:rPr>
                <w:rFonts w:ascii="宋体"/>
                <w:sz w:val="21"/>
              </w:rPr>
              <w:t>6,432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-19,32</w:t>
            </w:r>
          </w:p>
          <w:p>
            <w:pPr>
              <w:pStyle w:val="TableParagraph"/>
              <w:spacing w:line="273" w:lineRule="exact"/>
              <w:ind w:left="108" w:right="0"/>
              <w:jc w:val="center"/>
              <w:rPr>
                <w:rFonts w:ascii="宋体" w:hAnsi="宋体" w:cs="宋体" w:eastAsia="宋体" w:hint="default"/>
                <w:sz w:val="21"/>
                <w:szCs w:val="21"/>
              </w:rPr>
            </w:pPr>
            <w:r>
              <w:rPr>
                <w:rFonts w:ascii="宋体"/>
                <w:sz w:val="21"/>
              </w:rPr>
              <w:t>6,432</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1,441,039,558</w:t>
            </w: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98.42</w:t>
            </w:r>
          </w:p>
        </w:tc>
      </w:tr>
      <w:tr>
        <w:trPr>
          <w:trHeight w:val="554"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、人民币</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普通股</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1,460,365,990</w:t>
            </w: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99.73</w:t>
            </w:r>
          </w:p>
        </w:tc>
        <w:tc>
          <w:tcPr>
            <w:tcW w:w="42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4" w:right="0"/>
              <w:jc w:val="center"/>
              <w:rPr>
                <w:rFonts w:ascii="宋体" w:hAnsi="宋体" w:cs="宋体" w:eastAsia="宋体" w:hint="default"/>
                <w:sz w:val="21"/>
                <w:szCs w:val="21"/>
              </w:rPr>
            </w:pPr>
            <w:r>
              <w:rPr>
                <w:rFonts w:ascii="宋体"/>
                <w:sz w:val="21"/>
              </w:rPr>
              <w:t>-19,32</w:t>
            </w:r>
          </w:p>
          <w:p>
            <w:pPr>
              <w:pStyle w:val="TableParagraph"/>
              <w:spacing w:line="274" w:lineRule="exact"/>
              <w:ind w:left="110" w:right="0"/>
              <w:jc w:val="center"/>
              <w:rPr>
                <w:rFonts w:ascii="宋体" w:hAnsi="宋体" w:cs="宋体" w:eastAsia="宋体" w:hint="default"/>
                <w:sz w:val="21"/>
                <w:szCs w:val="21"/>
              </w:rPr>
            </w:pPr>
            <w:r>
              <w:rPr>
                <w:rFonts w:ascii="宋体"/>
                <w:sz w:val="21"/>
              </w:rPr>
              <w:t>6,432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 w:right="0"/>
              <w:jc w:val="center"/>
              <w:rPr>
                <w:rFonts w:ascii="宋体" w:hAnsi="宋体" w:cs="宋体" w:eastAsia="宋体" w:hint="default"/>
                <w:sz w:val="21"/>
                <w:szCs w:val="21"/>
              </w:rPr>
            </w:pPr>
            <w:r>
              <w:rPr>
                <w:rFonts w:ascii="宋体"/>
                <w:sz w:val="21"/>
              </w:rPr>
              <w:t>-19,32</w:t>
            </w:r>
          </w:p>
          <w:p>
            <w:pPr>
              <w:pStyle w:val="TableParagraph"/>
              <w:spacing w:line="274" w:lineRule="exact"/>
              <w:ind w:left="108" w:right="0"/>
              <w:jc w:val="center"/>
              <w:rPr>
                <w:rFonts w:ascii="宋体" w:hAnsi="宋体" w:cs="宋体" w:eastAsia="宋体" w:hint="default"/>
                <w:sz w:val="21"/>
                <w:szCs w:val="21"/>
              </w:rPr>
            </w:pPr>
            <w:r>
              <w:rPr>
                <w:rFonts w:ascii="宋体"/>
                <w:sz w:val="21"/>
              </w:rPr>
              <w:t>6,432</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1,441,039,558</w:t>
            </w: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98.42</w:t>
            </w:r>
          </w:p>
        </w:tc>
      </w:tr>
      <w:tr>
        <w:trPr>
          <w:trHeight w:val="828"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、境内上</w:t>
            </w:r>
          </w:p>
          <w:p>
            <w:pPr>
              <w:pStyle w:val="TableParagraph"/>
              <w:spacing w:line="272" w:lineRule="exact" w:before="27"/>
              <w:ind w:left="103" w:right="252"/>
              <w:jc w:val="left"/>
              <w:rPr>
                <w:rFonts w:ascii="宋体" w:hAnsi="宋体" w:cs="宋体" w:eastAsia="宋体" w:hint="default"/>
                <w:sz w:val="21"/>
                <w:szCs w:val="21"/>
              </w:rPr>
            </w:pPr>
            <w:r>
              <w:rPr>
                <w:rFonts w:ascii="宋体" w:hAnsi="宋体" w:cs="宋体" w:eastAsia="宋体" w:hint="default"/>
                <w:sz w:val="21"/>
                <w:szCs w:val="21"/>
              </w:rPr>
              <w:t>市的外资</w:t>
            </w:r>
            <w:r>
              <w:rPr>
                <w:rFonts w:ascii="宋体" w:hAnsi="宋体" w:cs="宋体" w:eastAsia="宋体" w:hint="default"/>
                <w:w w:val="100"/>
                <w:sz w:val="21"/>
                <w:szCs w:val="21"/>
              </w:rPr>
              <w:t> </w:t>
            </w:r>
            <w:r>
              <w:rPr>
                <w:rFonts w:ascii="宋体" w:hAnsi="宋体" w:cs="宋体" w:eastAsia="宋体" w:hint="default"/>
                <w:sz w:val="21"/>
                <w:szCs w:val="21"/>
              </w:rPr>
              <w:t>股</w:t>
            </w:r>
          </w:p>
        </w:tc>
        <w:tc>
          <w:tcPr>
            <w:tcW w:w="1582"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42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82"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、境外上</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市的外资</w:t>
            </w:r>
          </w:p>
        </w:tc>
        <w:tc>
          <w:tcPr>
            <w:tcW w:w="1582"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42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82"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320" w:bottom="1380" w:left="1580" w:right="1120"/>
        </w:sectPr>
      </w:pPr>
    </w:p>
    <w:p>
      <w:pPr>
        <w:spacing w:line="240" w:lineRule="auto" w:before="9"/>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1210"/>
        <w:gridCol w:w="1582"/>
        <w:gridCol w:w="739"/>
        <w:gridCol w:w="427"/>
        <w:gridCol w:w="425"/>
        <w:gridCol w:w="428"/>
        <w:gridCol w:w="845"/>
        <w:gridCol w:w="847"/>
        <w:gridCol w:w="1582"/>
        <w:gridCol w:w="739"/>
      </w:tblGrid>
      <w:tr>
        <w:trPr>
          <w:trHeight w:val="284"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股</w:t>
            </w:r>
          </w:p>
        </w:tc>
        <w:tc>
          <w:tcPr>
            <w:tcW w:w="1582"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42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82"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、其他</w:t>
            </w:r>
          </w:p>
        </w:tc>
        <w:tc>
          <w:tcPr>
            <w:tcW w:w="1582"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42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82"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13"/>
                <w:sz w:val="21"/>
                <w:szCs w:val="21"/>
              </w:rPr>
              <w:t>三、普通股</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股份总数</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1,464,293,443</w:t>
            </w: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100</w:t>
            </w:r>
          </w:p>
        </w:tc>
        <w:tc>
          <w:tcPr>
            <w:tcW w:w="42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8"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sz w:val="21"/>
              </w:rPr>
              <w:t>-75,63</w:t>
            </w:r>
          </w:p>
          <w:p>
            <w:pPr>
              <w:pStyle w:val="TableParagraph"/>
              <w:spacing w:line="273" w:lineRule="exact"/>
              <w:ind w:left="103" w:right="0"/>
              <w:jc w:val="left"/>
              <w:rPr>
                <w:rFonts w:ascii="宋体" w:hAnsi="宋体" w:cs="宋体" w:eastAsia="宋体" w:hint="default"/>
                <w:sz w:val="21"/>
                <w:szCs w:val="21"/>
              </w:rPr>
            </w:pPr>
            <w:r>
              <w:rPr>
                <w:rFonts w:ascii="宋体"/>
                <w:w w:val="100"/>
                <w:sz w:val="21"/>
              </w:rPr>
              <w:t>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sz w:val="21"/>
              </w:rPr>
              <w:t>-75,63</w:t>
            </w:r>
          </w:p>
          <w:p>
            <w:pPr>
              <w:pStyle w:val="TableParagraph"/>
              <w:spacing w:line="273" w:lineRule="exact"/>
              <w:ind w:left="103" w:right="0"/>
              <w:jc w:val="left"/>
              <w:rPr>
                <w:rFonts w:ascii="宋体" w:hAnsi="宋体" w:cs="宋体" w:eastAsia="宋体" w:hint="default"/>
                <w:sz w:val="21"/>
                <w:szCs w:val="21"/>
              </w:rPr>
            </w:pPr>
            <w:r>
              <w:rPr>
                <w:rFonts w:ascii="宋体"/>
                <w:w w:val="100"/>
                <w:sz w:val="21"/>
              </w:rPr>
              <w:t>2</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1,464,217,811</w:t>
            </w: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100</w:t>
            </w:r>
          </w:p>
        </w:tc>
      </w:tr>
    </w:tbl>
    <w:p>
      <w:pPr>
        <w:spacing w:line="240" w:lineRule="auto" w:before="12"/>
        <w:rPr>
          <w:rFonts w:ascii="宋体" w:hAnsi="宋体" w:cs="宋体" w:eastAsia="宋体" w:hint="default"/>
          <w:sz w:val="19"/>
          <w:szCs w:val="19"/>
        </w:rPr>
      </w:pPr>
    </w:p>
    <w:p>
      <w:pPr>
        <w:pStyle w:val="Heading3"/>
        <w:spacing w:line="240" w:lineRule="auto" w:before="36"/>
        <w:ind w:right="0"/>
        <w:jc w:val="both"/>
        <w:rPr>
          <w:b w:val="0"/>
          <w:bCs w:val="0"/>
        </w:rPr>
      </w:pPr>
      <w:r>
        <w:rPr>
          <w:rFonts w:ascii="宋体" w:hAnsi="宋体" w:cs="宋体" w:eastAsia="宋体" w:hint="default"/>
        </w:rPr>
        <w:t>2</w:t>
      </w:r>
      <w:r>
        <w:rPr/>
        <w:t>、</w:t>
      </w:r>
      <w:r>
        <w:rPr>
          <w:spacing w:val="-2"/>
        </w:rPr>
        <w:t> </w:t>
      </w:r>
      <w:r>
        <w:rPr/>
        <w:t>普通股股份变动情况说明</w:t>
      </w:r>
      <w:r>
        <w:rPr>
          <w:b w:val="0"/>
          <w:bCs w:val="0"/>
        </w:rPr>
      </w:r>
    </w:p>
    <w:p>
      <w:pPr>
        <w:pStyle w:val="BodyText"/>
        <w:spacing w:line="273" w:lineRule="exact" w:before="58"/>
        <w:ind w:right="0"/>
        <w:jc w:val="both"/>
      </w:pPr>
      <w:r>
        <w:rPr/>
        <w:t>√适用</w:t>
      </w:r>
      <w:r>
        <w:rPr>
          <w:spacing w:val="104"/>
        </w:rPr>
        <w:t> </w:t>
      </w:r>
      <w:r>
        <w:rPr/>
        <w:t>□不适用</w:t>
      </w:r>
    </w:p>
    <w:p>
      <w:pPr>
        <w:pStyle w:val="BodyText"/>
        <w:spacing w:line="273" w:lineRule="exact"/>
        <w:ind w:left="638" w:right="0"/>
        <w:jc w:val="left"/>
      </w:pPr>
      <w:r>
        <w:rPr>
          <w:spacing w:val="-5"/>
        </w:rPr>
        <w:t>报告期内，公司于</w:t>
      </w:r>
      <w:r>
        <w:rPr>
          <w:spacing w:val="-40"/>
        </w:rPr>
        <w:t> </w:t>
      </w:r>
      <w:r>
        <w:rPr>
          <w:rFonts w:ascii="宋体" w:hAnsi="宋体" w:cs="宋体" w:eastAsia="宋体" w:hint="default"/>
        </w:rPr>
        <w:t>2017</w:t>
      </w:r>
      <w:r>
        <w:rPr>
          <w:rFonts w:ascii="宋体" w:hAnsi="宋体" w:cs="宋体" w:eastAsia="宋体" w:hint="default"/>
          <w:spacing w:val="-41"/>
        </w:rPr>
        <w:t> </w:t>
      </w:r>
      <w:r>
        <w:rPr/>
        <w:t>年</w:t>
      </w:r>
      <w:r>
        <w:rPr>
          <w:spacing w:val="-44"/>
        </w:rPr>
        <w:t> </w:t>
      </w:r>
      <w:r>
        <w:rPr>
          <w:rFonts w:ascii="宋体" w:hAnsi="宋体" w:cs="宋体" w:eastAsia="宋体" w:hint="default"/>
        </w:rPr>
        <w:t>3</w:t>
      </w:r>
      <w:r>
        <w:rPr>
          <w:rFonts w:ascii="宋体" w:hAnsi="宋体" w:cs="宋体" w:eastAsia="宋体" w:hint="default"/>
          <w:spacing w:val="-41"/>
        </w:rPr>
        <w:t> </w:t>
      </w:r>
      <w:r>
        <w:rPr/>
        <w:t>月</w:t>
      </w:r>
      <w:r>
        <w:rPr>
          <w:spacing w:val="-41"/>
        </w:rPr>
        <w:t> </w:t>
      </w:r>
      <w:r>
        <w:rPr>
          <w:rFonts w:ascii="宋体" w:hAnsi="宋体" w:cs="宋体" w:eastAsia="宋体" w:hint="default"/>
        </w:rPr>
        <w:t>8</w:t>
      </w:r>
      <w:r>
        <w:rPr>
          <w:rFonts w:ascii="宋体" w:hAnsi="宋体" w:cs="宋体" w:eastAsia="宋体" w:hint="default"/>
          <w:spacing w:val="-44"/>
        </w:rPr>
        <w:t> </w:t>
      </w:r>
      <w:r>
        <w:rPr>
          <w:spacing w:val="-5"/>
        </w:rPr>
        <w:t>日披露了《公司关于注销已回购股权激励股份的公告》，公</w:t>
      </w:r>
    </w:p>
    <w:p>
      <w:pPr>
        <w:pStyle w:val="BodyText"/>
        <w:spacing w:line="240" w:lineRule="auto" w:before="135"/>
        <w:ind w:right="0"/>
        <w:jc w:val="both"/>
      </w:pPr>
      <w:r>
        <w:rPr/>
        <w:t>司已注销共计</w:t>
      </w:r>
      <w:r>
        <w:rPr>
          <w:spacing w:val="-54"/>
        </w:rPr>
        <w:t> </w:t>
      </w:r>
      <w:r>
        <w:rPr>
          <w:rFonts w:ascii="宋体" w:hAnsi="宋体" w:cs="宋体" w:eastAsia="宋体" w:hint="default"/>
        </w:rPr>
        <w:t>75,632</w:t>
      </w:r>
      <w:r>
        <w:rPr>
          <w:rFonts w:ascii="宋体" w:hAnsi="宋体" w:cs="宋体" w:eastAsia="宋体" w:hint="default"/>
          <w:spacing w:val="-54"/>
        </w:rPr>
        <w:t> </w:t>
      </w:r>
      <w:r>
        <w:rPr/>
        <w:t>股限制性股票。</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pStyle w:val="Heading3"/>
        <w:spacing w:line="240" w:lineRule="auto"/>
        <w:ind w:right="0"/>
        <w:jc w:val="both"/>
        <w:rPr>
          <w:b w:val="0"/>
          <w:bCs w:val="0"/>
        </w:rPr>
      </w:pPr>
      <w:r>
        <w:rPr>
          <w:rFonts w:ascii="宋体" w:hAnsi="宋体" w:cs="宋体" w:eastAsia="宋体" w:hint="default"/>
        </w:rPr>
        <w:t>3</w:t>
      </w:r>
      <w:r>
        <w:rPr/>
        <w:t>、</w:t>
      </w:r>
      <w:r>
        <w:rPr>
          <w:spacing w:val="-6"/>
        </w:rPr>
        <w:t> </w:t>
      </w:r>
      <w:r>
        <w:rPr/>
        <w:t>普通股股份变动对最近一年和最近一期每股收益、每股净资产等财务指标的影响（如有）</w:t>
      </w:r>
      <w:r>
        <w:rPr>
          <w:b w:val="0"/>
          <w:bCs w:val="0"/>
        </w:rPr>
      </w:r>
    </w:p>
    <w:p>
      <w:pPr>
        <w:pStyle w:val="BodyText"/>
        <w:spacing w:line="273" w:lineRule="exact" w:before="58"/>
        <w:ind w:right="0"/>
        <w:jc w:val="both"/>
      </w:pPr>
      <w:r>
        <w:rPr/>
        <w:t>√适用</w:t>
      </w:r>
      <w:r>
        <w:rPr>
          <w:spacing w:val="104"/>
        </w:rPr>
        <w:t> </w:t>
      </w:r>
      <w:r>
        <w:rPr/>
        <w:t>□不适用</w:t>
      </w:r>
    </w:p>
    <w:p>
      <w:pPr>
        <w:pStyle w:val="BodyText"/>
        <w:spacing w:line="273" w:lineRule="exact"/>
        <w:ind w:left="638" w:right="0"/>
        <w:jc w:val="left"/>
      </w:pPr>
      <w:r>
        <w:rPr>
          <w:spacing w:val="-5"/>
        </w:rPr>
        <w:t>报告期内，公司于</w:t>
      </w:r>
      <w:r>
        <w:rPr>
          <w:spacing w:val="-40"/>
        </w:rPr>
        <w:t> </w:t>
      </w:r>
      <w:r>
        <w:rPr>
          <w:rFonts w:ascii="宋体" w:hAnsi="宋体" w:cs="宋体" w:eastAsia="宋体" w:hint="default"/>
        </w:rPr>
        <w:t>2017</w:t>
      </w:r>
      <w:r>
        <w:rPr>
          <w:rFonts w:ascii="宋体" w:hAnsi="宋体" w:cs="宋体" w:eastAsia="宋体" w:hint="default"/>
          <w:spacing w:val="-41"/>
        </w:rPr>
        <w:t> </w:t>
      </w:r>
      <w:r>
        <w:rPr/>
        <w:t>年</w:t>
      </w:r>
      <w:r>
        <w:rPr>
          <w:spacing w:val="-44"/>
        </w:rPr>
        <w:t> </w:t>
      </w:r>
      <w:r>
        <w:rPr>
          <w:rFonts w:ascii="宋体" w:hAnsi="宋体" w:cs="宋体" w:eastAsia="宋体" w:hint="default"/>
        </w:rPr>
        <w:t>3</w:t>
      </w:r>
      <w:r>
        <w:rPr>
          <w:rFonts w:ascii="宋体" w:hAnsi="宋体" w:cs="宋体" w:eastAsia="宋体" w:hint="default"/>
          <w:spacing w:val="-41"/>
        </w:rPr>
        <w:t> </w:t>
      </w:r>
      <w:r>
        <w:rPr/>
        <w:t>月</w:t>
      </w:r>
      <w:r>
        <w:rPr>
          <w:spacing w:val="-41"/>
        </w:rPr>
        <w:t> </w:t>
      </w:r>
      <w:r>
        <w:rPr>
          <w:rFonts w:ascii="宋体" w:hAnsi="宋体" w:cs="宋体" w:eastAsia="宋体" w:hint="default"/>
        </w:rPr>
        <w:t>8</w:t>
      </w:r>
      <w:r>
        <w:rPr>
          <w:rFonts w:ascii="宋体" w:hAnsi="宋体" w:cs="宋体" w:eastAsia="宋体" w:hint="default"/>
          <w:spacing w:val="-44"/>
        </w:rPr>
        <w:t> </w:t>
      </w:r>
      <w:r>
        <w:rPr>
          <w:spacing w:val="-5"/>
        </w:rPr>
        <w:t>日披露了《公司关于注销已回购股权激励股份的公告》，公</w:t>
      </w:r>
    </w:p>
    <w:p>
      <w:pPr>
        <w:pStyle w:val="BodyText"/>
        <w:spacing w:line="240" w:lineRule="auto" w:before="133"/>
        <w:ind w:right="0"/>
        <w:jc w:val="both"/>
      </w:pPr>
      <w:r>
        <w:rPr/>
        <w:t>司已注销共计</w:t>
      </w:r>
      <w:r>
        <w:rPr>
          <w:spacing w:val="-56"/>
        </w:rPr>
        <w:t> </w:t>
      </w:r>
      <w:r>
        <w:rPr>
          <w:rFonts w:ascii="宋体" w:hAnsi="宋体" w:cs="宋体" w:eastAsia="宋体" w:hint="default"/>
        </w:rPr>
        <w:t>75,632</w:t>
      </w:r>
      <w:r>
        <w:rPr>
          <w:rFonts w:ascii="宋体" w:hAnsi="宋体" w:cs="宋体" w:eastAsia="宋体" w:hint="default"/>
          <w:spacing w:val="-56"/>
        </w:rPr>
        <w:t> </w:t>
      </w:r>
      <w:r>
        <w:rPr/>
        <w:t>股限制性股票。注销后公司总股本变更为</w:t>
      </w:r>
      <w:r>
        <w:rPr>
          <w:spacing w:val="-55"/>
        </w:rPr>
        <w:t> </w:t>
      </w:r>
      <w:r>
        <w:rPr>
          <w:rFonts w:ascii="宋体" w:hAnsi="宋体" w:cs="宋体" w:eastAsia="宋体" w:hint="default"/>
        </w:rPr>
        <w:t>1,464,217,811</w:t>
      </w:r>
      <w:r>
        <w:rPr>
          <w:rFonts w:ascii="宋体" w:hAnsi="宋体" w:cs="宋体" w:eastAsia="宋体" w:hint="default"/>
          <w:spacing w:val="-55"/>
        </w:rPr>
        <w:t> </w:t>
      </w:r>
      <w:r>
        <w:rPr/>
        <w:t>股。</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pStyle w:val="Heading3"/>
        <w:spacing w:line="240" w:lineRule="auto"/>
        <w:ind w:right="0"/>
        <w:jc w:val="both"/>
        <w:rPr>
          <w:b w:val="0"/>
          <w:bCs w:val="0"/>
        </w:rPr>
      </w:pPr>
      <w:r>
        <w:rPr>
          <w:rFonts w:ascii="宋体" w:hAnsi="宋体" w:cs="宋体" w:eastAsia="宋体" w:hint="default"/>
        </w:rPr>
        <w:t>4</w:t>
      </w:r>
      <w:r>
        <w:rPr/>
        <w:t>、</w:t>
      </w:r>
      <w:r>
        <w:rPr>
          <w:spacing w:val="-4"/>
        </w:rPr>
        <w:t> </w:t>
      </w:r>
      <w:r>
        <w:rPr/>
        <w:t>公司认为必要或证券监管机构要求披露的其他内容</w:t>
      </w:r>
      <w:r>
        <w:rPr>
          <w:b w:val="0"/>
          <w:bCs w:val="0"/>
        </w:rPr>
      </w:r>
    </w:p>
    <w:p>
      <w:pPr>
        <w:pStyle w:val="BodyText"/>
        <w:spacing w:line="240" w:lineRule="auto" w:before="58"/>
        <w:ind w:right="0"/>
        <w:jc w:val="both"/>
      </w:pPr>
      <w:r>
        <w:rPr/>
        <w:t>□适用</w:t>
      </w:r>
      <w:r>
        <w:rPr>
          <w:spacing w:val="104"/>
        </w:rPr>
        <w:t> </w:t>
      </w:r>
      <w:r>
        <w:rPr/>
        <w:t>√不适用</w:t>
      </w:r>
    </w:p>
    <w:p>
      <w:pPr>
        <w:pStyle w:val="Heading3"/>
        <w:spacing w:line="240" w:lineRule="auto" w:before="56"/>
        <w:ind w:right="0"/>
        <w:jc w:val="both"/>
        <w:rPr>
          <w:b w:val="0"/>
          <w:bCs w:val="0"/>
        </w:rPr>
      </w:pPr>
      <w:r>
        <w:rPr>
          <w:rFonts w:ascii="Calibri" w:hAnsi="Calibri" w:cs="Calibri" w:eastAsia="Calibri" w:hint="default"/>
        </w:rPr>
        <w:t>(</w:t>
      </w:r>
      <w:r>
        <w:rPr/>
        <w:t>二</w:t>
      </w:r>
      <w:r>
        <w:rPr>
          <w:rFonts w:ascii="Calibri" w:hAnsi="Calibri" w:cs="Calibri" w:eastAsia="Calibri" w:hint="default"/>
        </w:rPr>
        <w:t>)   </w:t>
      </w:r>
      <w:r>
        <w:rPr>
          <w:rFonts w:ascii="Calibri" w:hAnsi="Calibri" w:cs="Calibri" w:eastAsia="Calibri" w:hint="default"/>
          <w:spacing w:val="36"/>
        </w:rPr>
        <w:t> </w:t>
      </w:r>
      <w:r>
        <w:rPr/>
        <w:t>限售股份变动情况</w:t>
      </w:r>
      <w:r>
        <w:rPr>
          <w:b w:val="0"/>
          <w:bCs w:val="0"/>
        </w:rPr>
      </w:r>
    </w:p>
    <w:p>
      <w:pPr>
        <w:pStyle w:val="BodyText"/>
        <w:spacing w:line="273" w:lineRule="exact" w:before="32"/>
        <w:ind w:right="0"/>
        <w:jc w:val="both"/>
      </w:pPr>
      <w:r>
        <w:rPr/>
        <w:t>√适用</w:t>
      </w:r>
      <w:r>
        <w:rPr>
          <w:spacing w:val="-1"/>
        </w:rPr>
        <w:t> </w:t>
      </w:r>
      <w:r>
        <w:rPr/>
        <w:t>□不适用</w:t>
      </w:r>
    </w:p>
    <w:p>
      <w:pPr>
        <w:pStyle w:val="BodyText"/>
        <w:spacing w:line="273" w:lineRule="exact"/>
        <w:ind w:left="638" w:right="0"/>
        <w:jc w:val="left"/>
      </w:pPr>
      <w:r>
        <w:rPr>
          <w:spacing w:val="-5"/>
        </w:rPr>
        <w:t>报告期内，公司于</w:t>
      </w:r>
      <w:r>
        <w:rPr>
          <w:spacing w:val="-40"/>
        </w:rPr>
        <w:t> </w:t>
      </w:r>
      <w:r>
        <w:rPr>
          <w:rFonts w:ascii="宋体" w:hAnsi="宋体" w:cs="宋体" w:eastAsia="宋体" w:hint="default"/>
        </w:rPr>
        <w:t>2017</w:t>
      </w:r>
      <w:r>
        <w:rPr>
          <w:rFonts w:ascii="宋体" w:hAnsi="宋体" w:cs="宋体" w:eastAsia="宋体" w:hint="default"/>
          <w:spacing w:val="-41"/>
        </w:rPr>
        <w:t> </w:t>
      </w:r>
      <w:r>
        <w:rPr/>
        <w:t>年</w:t>
      </w:r>
      <w:r>
        <w:rPr>
          <w:spacing w:val="-44"/>
        </w:rPr>
        <w:t> </w:t>
      </w:r>
      <w:r>
        <w:rPr>
          <w:rFonts w:ascii="宋体" w:hAnsi="宋体" w:cs="宋体" w:eastAsia="宋体" w:hint="default"/>
        </w:rPr>
        <w:t>3</w:t>
      </w:r>
      <w:r>
        <w:rPr>
          <w:rFonts w:ascii="宋体" w:hAnsi="宋体" w:cs="宋体" w:eastAsia="宋体" w:hint="default"/>
          <w:spacing w:val="-41"/>
        </w:rPr>
        <w:t> </w:t>
      </w:r>
      <w:r>
        <w:rPr/>
        <w:t>月</w:t>
      </w:r>
      <w:r>
        <w:rPr>
          <w:spacing w:val="-41"/>
        </w:rPr>
        <w:t> </w:t>
      </w:r>
      <w:r>
        <w:rPr>
          <w:rFonts w:ascii="宋体" w:hAnsi="宋体" w:cs="宋体" w:eastAsia="宋体" w:hint="default"/>
        </w:rPr>
        <w:t>8</w:t>
      </w:r>
      <w:r>
        <w:rPr>
          <w:rFonts w:ascii="宋体" w:hAnsi="宋体" w:cs="宋体" w:eastAsia="宋体" w:hint="default"/>
          <w:spacing w:val="-44"/>
        </w:rPr>
        <w:t> </w:t>
      </w:r>
      <w:r>
        <w:rPr>
          <w:spacing w:val="-5"/>
        </w:rPr>
        <w:t>日披露了《公司关于注销已回购股权激励股份的公告》，公</w:t>
      </w:r>
    </w:p>
    <w:p>
      <w:pPr>
        <w:pStyle w:val="BodyText"/>
        <w:spacing w:line="240" w:lineRule="auto" w:before="133"/>
        <w:ind w:right="0"/>
        <w:jc w:val="both"/>
      </w:pPr>
      <w:r>
        <w:rPr/>
        <w:t>司已注销共计</w:t>
      </w:r>
      <w:r>
        <w:rPr>
          <w:spacing w:val="-56"/>
        </w:rPr>
        <w:t> </w:t>
      </w:r>
      <w:r>
        <w:rPr>
          <w:rFonts w:ascii="宋体" w:hAnsi="宋体" w:cs="宋体" w:eastAsia="宋体" w:hint="default"/>
        </w:rPr>
        <w:t>75,632</w:t>
      </w:r>
      <w:r>
        <w:rPr>
          <w:rFonts w:ascii="宋体" w:hAnsi="宋体" w:cs="宋体" w:eastAsia="宋体" w:hint="default"/>
          <w:spacing w:val="-56"/>
        </w:rPr>
        <w:t> </w:t>
      </w:r>
      <w:r>
        <w:rPr/>
        <w:t>股限制性股票。注销后公司总股本变更为</w:t>
      </w:r>
      <w:r>
        <w:rPr>
          <w:spacing w:val="-55"/>
        </w:rPr>
        <w:t> </w:t>
      </w:r>
      <w:r>
        <w:rPr>
          <w:rFonts w:ascii="宋体" w:hAnsi="宋体" w:cs="宋体" w:eastAsia="宋体" w:hint="default"/>
        </w:rPr>
        <w:t>1,464,217,811</w:t>
      </w:r>
      <w:r>
        <w:rPr>
          <w:rFonts w:ascii="宋体" w:hAnsi="宋体" w:cs="宋体" w:eastAsia="宋体" w:hint="default"/>
          <w:spacing w:val="-55"/>
        </w:rPr>
        <w:t> </w:t>
      </w:r>
      <w:r>
        <w:rPr/>
        <w:t>股。</w:t>
      </w:r>
    </w:p>
    <w:p>
      <w:pPr>
        <w:pStyle w:val="BodyText"/>
        <w:spacing w:line="240" w:lineRule="auto" w:before="135"/>
        <w:ind w:left="638" w:right="0"/>
        <w:jc w:val="left"/>
      </w:pPr>
      <w:r>
        <w:rPr>
          <w:rFonts w:ascii="宋体" w:hAnsi="宋体" w:cs="宋体" w:eastAsia="宋体" w:hint="default"/>
        </w:rPr>
        <w:t>2017</w:t>
      </w:r>
      <w:r>
        <w:rPr>
          <w:rFonts w:ascii="宋体" w:hAnsi="宋体" w:cs="宋体" w:eastAsia="宋体" w:hint="default"/>
          <w:spacing w:val="-47"/>
        </w:rPr>
        <w:t> </w:t>
      </w:r>
      <w:r>
        <w:rPr/>
        <w:t>年</w:t>
      </w:r>
      <w:r>
        <w:rPr>
          <w:spacing w:val="-45"/>
        </w:rPr>
        <w:t> </w:t>
      </w:r>
      <w:r>
        <w:rPr>
          <w:rFonts w:ascii="宋体" w:hAnsi="宋体" w:cs="宋体" w:eastAsia="宋体" w:hint="default"/>
        </w:rPr>
        <w:t>6</w:t>
      </w:r>
      <w:r>
        <w:rPr>
          <w:rFonts w:ascii="宋体" w:hAnsi="宋体" w:cs="宋体" w:eastAsia="宋体" w:hint="default"/>
          <w:spacing w:val="-47"/>
        </w:rPr>
        <w:t> </w:t>
      </w:r>
      <w:r>
        <w:rPr/>
        <w:t>月</w:t>
      </w:r>
      <w:r>
        <w:rPr>
          <w:spacing w:val="-45"/>
        </w:rPr>
        <w:t> </w:t>
      </w:r>
      <w:r>
        <w:rPr>
          <w:rFonts w:ascii="宋体" w:hAnsi="宋体" w:cs="宋体" w:eastAsia="宋体" w:hint="default"/>
        </w:rPr>
        <w:t>24</w:t>
      </w:r>
      <w:r>
        <w:rPr>
          <w:rFonts w:ascii="宋体" w:hAnsi="宋体" w:cs="宋体" w:eastAsia="宋体" w:hint="default"/>
          <w:spacing w:val="-47"/>
        </w:rPr>
        <w:t> </w:t>
      </w:r>
      <w:r>
        <w:rPr>
          <w:spacing w:val="-4"/>
        </w:rPr>
        <w:t>日公司在上述媒体刊登了《用友网络科技股份有限公司</w:t>
      </w:r>
      <w:r>
        <w:rPr>
          <w:spacing w:val="-45"/>
        </w:rPr>
        <w:t> </w:t>
      </w:r>
      <w:r>
        <w:rPr>
          <w:rFonts w:ascii="宋体" w:hAnsi="宋体" w:cs="宋体" w:eastAsia="宋体" w:hint="default"/>
        </w:rPr>
        <w:t>2017</w:t>
      </w:r>
      <w:r>
        <w:rPr>
          <w:rFonts w:ascii="宋体" w:hAnsi="宋体" w:cs="宋体" w:eastAsia="宋体" w:hint="default"/>
          <w:spacing w:val="-47"/>
        </w:rPr>
        <w:t> </w:t>
      </w:r>
      <w:r>
        <w:rPr/>
        <w:t>年股票期权与限</w:t>
      </w:r>
    </w:p>
    <w:p>
      <w:pPr>
        <w:pStyle w:val="BodyText"/>
        <w:spacing w:line="240" w:lineRule="auto" w:before="133"/>
        <w:ind w:right="0"/>
        <w:jc w:val="both"/>
        <w:rPr>
          <w:rFonts w:ascii="宋体" w:hAnsi="宋体" w:cs="宋体" w:eastAsia="宋体" w:hint="default"/>
        </w:rPr>
      </w:pPr>
      <w:r>
        <w:rPr>
          <w:spacing w:val="-3"/>
        </w:rPr>
        <w:t>制性股票激励计划股份回购结果公告》。本次股份回购自</w:t>
      </w:r>
      <w:r>
        <w:rPr>
          <w:spacing w:val="-50"/>
        </w:rPr>
        <w:t> </w:t>
      </w:r>
      <w:r>
        <w:rPr>
          <w:rFonts w:ascii="宋体" w:hAnsi="宋体" w:cs="宋体" w:eastAsia="宋体" w:hint="default"/>
        </w:rPr>
        <w:t>2017</w:t>
      </w:r>
      <w:r>
        <w:rPr>
          <w:rFonts w:ascii="宋体" w:hAnsi="宋体" w:cs="宋体" w:eastAsia="宋体" w:hint="default"/>
          <w:spacing w:val="-50"/>
        </w:rPr>
        <w:t> </w:t>
      </w:r>
      <w:r>
        <w:rPr/>
        <w:t>年</w:t>
      </w:r>
      <w:r>
        <w:rPr>
          <w:spacing w:val="-52"/>
        </w:rPr>
        <w:t> </w:t>
      </w:r>
      <w:r>
        <w:rPr>
          <w:rFonts w:ascii="宋体" w:hAnsi="宋体" w:cs="宋体" w:eastAsia="宋体" w:hint="default"/>
        </w:rPr>
        <w:t>6</w:t>
      </w:r>
      <w:r>
        <w:rPr>
          <w:rFonts w:ascii="宋体" w:hAnsi="宋体" w:cs="宋体" w:eastAsia="宋体" w:hint="default"/>
          <w:spacing w:val="-50"/>
        </w:rPr>
        <w:t> </w:t>
      </w:r>
      <w:r>
        <w:rPr/>
        <w:t>月</w:t>
      </w:r>
      <w:r>
        <w:rPr>
          <w:spacing w:val="-52"/>
        </w:rPr>
        <w:t> </w:t>
      </w:r>
      <w:r>
        <w:rPr>
          <w:rFonts w:ascii="宋体" w:hAnsi="宋体" w:cs="宋体" w:eastAsia="宋体" w:hint="default"/>
        </w:rPr>
        <w:t>9</w:t>
      </w:r>
      <w:r>
        <w:rPr>
          <w:rFonts w:ascii="宋体" w:hAnsi="宋体" w:cs="宋体" w:eastAsia="宋体" w:hint="default"/>
          <w:spacing w:val="-50"/>
        </w:rPr>
        <w:t> </w:t>
      </w:r>
      <w:r>
        <w:rPr/>
        <w:t>日开始至</w:t>
      </w:r>
      <w:r>
        <w:rPr>
          <w:spacing w:val="-49"/>
        </w:rPr>
        <w:t> </w:t>
      </w:r>
      <w:r>
        <w:rPr>
          <w:rFonts w:ascii="宋体" w:hAnsi="宋体" w:cs="宋体" w:eastAsia="宋体" w:hint="default"/>
        </w:rPr>
        <w:t>2017</w:t>
      </w:r>
      <w:r>
        <w:rPr>
          <w:rFonts w:ascii="宋体" w:hAnsi="宋体" w:cs="宋体" w:eastAsia="宋体" w:hint="default"/>
          <w:spacing w:val="-52"/>
        </w:rPr>
        <w:t> </w:t>
      </w:r>
      <w:r>
        <w:rPr/>
        <w:t>年</w:t>
      </w:r>
      <w:r>
        <w:rPr>
          <w:spacing w:val="-50"/>
        </w:rPr>
        <w:t> </w:t>
      </w:r>
      <w:r>
        <w:rPr>
          <w:rFonts w:ascii="宋体" w:hAnsi="宋体" w:cs="宋体" w:eastAsia="宋体" w:hint="default"/>
        </w:rPr>
        <w:t>6</w:t>
      </w:r>
      <w:r>
        <w:rPr>
          <w:rFonts w:ascii="宋体" w:hAnsi="宋体" w:cs="宋体" w:eastAsia="宋体" w:hint="default"/>
          <w:spacing w:val="-52"/>
        </w:rPr>
        <w:t> </w:t>
      </w:r>
      <w:r>
        <w:rPr/>
        <w:t>月</w:t>
      </w:r>
      <w:r>
        <w:rPr>
          <w:spacing w:val="-50"/>
        </w:rPr>
        <w:t> </w:t>
      </w:r>
      <w:r>
        <w:rPr>
          <w:rFonts w:ascii="宋体" w:hAnsi="宋体" w:cs="宋体" w:eastAsia="宋体" w:hint="default"/>
        </w:rPr>
        <w:t>22</w:t>
      </w:r>
    </w:p>
    <w:p>
      <w:pPr>
        <w:pStyle w:val="BodyText"/>
        <w:spacing w:line="357" w:lineRule="auto" w:before="133"/>
        <w:ind w:right="147"/>
        <w:jc w:val="both"/>
      </w:pPr>
      <w:r>
        <w:rPr/>
        <w:t>日结束。截至</w:t>
      </w:r>
      <w:r>
        <w:rPr>
          <w:spacing w:val="-54"/>
        </w:rPr>
        <w:t> </w:t>
      </w:r>
      <w:r>
        <w:rPr>
          <w:rFonts w:ascii="宋体" w:hAnsi="宋体" w:cs="宋体" w:eastAsia="宋体" w:hint="default"/>
        </w:rPr>
        <w:t>2017</w:t>
      </w:r>
      <w:r>
        <w:rPr>
          <w:rFonts w:ascii="宋体" w:hAnsi="宋体" w:cs="宋体" w:eastAsia="宋体" w:hint="default"/>
          <w:spacing w:val="-54"/>
        </w:rPr>
        <w:t> </w:t>
      </w:r>
      <w:r>
        <w:rPr/>
        <w:t>年</w:t>
      </w:r>
      <w:r>
        <w:rPr>
          <w:spacing w:val="-51"/>
        </w:rPr>
        <w:t> </w:t>
      </w:r>
      <w:r>
        <w:rPr>
          <w:rFonts w:ascii="宋体" w:hAnsi="宋体" w:cs="宋体" w:eastAsia="宋体" w:hint="default"/>
        </w:rPr>
        <w:t>6</w:t>
      </w:r>
      <w:r>
        <w:rPr>
          <w:rFonts w:ascii="宋体" w:hAnsi="宋体" w:cs="宋体" w:eastAsia="宋体" w:hint="default"/>
          <w:spacing w:val="-54"/>
        </w:rPr>
        <w:t> </w:t>
      </w:r>
      <w:r>
        <w:rPr/>
        <w:t>月</w:t>
      </w:r>
      <w:r>
        <w:rPr>
          <w:spacing w:val="-51"/>
        </w:rPr>
        <w:t> </w:t>
      </w:r>
      <w:r>
        <w:rPr>
          <w:rFonts w:ascii="宋体" w:hAnsi="宋体" w:cs="宋体" w:eastAsia="宋体" w:hint="default"/>
        </w:rPr>
        <w:t>22</w:t>
      </w:r>
      <w:r>
        <w:rPr>
          <w:rFonts w:ascii="宋体" w:hAnsi="宋体" w:cs="宋体" w:eastAsia="宋体" w:hint="default"/>
          <w:spacing w:val="-51"/>
        </w:rPr>
        <w:t> </w:t>
      </w:r>
      <w:r>
        <w:rPr/>
        <w:t>日止，本次股份回购实际购买公司股票</w:t>
      </w:r>
      <w:r>
        <w:rPr>
          <w:spacing w:val="-54"/>
        </w:rPr>
        <w:t> </w:t>
      </w:r>
      <w:r>
        <w:rPr>
          <w:rFonts w:ascii="宋体" w:hAnsi="宋体" w:cs="宋体" w:eastAsia="宋体" w:hint="default"/>
        </w:rPr>
        <w:t>1932.6432</w:t>
      </w:r>
      <w:r>
        <w:rPr>
          <w:rFonts w:ascii="宋体" w:hAnsi="宋体" w:cs="宋体" w:eastAsia="宋体" w:hint="default"/>
          <w:spacing w:val="-53"/>
        </w:rPr>
        <w:t> </w:t>
      </w:r>
      <w:r>
        <w:rPr/>
        <w:t>万股，占公司股</w:t>
      </w:r>
      <w:r>
        <w:rPr>
          <w:w w:val="100"/>
        </w:rPr>
        <w:t> </w:t>
      </w:r>
      <w:r>
        <w:rPr>
          <w:spacing w:val="-3"/>
        </w:rPr>
        <w:t>本总额（</w:t>
      </w:r>
      <w:r>
        <w:rPr>
          <w:rFonts w:ascii="宋体" w:hAnsi="宋体" w:cs="宋体" w:eastAsia="宋体" w:hint="default"/>
          <w:spacing w:val="-3"/>
        </w:rPr>
        <w:t>146,421.7811</w:t>
      </w:r>
      <w:r>
        <w:rPr>
          <w:rFonts w:ascii="宋体" w:hAnsi="宋体" w:cs="宋体" w:eastAsia="宋体" w:hint="default"/>
          <w:spacing w:val="-40"/>
        </w:rPr>
        <w:t> </w:t>
      </w:r>
      <w:r>
        <w:rPr>
          <w:spacing w:val="-7"/>
        </w:rPr>
        <w:t>万股）的</w:t>
      </w:r>
      <w:r>
        <w:rPr>
          <w:spacing w:val="-41"/>
        </w:rPr>
        <w:t> </w:t>
      </w:r>
      <w:r>
        <w:rPr>
          <w:rFonts w:ascii="宋体" w:hAnsi="宋体" w:cs="宋体" w:eastAsia="宋体" w:hint="default"/>
          <w:spacing w:val="-3"/>
        </w:rPr>
        <w:t>1.32%</w:t>
      </w:r>
      <w:r>
        <w:rPr>
          <w:spacing w:val="-3"/>
        </w:rPr>
        <w:t>。实际使用资金总额为</w:t>
      </w:r>
      <w:r>
        <w:rPr>
          <w:spacing w:val="-41"/>
        </w:rPr>
        <w:t> </w:t>
      </w:r>
      <w:r>
        <w:rPr>
          <w:rFonts w:ascii="宋体" w:hAnsi="宋体" w:cs="宋体" w:eastAsia="宋体" w:hint="default"/>
        </w:rPr>
        <w:t>318,551,071.77</w:t>
      </w:r>
      <w:r>
        <w:rPr>
          <w:rFonts w:ascii="宋体" w:hAnsi="宋体" w:cs="宋体" w:eastAsia="宋体" w:hint="default"/>
          <w:spacing w:val="-43"/>
        </w:rPr>
        <w:t> </w:t>
      </w:r>
      <w:r>
        <w:rPr>
          <w:spacing w:val="-5"/>
        </w:rPr>
        <w:t>元（含各种交易费</w:t>
      </w:r>
      <w:r>
        <w:rPr>
          <w:spacing w:val="-99"/>
        </w:rPr>
        <w:t> </w:t>
      </w:r>
      <w:r>
        <w:rPr>
          <w:spacing w:val="-99"/>
        </w:rPr>
      </w:r>
      <w:r>
        <w:rPr/>
        <w:t>用）。公司按照有关规定将此次回购的全部</w:t>
      </w:r>
      <w:r>
        <w:rPr>
          <w:spacing w:val="-50"/>
        </w:rPr>
        <w:t> </w:t>
      </w:r>
      <w:r>
        <w:rPr>
          <w:rFonts w:ascii="宋体" w:hAnsi="宋体" w:cs="宋体" w:eastAsia="宋体" w:hint="default"/>
        </w:rPr>
        <w:t>1932.6432</w:t>
      </w:r>
      <w:r>
        <w:rPr>
          <w:rFonts w:ascii="宋体" w:hAnsi="宋体" w:cs="宋体" w:eastAsia="宋体" w:hint="default"/>
          <w:spacing w:val="-50"/>
        </w:rPr>
        <w:t> </w:t>
      </w:r>
      <w:r>
        <w:rPr/>
        <w:t>万股由无限售流通股变更为限售流通股。</w:t>
      </w:r>
      <w:r>
        <w:rPr>
          <w:w w:val="100"/>
        </w:rPr>
        <w:t> </w:t>
      </w:r>
      <w:r>
        <w:rPr>
          <w:spacing w:val="7"/>
        </w:rPr>
        <w:t>变更后，公司总股本</w:t>
      </w:r>
      <w:r>
        <w:rPr>
          <w:spacing w:val="32"/>
        </w:rPr>
        <w:t> </w:t>
      </w:r>
      <w:r>
        <w:rPr>
          <w:rFonts w:ascii="宋体" w:hAnsi="宋体" w:cs="宋体" w:eastAsia="宋体" w:hint="default"/>
        </w:rPr>
        <w:t>1,464,217,811</w:t>
      </w:r>
      <w:r>
        <w:rPr>
          <w:rFonts w:ascii="宋体" w:hAnsi="宋体" w:cs="宋体" w:eastAsia="宋体" w:hint="default"/>
          <w:spacing w:val="28"/>
        </w:rPr>
        <w:t> </w:t>
      </w:r>
      <w:r>
        <w:rPr>
          <w:spacing w:val="7"/>
        </w:rPr>
        <w:t>股中，限售流通股为</w:t>
      </w:r>
      <w:r>
        <w:rPr>
          <w:spacing w:val="32"/>
        </w:rPr>
        <w:t> </w:t>
      </w:r>
      <w:r>
        <w:rPr>
          <w:rFonts w:ascii="宋体" w:hAnsi="宋体" w:cs="宋体" w:eastAsia="宋体" w:hint="default"/>
        </w:rPr>
        <w:t>23,178,253</w:t>
      </w:r>
      <w:r>
        <w:rPr>
          <w:rFonts w:ascii="宋体" w:hAnsi="宋体" w:cs="宋体" w:eastAsia="宋体" w:hint="default"/>
          <w:spacing w:val="28"/>
        </w:rPr>
        <w:t> </w:t>
      </w:r>
      <w:r>
        <w:rPr>
          <w:spacing w:val="7"/>
        </w:rPr>
        <w:t>股，无限售流通股为</w:t>
      </w:r>
      <w:r>
        <w:rPr>
          <w:spacing w:val="-102"/>
        </w:rPr>
        <w:t> </w:t>
      </w:r>
      <w:r>
        <w:rPr>
          <w:spacing w:val="-102"/>
        </w:rPr>
      </w:r>
      <w:r>
        <w:rPr>
          <w:rFonts w:ascii="宋体" w:hAnsi="宋体" w:cs="宋体" w:eastAsia="宋体" w:hint="default"/>
        </w:rPr>
        <w:t>1,441,039,558</w:t>
      </w:r>
      <w:r>
        <w:rPr>
          <w:rFonts w:ascii="宋体" w:hAnsi="宋体" w:cs="宋体" w:eastAsia="宋体" w:hint="default"/>
          <w:spacing w:val="-51"/>
        </w:rPr>
        <w:t> </w:t>
      </w:r>
      <w:r>
        <w:rPr/>
        <w:t>股。</w:t>
      </w:r>
    </w:p>
    <w:p>
      <w:pPr>
        <w:pStyle w:val="BodyText"/>
        <w:spacing w:line="240" w:lineRule="auto" w:before="31"/>
        <w:ind w:left="638" w:right="0"/>
        <w:jc w:val="left"/>
      </w:pPr>
      <w:r>
        <w:rPr/>
        <w:t>公司于</w:t>
      </w:r>
      <w:r>
        <w:rPr>
          <w:spacing w:val="-51"/>
        </w:rPr>
        <w:t> </w:t>
      </w:r>
      <w:r>
        <w:rPr>
          <w:rFonts w:ascii="宋体" w:hAnsi="宋体" w:cs="宋体" w:eastAsia="宋体" w:hint="default"/>
        </w:rPr>
        <w:t>2017</w:t>
      </w:r>
      <w:r>
        <w:rPr>
          <w:rFonts w:ascii="宋体" w:hAnsi="宋体" w:cs="宋体" w:eastAsia="宋体" w:hint="default"/>
          <w:spacing w:val="-54"/>
        </w:rPr>
        <w:t> </w:t>
      </w:r>
      <w:r>
        <w:rPr/>
        <w:t>年</w:t>
      </w:r>
      <w:r>
        <w:rPr>
          <w:spacing w:val="-54"/>
        </w:rPr>
        <w:t> </w:t>
      </w:r>
      <w:r>
        <w:rPr>
          <w:rFonts w:ascii="宋体" w:hAnsi="宋体" w:cs="宋体" w:eastAsia="宋体" w:hint="default"/>
        </w:rPr>
        <w:t>8</w:t>
      </w:r>
      <w:r>
        <w:rPr>
          <w:rFonts w:ascii="宋体" w:hAnsi="宋体" w:cs="宋体" w:eastAsia="宋体" w:hint="default"/>
          <w:spacing w:val="-54"/>
        </w:rPr>
        <w:t> </w:t>
      </w:r>
      <w:r>
        <w:rPr/>
        <w:t>月</w:t>
      </w:r>
      <w:r>
        <w:rPr>
          <w:spacing w:val="-53"/>
        </w:rPr>
        <w:t> </w:t>
      </w:r>
      <w:r>
        <w:rPr>
          <w:rFonts w:ascii="宋体" w:hAnsi="宋体" w:cs="宋体" w:eastAsia="宋体" w:hint="default"/>
        </w:rPr>
        <w:t>9</w:t>
      </w:r>
      <w:r>
        <w:rPr>
          <w:rFonts w:ascii="宋体" w:hAnsi="宋体" w:cs="宋体" w:eastAsia="宋体" w:hint="default"/>
          <w:spacing w:val="-51"/>
        </w:rPr>
        <w:t> </w:t>
      </w:r>
      <w:r>
        <w:rPr/>
        <w:t>日披露了《公司关于</w:t>
      </w:r>
      <w:r>
        <w:rPr>
          <w:spacing w:val="-52"/>
        </w:rPr>
        <w:t> </w:t>
      </w:r>
      <w:r>
        <w:rPr>
          <w:rFonts w:ascii="宋体" w:hAnsi="宋体" w:cs="宋体" w:eastAsia="宋体" w:hint="default"/>
        </w:rPr>
        <w:t>2017</w:t>
      </w:r>
      <w:r>
        <w:rPr>
          <w:rFonts w:ascii="宋体" w:hAnsi="宋体" w:cs="宋体" w:eastAsia="宋体" w:hint="default"/>
          <w:spacing w:val="-53"/>
        </w:rPr>
        <w:t> </w:t>
      </w:r>
      <w:r>
        <w:rPr/>
        <w:t>年股票期权与限制性股票授予结果公告》，</w:t>
      </w:r>
    </w:p>
    <w:p>
      <w:pPr>
        <w:spacing w:line="468" w:lineRule="exact" w:before="4"/>
        <w:ind w:left="218" w:right="2782" w:firstLine="0"/>
        <w:jc w:val="left"/>
        <w:rPr>
          <w:rFonts w:ascii="宋体" w:hAnsi="宋体" w:cs="宋体" w:eastAsia="宋体" w:hint="default"/>
          <w:sz w:val="21"/>
          <w:szCs w:val="21"/>
        </w:rPr>
      </w:pPr>
      <w:r>
        <w:rPr>
          <w:rFonts w:ascii="宋体" w:hAnsi="宋体" w:cs="宋体" w:eastAsia="宋体" w:hint="default"/>
          <w:sz w:val="21"/>
          <w:szCs w:val="21"/>
        </w:rPr>
        <w:t>公司最后实际向</w:t>
      </w:r>
      <w:r>
        <w:rPr>
          <w:rFonts w:ascii="宋体" w:hAnsi="宋体" w:cs="宋体" w:eastAsia="宋体" w:hint="default"/>
          <w:spacing w:val="-55"/>
          <w:sz w:val="21"/>
          <w:szCs w:val="21"/>
        </w:rPr>
        <w:t> </w:t>
      </w:r>
      <w:r>
        <w:rPr>
          <w:rFonts w:ascii="宋体" w:hAnsi="宋体" w:cs="宋体" w:eastAsia="宋体" w:hint="default"/>
          <w:sz w:val="21"/>
          <w:szCs w:val="21"/>
        </w:rPr>
        <w:t>1408</w:t>
      </w:r>
      <w:r>
        <w:rPr>
          <w:rFonts w:ascii="宋体" w:hAnsi="宋体" w:cs="宋体" w:eastAsia="宋体" w:hint="default"/>
          <w:spacing w:val="-55"/>
          <w:sz w:val="21"/>
          <w:szCs w:val="21"/>
        </w:rPr>
        <w:t> </w:t>
      </w:r>
      <w:r>
        <w:rPr>
          <w:rFonts w:ascii="宋体" w:hAnsi="宋体" w:cs="宋体" w:eastAsia="宋体" w:hint="default"/>
          <w:sz w:val="21"/>
          <w:szCs w:val="21"/>
        </w:rPr>
        <w:t>名激励对象授予</w:t>
      </w:r>
      <w:r>
        <w:rPr>
          <w:rFonts w:ascii="宋体" w:hAnsi="宋体" w:cs="宋体" w:eastAsia="宋体" w:hint="default"/>
          <w:spacing w:val="-54"/>
          <w:sz w:val="21"/>
          <w:szCs w:val="21"/>
        </w:rPr>
        <w:t> </w:t>
      </w:r>
      <w:r>
        <w:rPr>
          <w:rFonts w:ascii="宋体" w:hAnsi="宋体" w:cs="宋体" w:eastAsia="宋体" w:hint="default"/>
          <w:sz w:val="21"/>
          <w:szCs w:val="21"/>
        </w:rPr>
        <w:t>1,905.654</w:t>
      </w:r>
      <w:r>
        <w:rPr>
          <w:rFonts w:ascii="宋体" w:hAnsi="宋体" w:cs="宋体" w:eastAsia="宋体" w:hint="default"/>
          <w:spacing w:val="-55"/>
          <w:sz w:val="21"/>
          <w:szCs w:val="21"/>
        </w:rPr>
        <w:t> </w:t>
      </w:r>
      <w:r>
        <w:rPr>
          <w:rFonts w:ascii="宋体" w:hAnsi="宋体" w:cs="宋体" w:eastAsia="宋体" w:hint="default"/>
          <w:sz w:val="21"/>
          <w:szCs w:val="21"/>
        </w:rPr>
        <w:t>万股限制性股票。</w:t>
      </w:r>
      <w:r>
        <w:rPr>
          <w:rFonts w:ascii="宋体" w:hAnsi="宋体" w:cs="宋体" w:eastAsia="宋体" w:hint="default"/>
          <w:w w:val="100"/>
          <w:sz w:val="21"/>
          <w:szCs w:val="21"/>
        </w:rPr>
        <w:t> </w:t>
      </w:r>
      <w:r>
        <w:rPr>
          <w:rFonts w:ascii="宋体" w:hAnsi="宋体" w:cs="宋体" w:eastAsia="宋体" w:hint="default"/>
          <w:b/>
          <w:bCs/>
          <w:sz w:val="21"/>
          <w:szCs w:val="21"/>
        </w:rPr>
        <w:t>二、</w:t>
      </w:r>
      <w:r>
        <w:rPr>
          <w:rFonts w:ascii="宋体" w:hAnsi="宋体" w:cs="宋体" w:eastAsia="宋体" w:hint="default"/>
          <w:b/>
          <w:bCs/>
          <w:spacing w:val="-74"/>
          <w:sz w:val="21"/>
          <w:szCs w:val="21"/>
        </w:rPr>
        <w:t> </w:t>
      </w:r>
      <w:r>
        <w:rPr>
          <w:rFonts w:ascii="宋体" w:hAnsi="宋体" w:cs="宋体" w:eastAsia="宋体" w:hint="default"/>
          <w:b/>
          <w:bCs/>
          <w:sz w:val="21"/>
          <w:szCs w:val="21"/>
        </w:rPr>
        <w:t>证券发行与上市情况</w:t>
      </w:r>
      <w:r>
        <w:rPr>
          <w:rFonts w:ascii="宋体" w:hAnsi="宋体" w:cs="宋体" w:eastAsia="宋体" w:hint="default"/>
          <w:sz w:val="21"/>
          <w:szCs w:val="21"/>
        </w:rPr>
      </w:r>
    </w:p>
    <w:p>
      <w:pPr>
        <w:pStyle w:val="Heading3"/>
        <w:spacing w:line="270" w:lineRule="exact"/>
        <w:ind w:right="0"/>
        <w:jc w:val="both"/>
        <w:rPr>
          <w:b w:val="0"/>
          <w:bCs w:val="0"/>
        </w:rPr>
      </w:pPr>
      <w:r>
        <w:rPr>
          <w:rFonts w:ascii="宋体" w:hAnsi="宋体" w:cs="宋体" w:eastAsia="宋体" w:hint="default"/>
        </w:rPr>
        <w:t>(</w:t>
      </w:r>
      <w:r>
        <w:rPr/>
        <w:t>一</w:t>
      </w:r>
      <w:r>
        <w:rPr>
          <w:rFonts w:ascii="宋体" w:hAnsi="宋体" w:cs="宋体" w:eastAsia="宋体" w:hint="default"/>
        </w:rPr>
        <w:t>)</w:t>
      </w:r>
      <w:r>
        <w:rPr/>
        <w:t>截至报告期内证券发行情况</w:t>
      </w:r>
      <w:r>
        <w:rPr>
          <w:b w:val="0"/>
          <w:bCs w:val="0"/>
        </w:rPr>
      </w:r>
    </w:p>
    <w:p>
      <w:pPr>
        <w:pStyle w:val="BodyText"/>
        <w:spacing w:line="240" w:lineRule="auto" w:before="56"/>
        <w:ind w:right="155"/>
        <w:jc w:val="left"/>
      </w:pPr>
      <w:r>
        <w:rPr/>
        <w:t>□适用</w:t>
      </w:r>
      <w:r>
        <w:rPr>
          <w:spacing w:val="-2"/>
        </w:rPr>
        <w:t> </w:t>
      </w:r>
      <w:r>
        <w:rPr/>
        <w:t>√不适用</w:t>
      </w:r>
      <w:r>
        <w:rPr>
          <w:w w:val="100"/>
        </w:rPr>
        <w:t> </w:t>
      </w:r>
      <w:r>
        <w:rPr>
          <w:spacing w:val="-2"/>
        </w:rPr>
        <w:t>截至报告期内证券发行情况的说明（存续期内利率不同的债券，请分别说明）：</w:t>
      </w:r>
    </w:p>
    <w:p>
      <w:pPr>
        <w:pStyle w:val="BodyText"/>
        <w:spacing w:line="271" w:lineRule="exact"/>
        <w:ind w:right="0"/>
        <w:jc w:val="both"/>
      </w:pPr>
      <w:r>
        <w:rPr/>
        <w:t>□适用</w:t>
      </w:r>
      <w:r>
        <w:rPr>
          <w:spacing w:val="104"/>
        </w:rPr>
        <w:t> </w:t>
      </w:r>
      <w:r>
        <w:rPr/>
        <w:t>√不适用</w:t>
      </w:r>
    </w:p>
    <w:p>
      <w:pPr>
        <w:spacing w:line="240" w:lineRule="auto" w:before="3"/>
        <w:rPr>
          <w:rFonts w:ascii="宋体" w:hAnsi="宋体" w:cs="宋体" w:eastAsia="宋体" w:hint="default"/>
          <w:sz w:val="25"/>
          <w:szCs w:val="25"/>
        </w:rPr>
      </w:pPr>
    </w:p>
    <w:p>
      <w:pPr>
        <w:pStyle w:val="Heading3"/>
        <w:spacing w:line="240" w:lineRule="auto"/>
        <w:ind w:right="0"/>
        <w:jc w:val="both"/>
        <w:rPr>
          <w:b w:val="0"/>
          <w:bCs w:val="0"/>
        </w:rPr>
      </w:pPr>
      <w:r>
        <w:rPr>
          <w:rFonts w:ascii="宋体" w:hAnsi="宋体" w:cs="宋体" w:eastAsia="宋体" w:hint="default"/>
        </w:rPr>
        <w:t>(</w:t>
      </w:r>
      <w:r>
        <w:rPr/>
        <w:t>二</w:t>
      </w:r>
      <w:r>
        <w:rPr>
          <w:rFonts w:ascii="宋体" w:hAnsi="宋体" w:cs="宋体" w:eastAsia="宋体" w:hint="default"/>
        </w:rPr>
        <w:t>)</w:t>
      </w:r>
      <w:r>
        <w:rPr/>
        <w:t>公司普通股股份总数及股东结构变动及公司资产和负债结构的变动情况</w:t>
      </w:r>
      <w:r>
        <w:rPr>
          <w:b w:val="0"/>
          <w:bCs w:val="0"/>
        </w:rPr>
      </w:r>
    </w:p>
    <w:p>
      <w:pPr>
        <w:pStyle w:val="BodyText"/>
        <w:spacing w:line="240" w:lineRule="auto" w:before="59"/>
        <w:ind w:right="0"/>
        <w:jc w:val="both"/>
      </w:pPr>
      <w:r>
        <w:rPr/>
        <w:t>√适用</w:t>
      </w:r>
      <w:r>
        <w:rPr>
          <w:spacing w:val="104"/>
        </w:rPr>
        <w:t> </w:t>
      </w:r>
      <w:r>
        <w:rPr/>
        <w:t>□不适用</w:t>
      </w:r>
    </w:p>
    <w:p>
      <w:pPr>
        <w:spacing w:after="0" w:line="240" w:lineRule="auto"/>
        <w:jc w:val="both"/>
        <w:sectPr>
          <w:pgSz w:w="11910" w:h="16840"/>
          <w:pgMar w:header="855" w:footer="1195" w:top="1320" w:bottom="1380" w:left="1580" w:right="1120"/>
        </w:sectPr>
      </w:pPr>
    </w:p>
    <w:p>
      <w:pPr>
        <w:spacing w:line="240" w:lineRule="auto" w:before="4"/>
        <w:rPr>
          <w:rFonts w:ascii="宋体" w:hAnsi="宋体" w:cs="宋体" w:eastAsia="宋体" w:hint="default"/>
          <w:sz w:val="9"/>
          <w:szCs w:val="9"/>
        </w:rPr>
      </w:pPr>
    </w:p>
    <w:p>
      <w:pPr>
        <w:pStyle w:val="BodyText"/>
        <w:spacing w:line="240" w:lineRule="auto" w:before="36"/>
        <w:ind w:left="638" w:right="0"/>
        <w:jc w:val="left"/>
      </w:pPr>
      <w:r>
        <w:rPr>
          <w:spacing w:val="-5"/>
        </w:rPr>
        <w:t>报告期内，公司于</w:t>
      </w:r>
      <w:r>
        <w:rPr>
          <w:spacing w:val="-40"/>
        </w:rPr>
        <w:t> </w:t>
      </w:r>
      <w:r>
        <w:rPr>
          <w:rFonts w:ascii="宋体" w:hAnsi="宋体" w:cs="宋体" w:eastAsia="宋体" w:hint="default"/>
        </w:rPr>
        <w:t>2017</w:t>
      </w:r>
      <w:r>
        <w:rPr>
          <w:rFonts w:ascii="宋体" w:hAnsi="宋体" w:cs="宋体" w:eastAsia="宋体" w:hint="default"/>
          <w:spacing w:val="-41"/>
        </w:rPr>
        <w:t> </w:t>
      </w:r>
      <w:r>
        <w:rPr/>
        <w:t>年</w:t>
      </w:r>
      <w:r>
        <w:rPr>
          <w:spacing w:val="-44"/>
        </w:rPr>
        <w:t> </w:t>
      </w:r>
      <w:r>
        <w:rPr>
          <w:rFonts w:ascii="宋体" w:hAnsi="宋体" w:cs="宋体" w:eastAsia="宋体" w:hint="default"/>
        </w:rPr>
        <w:t>3</w:t>
      </w:r>
      <w:r>
        <w:rPr>
          <w:rFonts w:ascii="宋体" w:hAnsi="宋体" w:cs="宋体" w:eastAsia="宋体" w:hint="default"/>
          <w:spacing w:val="-41"/>
        </w:rPr>
        <w:t> </w:t>
      </w:r>
      <w:r>
        <w:rPr/>
        <w:t>月</w:t>
      </w:r>
      <w:r>
        <w:rPr>
          <w:spacing w:val="-41"/>
        </w:rPr>
        <w:t> </w:t>
      </w:r>
      <w:r>
        <w:rPr>
          <w:rFonts w:ascii="宋体" w:hAnsi="宋体" w:cs="宋体" w:eastAsia="宋体" w:hint="default"/>
        </w:rPr>
        <w:t>8</w:t>
      </w:r>
      <w:r>
        <w:rPr>
          <w:rFonts w:ascii="宋体" w:hAnsi="宋体" w:cs="宋体" w:eastAsia="宋体" w:hint="default"/>
          <w:spacing w:val="-44"/>
        </w:rPr>
        <w:t> </w:t>
      </w:r>
      <w:r>
        <w:rPr>
          <w:spacing w:val="-5"/>
        </w:rPr>
        <w:t>日披露了《公司关于注销已回购股权激励股份的公告》，公</w:t>
      </w:r>
    </w:p>
    <w:p>
      <w:pPr>
        <w:pStyle w:val="BodyText"/>
        <w:spacing w:line="240" w:lineRule="auto" w:before="135"/>
        <w:ind w:right="147"/>
        <w:jc w:val="left"/>
      </w:pPr>
      <w:r>
        <w:rPr/>
        <w:t>司已注销共计</w:t>
      </w:r>
      <w:r>
        <w:rPr>
          <w:spacing w:val="-54"/>
        </w:rPr>
        <w:t> </w:t>
      </w:r>
      <w:r>
        <w:rPr>
          <w:rFonts w:ascii="宋体" w:hAnsi="宋体" w:cs="宋体" w:eastAsia="宋体" w:hint="default"/>
        </w:rPr>
        <w:t>75,632</w:t>
      </w:r>
      <w:r>
        <w:rPr>
          <w:rFonts w:ascii="宋体" w:hAnsi="宋体" w:cs="宋体" w:eastAsia="宋体" w:hint="default"/>
          <w:spacing w:val="-54"/>
        </w:rPr>
        <w:t> </w:t>
      </w:r>
      <w:r>
        <w:rPr/>
        <w:t>股限制性股票。</w:t>
      </w:r>
    </w:p>
    <w:p>
      <w:pPr>
        <w:pStyle w:val="BodyText"/>
        <w:spacing w:line="240" w:lineRule="auto" w:before="133"/>
        <w:ind w:left="638" w:right="0"/>
        <w:jc w:val="left"/>
      </w:pPr>
      <w:r>
        <w:rPr>
          <w:spacing w:val="-7"/>
        </w:rPr>
        <w:t>报告期内，公司于</w:t>
      </w:r>
      <w:r>
        <w:rPr>
          <w:spacing w:val="-50"/>
        </w:rPr>
        <w:t> </w:t>
      </w:r>
      <w:r>
        <w:rPr>
          <w:rFonts w:ascii="宋体" w:hAnsi="宋体" w:cs="宋体" w:eastAsia="宋体" w:hint="default"/>
        </w:rPr>
        <w:t>2017</w:t>
      </w:r>
      <w:r>
        <w:rPr>
          <w:rFonts w:ascii="宋体" w:hAnsi="宋体" w:cs="宋体" w:eastAsia="宋体" w:hint="default"/>
          <w:spacing w:val="-54"/>
        </w:rPr>
        <w:t> </w:t>
      </w:r>
      <w:r>
        <w:rPr/>
        <w:t>年</w:t>
      </w:r>
      <w:r>
        <w:rPr>
          <w:spacing w:val="-54"/>
        </w:rPr>
        <w:t> </w:t>
      </w:r>
      <w:r>
        <w:rPr>
          <w:rFonts w:ascii="宋体" w:hAnsi="宋体" w:cs="宋体" w:eastAsia="宋体" w:hint="default"/>
        </w:rPr>
        <w:t>6</w:t>
      </w:r>
      <w:r>
        <w:rPr>
          <w:rFonts w:ascii="宋体" w:hAnsi="宋体" w:cs="宋体" w:eastAsia="宋体" w:hint="default"/>
          <w:spacing w:val="-52"/>
        </w:rPr>
        <w:t> </w:t>
      </w:r>
      <w:r>
        <w:rPr/>
        <w:t>月</w:t>
      </w:r>
      <w:r>
        <w:rPr>
          <w:spacing w:val="-52"/>
        </w:rPr>
        <w:t> </w:t>
      </w:r>
      <w:r>
        <w:rPr>
          <w:rFonts w:ascii="宋体" w:hAnsi="宋体" w:cs="宋体" w:eastAsia="宋体" w:hint="default"/>
        </w:rPr>
        <w:t>24</w:t>
      </w:r>
      <w:r>
        <w:rPr>
          <w:rFonts w:ascii="宋体" w:hAnsi="宋体" w:cs="宋体" w:eastAsia="宋体" w:hint="default"/>
          <w:spacing w:val="-52"/>
        </w:rPr>
        <w:t> </w:t>
      </w:r>
      <w:r>
        <w:rPr>
          <w:spacing w:val="-8"/>
        </w:rPr>
        <w:t>日披露了《公司</w:t>
      </w:r>
      <w:r>
        <w:rPr>
          <w:spacing w:val="-54"/>
        </w:rPr>
        <w:t> </w:t>
      </w:r>
      <w:r>
        <w:rPr>
          <w:rFonts w:ascii="宋体" w:hAnsi="宋体" w:cs="宋体" w:eastAsia="宋体" w:hint="default"/>
        </w:rPr>
        <w:t>2017</w:t>
      </w:r>
      <w:r>
        <w:rPr>
          <w:rFonts w:ascii="宋体" w:hAnsi="宋体" w:cs="宋体" w:eastAsia="宋体" w:hint="default"/>
          <w:spacing w:val="-52"/>
        </w:rPr>
        <w:t> </w:t>
      </w:r>
      <w:r>
        <w:rPr/>
        <w:t>年股票期权与限制性股票激励计划股</w:t>
      </w:r>
    </w:p>
    <w:p>
      <w:pPr>
        <w:pStyle w:val="BodyText"/>
        <w:spacing w:line="355" w:lineRule="auto" w:before="133"/>
        <w:ind w:right="147"/>
        <w:jc w:val="left"/>
      </w:pPr>
      <w:r>
        <w:rPr>
          <w:spacing w:val="-14"/>
        </w:rPr>
        <w:t>份回购结果公告》，截至</w:t>
      </w:r>
      <w:r>
        <w:rPr>
          <w:spacing w:val="-49"/>
        </w:rPr>
        <w:t> </w:t>
      </w:r>
      <w:r>
        <w:rPr>
          <w:rFonts w:ascii="宋体" w:hAnsi="宋体" w:cs="宋体" w:eastAsia="宋体" w:hint="default"/>
        </w:rPr>
        <w:t>2017</w:t>
      </w:r>
      <w:r>
        <w:rPr>
          <w:rFonts w:ascii="宋体" w:hAnsi="宋体" w:cs="宋体" w:eastAsia="宋体" w:hint="default"/>
          <w:spacing w:val="-47"/>
        </w:rPr>
        <w:t> </w:t>
      </w:r>
      <w:r>
        <w:rPr/>
        <w:t>年</w:t>
      </w:r>
      <w:r>
        <w:rPr>
          <w:spacing w:val="-49"/>
        </w:rPr>
        <w:t> </w:t>
      </w:r>
      <w:r>
        <w:rPr>
          <w:rFonts w:ascii="宋体" w:hAnsi="宋体" w:cs="宋体" w:eastAsia="宋体" w:hint="default"/>
        </w:rPr>
        <w:t>6</w:t>
      </w:r>
      <w:r>
        <w:rPr>
          <w:rFonts w:ascii="宋体" w:hAnsi="宋体" w:cs="宋体" w:eastAsia="宋体" w:hint="default"/>
          <w:spacing w:val="-47"/>
        </w:rPr>
        <w:t> </w:t>
      </w:r>
      <w:r>
        <w:rPr/>
        <w:t>月</w:t>
      </w:r>
      <w:r>
        <w:rPr>
          <w:spacing w:val="-47"/>
        </w:rPr>
        <w:t> </w:t>
      </w:r>
      <w:r>
        <w:rPr>
          <w:rFonts w:ascii="宋体" w:hAnsi="宋体" w:cs="宋体" w:eastAsia="宋体" w:hint="default"/>
        </w:rPr>
        <w:t>22</w:t>
      </w:r>
      <w:r>
        <w:rPr>
          <w:rFonts w:ascii="宋体" w:hAnsi="宋体" w:cs="宋体" w:eastAsia="宋体" w:hint="default"/>
          <w:spacing w:val="-47"/>
        </w:rPr>
        <w:t> </w:t>
      </w:r>
      <w:r>
        <w:rPr>
          <w:spacing w:val="-6"/>
        </w:rPr>
        <w:t>日止，本次股份回购实际购买公司股票</w:t>
      </w:r>
      <w:r>
        <w:rPr>
          <w:spacing w:val="-49"/>
        </w:rPr>
        <w:t> </w:t>
      </w:r>
      <w:r>
        <w:rPr>
          <w:rFonts w:ascii="宋体" w:hAnsi="宋体" w:cs="宋体" w:eastAsia="宋体" w:hint="default"/>
        </w:rPr>
        <w:t>1932.6432</w:t>
      </w:r>
      <w:r>
        <w:rPr>
          <w:rFonts w:ascii="宋体" w:hAnsi="宋体" w:cs="宋体" w:eastAsia="宋体" w:hint="default"/>
          <w:spacing w:val="-49"/>
        </w:rPr>
        <w:t> </w:t>
      </w:r>
      <w:r>
        <w:rPr/>
        <w:t>万股，</w:t>
      </w:r>
      <w:r>
        <w:rPr>
          <w:spacing w:val="-102"/>
        </w:rPr>
        <w:t> </w:t>
      </w:r>
      <w:r>
        <w:rPr>
          <w:spacing w:val="-102"/>
        </w:rPr>
      </w:r>
      <w:r>
        <w:rPr/>
        <w:t>占公司股本总额（</w:t>
      </w:r>
      <w:r>
        <w:rPr>
          <w:rFonts w:ascii="宋体" w:hAnsi="宋体" w:cs="宋体" w:eastAsia="宋体" w:hint="default"/>
        </w:rPr>
        <w:t>146,421.78</w:t>
      </w:r>
      <w:r>
        <w:rPr>
          <w:rFonts w:ascii="宋体" w:hAnsi="宋体" w:cs="宋体" w:eastAsia="宋体" w:hint="default"/>
          <w:spacing w:val="-56"/>
        </w:rPr>
        <w:t> </w:t>
      </w:r>
      <w:r>
        <w:rPr/>
        <w:t>万股）的</w:t>
      </w:r>
      <w:r>
        <w:rPr>
          <w:spacing w:val="-57"/>
        </w:rPr>
        <w:t> </w:t>
      </w:r>
      <w:r>
        <w:rPr>
          <w:rFonts w:ascii="宋体" w:hAnsi="宋体" w:cs="宋体" w:eastAsia="宋体" w:hint="default"/>
        </w:rPr>
        <w:t>1.32%</w:t>
      </w:r>
      <w:r>
        <w:rPr/>
        <w:t>。</w:t>
      </w:r>
    </w:p>
    <w:p>
      <w:pPr>
        <w:pStyle w:val="Heading3"/>
        <w:spacing w:line="240" w:lineRule="auto" w:before="92"/>
        <w:ind w:right="147"/>
        <w:jc w:val="left"/>
        <w:rPr>
          <w:b w:val="0"/>
          <w:bCs w:val="0"/>
        </w:rPr>
      </w:pPr>
      <w:r>
        <w:rPr>
          <w:rFonts w:ascii="宋体" w:hAnsi="宋体" w:cs="宋体" w:eastAsia="宋体" w:hint="default"/>
        </w:rPr>
        <w:t>(</w:t>
      </w:r>
      <w:r>
        <w:rPr/>
        <w:t>三</w:t>
      </w:r>
      <w:r>
        <w:rPr>
          <w:rFonts w:ascii="宋体" w:hAnsi="宋体" w:cs="宋体" w:eastAsia="宋体" w:hint="default"/>
        </w:rPr>
        <w:t>)</w:t>
      </w:r>
      <w:r>
        <w:rPr/>
        <w:t>现存的内部职工股情况</w:t>
      </w:r>
      <w:r>
        <w:rPr>
          <w:b w:val="0"/>
          <w:bCs w:val="0"/>
        </w:rPr>
      </w:r>
    </w:p>
    <w:p>
      <w:pPr>
        <w:pStyle w:val="BodyText"/>
        <w:spacing w:line="240" w:lineRule="auto" w:before="58"/>
        <w:ind w:right="147"/>
        <w:jc w:val="left"/>
      </w:pPr>
      <w:r>
        <w:rPr/>
        <w:t>□适用</w:t>
      </w:r>
      <w:r>
        <w:rPr>
          <w:spacing w:val="-1"/>
        </w:rPr>
        <w:t> </w:t>
      </w:r>
      <w:r>
        <w:rPr/>
        <w:t>√不适用</w:t>
      </w:r>
    </w:p>
    <w:p>
      <w:pPr>
        <w:pStyle w:val="Heading3"/>
        <w:spacing w:line="240" w:lineRule="auto" w:before="56"/>
        <w:ind w:right="147"/>
        <w:jc w:val="left"/>
        <w:rPr>
          <w:b w:val="0"/>
          <w:bCs w:val="0"/>
        </w:rPr>
      </w:pPr>
      <w:r>
        <w:rPr/>
        <w:t>三、</w:t>
      </w:r>
      <w:r>
        <w:rPr>
          <w:spacing w:val="-80"/>
        </w:rPr>
        <w:t> </w:t>
      </w:r>
      <w:r>
        <w:rPr/>
        <w:t>股东和实际控制人情况</w:t>
      </w:r>
      <w:r>
        <w:rPr>
          <w:b w:val="0"/>
          <w:bCs w:val="0"/>
        </w:rPr>
      </w:r>
    </w:p>
    <w:p>
      <w:pPr>
        <w:pStyle w:val="Heading3"/>
        <w:spacing w:line="240" w:lineRule="auto" w:before="58"/>
        <w:ind w:right="147"/>
        <w:jc w:val="left"/>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39"/>
        </w:rPr>
        <w:t> </w:t>
      </w:r>
      <w:r>
        <w:rPr/>
        <w:t>股东总数</w:t>
      </w:r>
      <w:r>
        <w:rPr>
          <w:b w:val="0"/>
          <w:bCs w:val="0"/>
        </w:rPr>
      </w:r>
    </w:p>
    <w:p>
      <w:pPr>
        <w:spacing w:line="240" w:lineRule="auto" w:before="12"/>
        <w:rPr>
          <w:rFonts w:ascii="宋体" w:hAnsi="宋体" w:cs="宋体" w:eastAsia="宋体" w:hint="default"/>
          <w:b/>
          <w:bCs/>
          <w:sz w:val="4"/>
          <w:szCs w:val="4"/>
        </w:rPr>
      </w:pPr>
    </w:p>
    <w:tbl>
      <w:tblPr>
        <w:tblW w:w="0" w:type="auto"/>
        <w:jc w:val="left"/>
        <w:tblInd w:w="105" w:type="dxa"/>
        <w:tblLayout w:type="fixed"/>
        <w:tblCellMar>
          <w:top w:w="0" w:type="dxa"/>
          <w:left w:w="0" w:type="dxa"/>
          <w:bottom w:w="0" w:type="dxa"/>
          <w:right w:w="0" w:type="dxa"/>
        </w:tblCellMar>
        <w:tblLook w:val="01E0"/>
      </w:tblPr>
      <w:tblGrid>
        <w:gridCol w:w="4412"/>
        <w:gridCol w:w="4412"/>
      </w:tblGrid>
      <w:tr>
        <w:trPr>
          <w:trHeight w:val="283"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截止报告期末普通股股东总数</w:t>
            </w:r>
            <w:r>
              <w:rPr>
                <w:rFonts w:ascii="宋体" w:hAnsi="宋体" w:cs="宋体" w:eastAsia="宋体" w:hint="default"/>
                <w:sz w:val="21"/>
                <w:szCs w:val="21"/>
              </w:rPr>
              <w:t>(</w:t>
            </w:r>
            <w:r>
              <w:rPr>
                <w:rFonts w:ascii="宋体" w:hAnsi="宋体" w:cs="宋体" w:eastAsia="宋体" w:hint="default"/>
                <w:sz w:val="21"/>
                <w:szCs w:val="21"/>
              </w:rPr>
              <w:t>户</w:t>
            </w:r>
            <w:r>
              <w:rPr>
                <w:rFonts w:ascii="宋体" w:hAnsi="宋体" w:cs="宋体" w:eastAsia="宋体" w:hint="default"/>
                <w:sz w:val="21"/>
                <w:szCs w:val="21"/>
              </w:rPr>
              <w:t>)</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67,410</w:t>
            </w:r>
          </w:p>
        </w:tc>
      </w:tr>
      <w:tr>
        <w:trPr>
          <w:trHeight w:val="554"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8"/>
                <w:sz w:val="21"/>
                <w:szCs w:val="21"/>
              </w:rPr>
              <w:t>年度报告披露日前上一月末的普通股股东总</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数</w:t>
            </w:r>
            <w:r>
              <w:rPr>
                <w:rFonts w:ascii="宋体" w:hAnsi="宋体" w:cs="宋体" w:eastAsia="宋体" w:hint="default"/>
                <w:sz w:val="21"/>
                <w:szCs w:val="21"/>
              </w:rPr>
              <w:t>(</w:t>
            </w:r>
            <w:r>
              <w:rPr>
                <w:rFonts w:ascii="宋体" w:hAnsi="宋体" w:cs="宋体" w:eastAsia="宋体" w:hint="default"/>
                <w:sz w:val="21"/>
                <w:szCs w:val="21"/>
              </w:rPr>
              <w:t>户</w:t>
            </w:r>
            <w:r>
              <w:rPr>
                <w:rFonts w:ascii="宋体" w:hAnsi="宋体" w:cs="宋体" w:eastAsia="宋体" w:hint="default"/>
                <w:sz w:val="21"/>
                <w:szCs w:val="21"/>
              </w:rPr>
              <w:t>)</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64,746</w:t>
            </w:r>
          </w:p>
        </w:tc>
      </w:tr>
      <w:tr>
        <w:trPr>
          <w:trHeight w:val="554"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8"/>
                <w:sz w:val="21"/>
                <w:szCs w:val="21"/>
              </w:rPr>
              <w:t>截止报告期末表决权恢复的优先股股东总数</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（户）</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r>
      <w:tr>
        <w:trPr>
          <w:trHeight w:val="557"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8"/>
                <w:sz w:val="21"/>
                <w:szCs w:val="21"/>
              </w:rPr>
              <w:t>年度报告披露日前上一月末表决权恢复的优</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先股股东总数（户）</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r>
    </w:tbl>
    <w:p>
      <w:pPr>
        <w:spacing w:line="240" w:lineRule="auto" w:before="12"/>
        <w:rPr>
          <w:rFonts w:ascii="宋体" w:hAnsi="宋体" w:cs="宋体" w:eastAsia="宋体" w:hint="default"/>
          <w:b/>
          <w:bCs/>
          <w:sz w:val="19"/>
          <w:szCs w:val="19"/>
        </w:rPr>
      </w:pPr>
    </w:p>
    <w:p>
      <w:pPr>
        <w:spacing w:after="0" w:line="240" w:lineRule="auto"/>
        <w:rPr>
          <w:rFonts w:ascii="宋体" w:hAnsi="宋体" w:cs="宋体" w:eastAsia="宋体" w:hint="default"/>
          <w:sz w:val="19"/>
          <w:szCs w:val="19"/>
        </w:rPr>
        <w:sectPr>
          <w:pgSz w:w="11910" w:h="16840"/>
          <w:pgMar w:header="855" w:footer="1195" w:top="1320" w:bottom="1380" w:left="1580" w:right="1120"/>
        </w:sectPr>
      </w:pPr>
    </w:p>
    <w:p>
      <w:pPr>
        <w:pStyle w:val="Heading3"/>
        <w:spacing w:line="240" w:lineRule="auto" w:before="36"/>
        <w:ind w:right="-15"/>
        <w:jc w:val="left"/>
        <w:rPr>
          <w:b w:val="0"/>
          <w:bCs w:val="0"/>
        </w:rPr>
      </w:pPr>
      <w:r>
        <w:rPr>
          <w:rFonts w:ascii="Calibri" w:hAnsi="Calibri" w:cs="Calibri" w:eastAsia="Calibri" w:hint="default"/>
        </w:rPr>
        <w:t>(</w:t>
      </w:r>
      <w:r>
        <w:rPr/>
        <w:t>二</w:t>
      </w:r>
      <w:r>
        <w:rPr>
          <w:rFonts w:ascii="Calibri" w:hAnsi="Calibri" w:cs="Calibri" w:eastAsia="Calibri" w:hint="default"/>
        </w:rPr>
        <w:t>)</w:t>
      </w:r>
      <w:r>
        <w:rPr>
          <w:rFonts w:ascii="Calibri" w:hAnsi="Calibri" w:cs="Calibri" w:eastAsia="Calibri" w:hint="default"/>
          <w:spacing w:val="32"/>
        </w:rPr>
        <w:t> </w:t>
      </w:r>
      <w:r>
        <w:rPr/>
        <w:t>截止报告期末前十名股东、前十名流通股东（或无限售条件股东）持股情况表</w:t>
      </w:r>
      <w:r>
        <w:rPr>
          <w:b w:val="0"/>
          <w:bCs w:val="0"/>
        </w:rPr>
      </w:r>
    </w:p>
    <w:p>
      <w:pPr>
        <w:spacing w:line="240" w:lineRule="auto" w:before="3"/>
        <w:rPr>
          <w:rFonts w:ascii="宋体" w:hAnsi="宋体" w:cs="宋体" w:eastAsia="宋体" w:hint="default"/>
          <w:b/>
          <w:bCs/>
          <w:sz w:val="28"/>
          <w:szCs w:val="28"/>
        </w:rPr>
      </w:pPr>
      <w:r>
        <w:rPr/>
        <w:br w:type="column"/>
      </w:r>
      <w:r>
        <w:rPr>
          <w:rFonts w:ascii="宋体"/>
          <w:b/>
          <w:sz w:val="28"/>
        </w:rPr>
      </w:r>
    </w:p>
    <w:p>
      <w:pPr>
        <w:pStyle w:val="BodyText"/>
        <w:spacing w:line="240" w:lineRule="auto"/>
        <w:ind w:right="0"/>
        <w:jc w:val="left"/>
      </w:pPr>
      <w:r>
        <w:rPr/>
        <w:t>单位</w:t>
      </w:r>
      <w:r>
        <w:rPr>
          <w:rFonts w:ascii="宋体" w:hAnsi="宋体" w:cs="宋体" w:eastAsia="宋体" w:hint="default"/>
        </w:rPr>
        <w:t>:</w:t>
      </w:r>
      <w:r>
        <w:rPr/>
        <w:t>股</w:t>
      </w:r>
    </w:p>
    <w:p>
      <w:pPr>
        <w:spacing w:after="0" w:line="240" w:lineRule="auto"/>
        <w:jc w:val="left"/>
        <w:sectPr>
          <w:type w:val="continuous"/>
          <w:pgSz w:w="11910" w:h="16840"/>
          <w:pgMar w:top="1320" w:bottom="1380" w:left="1580" w:right="1120"/>
          <w:cols w:num="2" w:equalWidth="0">
            <w:col w:w="7813" w:space="287"/>
            <w:col w:w="1110"/>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206"/>
        <w:gridCol w:w="1596"/>
        <w:gridCol w:w="1371"/>
        <w:gridCol w:w="742"/>
        <w:gridCol w:w="427"/>
        <w:gridCol w:w="425"/>
        <w:gridCol w:w="1373"/>
        <w:gridCol w:w="684"/>
      </w:tblGrid>
      <w:tr>
        <w:trPr>
          <w:trHeight w:val="283" w:hRule="exact"/>
        </w:trPr>
        <w:tc>
          <w:tcPr>
            <w:tcW w:w="8824" w:type="dxa"/>
            <w:gridSpan w:val="8"/>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前十名股东持股情况</w:t>
            </w:r>
          </w:p>
        </w:tc>
      </w:tr>
      <w:tr>
        <w:trPr>
          <w:trHeight w:val="281" w:hRule="exact"/>
        </w:trPr>
        <w:tc>
          <w:tcPr>
            <w:tcW w:w="220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4" w:lineRule="exact" w:before="143"/>
              <w:ind w:left="676" w:right="0"/>
              <w:jc w:val="left"/>
              <w:rPr>
                <w:rFonts w:ascii="宋体" w:hAnsi="宋体" w:cs="宋体" w:eastAsia="宋体" w:hint="default"/>
                <w:sz w:val="21"/>
                <w:szCs w:val="21"/>
              </w:rPr>
            </w:pPr>
            <w:r>
              <w:rPr>
                <w:rFonts w:ascii="宋体" w:hAnsi="宋体" w:cs="宋体" w:eastAsia="宋体" w:hint="default"/>
                <w:sz w:val="21"/>
                <w:szCs w:val="21"/>
              </w:rPr>
              <w:t>股东名称</w:t>
            </w:r>
          </w:p>
          <w:p>
            <w:pPr>
              <w:pStyle w:val="TableParagraph"/>
              <w:spacing w:line="274" w:lineRule="exact"/>
              <w:ind w:left="676" w:right="0"/>
              <w:jc w:val="left"/>
              <w:rPr>
                <w:rFonts w:ascii="宋体" w:hAnsi="宋体" w:cs="宋体" w:eastAsia="宋体" w:hint="default"/>
                <w:sz w:val="21"/>
                <w:szCs w:val="21"/>
              </w:rPr>
            </w:pPr>
            <w:r>
              <w:rPr>
                <w:rFonts w:ascii="宋体" w:hAnsi="宋体" w:cs="宋体" w:eastAsia="宋体" w:hint="default"/>
                <w:sz w:val="21"/>
                <w:szCs w:val="21"/>
              </w:rPr>
              <w:t>（全称）</w:t>
            </w:r>
          </w:p>
        </w:tc>
        <w:tc>
          <w:tcPr>
            <w:tcW w:w="159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163" w:right="0"/>
              <w:jc w:val="left"/>
              <w:rPr>
                <w:rFonts w:ascii="宋体" w:hAnsi="宋体" w:cs="宋体" w:eastAsia="宋体" w:hint="default"/>
                <w:sz w:val="21"/>
                <w:szCs w:val="21"/>
              </w:rPr>
            </w:pPr>
            <w:r>
              <w:rPr>
                <w:rFonts w:ascii="宋体" w:hAnsi="宋体" w:cs="宋体" w:eastAsia="宋体" w:hint="default"/>
                <w:sz w:val="21"/>
                <w:szCs w:val="21"/>
              </w:rPr>
              <w:t>报告期内增减</w:t>
            </w:r>
          </w:p>
        </w:tc>
        <w:tc>
          <w:tcPr>
            <w:tcW w:w="137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3"/>
              <w:ind w:left="573" w:right="151" w:hanging="420"/>
              <w:jc w:val="left"/>
              <w:rPr>
                <w:rFonts w:ascii="宋体" w:hAnsi="宋体" w:cs="宋体" w:eastAsia="宋体" w:hint="default"/>
                <w:sz w:val="21"/>
                <w:szCs w:val="21"/>
              </w:rPr>
            </w:pPr>
            <w:r>
              <w:rPr>
                <w:rFonts w:ascii="宋体" w:hAnsi="宋体" w:cs="宋体" w:eastAsia="宋体" w:hint="default"/>
                <w:sz w:val="21"/>
                <w:szCs w:val="21"/>
              </w:rPr>
              <w:t>期末持股数</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量</w:t>
            </w:r>
          </w:p>
        </w:tc>
        <w:tc>
          <w:tcPr>
            <w:tcW w:w="74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3"/>
              <w:ind w:left="208" w:right="151" w:hanging="53"/>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pacing w:val="-103"/>
                <w:sz w:val="21"/>
                <w:szCs w:val="21"/>
              </w:rPr>
              <w:t> </w:t>
            </w:r>
            <w:r>
              <w:rPr>
                <w:rFonts w:ascii="宋体" w:hAnsi="宋体" w:cs="宋体" w:eastAsia="宋体" w:hint="default"/>
                <w:sz w:val="21"/>
                <w:szCs w:val="21"/>
              </w:rPr>
              <w:t>(%)</w:t>
            </w:r>
          </w:p>
        </w:tc>
        <w:tc>
          <w:tcPr>
            <w:tcW w:w="427" w:type="dxa"/>
            <w:vMerge w:val="restart"/>
            <w:tcBorders>
              <w:top w:val="single" w:sz="4" w:space="0" w:color="000000"/>
              <w:left w:val="single" w:sz="4" w:space="0" w:color="000000"/>
              <w:right w:val="single" w:sz="4" w:space="0" w:color="000000"/>
            </w:tcBorders>
          </w:tcPr>
          <w:p>
            <w:pPr>
              <w:pStyle w:val="TableParagraph"/>
              <w:spacing w:line="239" w:lineRule="exact"/>
              <w:ind w:left="103" w:right="0"/>
              <w:jc w:val="both"/>
              <w:rPr>
                <w:rFonts w:ascii="宋体" w:hAnsi="宋体" w:cs="宋体" w:eastAsia="宋体" w:hint="default"/>
                <w:sz w:val="21"/>
                <w:szCs w:val="21"/>
              </w:rPr>
            </w:pPr>
            <w:r>
              <w:rPr>
                <w:rFonts w:ascii="宋体" w:hAnsi="宋体" w:cs="宋体" w:eastAsia="宋体" w:hint="default"/>
                <w:w w:val="100"/>
                <w:sz w:val="21"/>
                <w:szCs w:val="21"/>
              </w:rPr>
              <w:t>持</w:t>
            </w:r>
          </w:p>
          <w:p>
            <w:pPr>
              <w:pStyle w:val="TableParagraph"/>
              <w:spacing w:line="237" w:lineRule="auto"/>
              <w:ind w:left="103" w:right="101"/>
              <w:jc w:val="both"/>
              <w:rPr>
                <w:rFonts w:ascii="宋体" w:hAnsi="宋体" w:cs="宋体" w:eastAsia="宋体" w:hint="default"/>
                <w:sz w:val="21"/>
                <w:szCs w:val="21"/>
              </w:rPr>
            </w:pPr>
            <w:r>
              <w:rPr>
                <w:rFonts w:ascii="宋体" w:hAnsi="宋体" w:cs="宋体" w:eastAsia="宋体" w:hint="default"/>
                <w:sz w:val="21"/>
                <w:szCs w:val="21"/>
              </w:rPr>
              <w:t>有</w:t>
            </w:r>
            <w:r>
              <w:rPr>
                <w:rFonts w:ascii="宋体" w:hAnsi="宋体" w:cs="宋体" w:eastAsia="宋体" w:hint="default"/>
                <w:w w:val="100"/>
                <w:sz w:val="21"/>
                <w:szCs w:val="21"/>
              </w:rPr>
              <w:t> </w:t>
            </w:r>
            <w:r>
              <w:rPr>
                <w:rFonts w:ascii="宋体" w:hAnsi="宋体" w:cs="宋体" w:eastAsia="宋体" w:hint="default"/>
                <w:sz w:val="21"/>
                <w:szCs w:val="21"/>
              </w:rPr>
              <w:t>有</w:t>
            </w:r>
            <w:r>
              <w:rPr>
                <w:rFonts w:ascii="宋体" w:hAnsi="宋体" w:cs="宋体" w:eastAsia="宋体" w:hint="default"/>
                <w:w w:val="100"/>
                <w:sz w:val="21"/>
                <w:szCs w:val="21"/>
              </w:rPr>
              <w:t> </w:t>
            </w:r>
            <w:r>
              <w:rPr>
                <w:rFonts w:ascii="宋体" w:hAnsi="宋体" w:cs="宋体" w:eastAsia="宋体" w:hint="default"/>
                <w:sz w:val="21"/>
                <w:szCs w:val="21"/>
              </w:rPr>
              <w:t>限</w:t>
            </w:r>
            <w:r>
              <w:rPr>
                <w:rFonts w:ascii="宋体" w:hAnsi="宋体" w:cs="宋体" w:eastAsia="宋体" w:hint="default"/>
                <w:w w:val="100"/>
                <w:sz w:val="21"/>
                <w:szCs w:val="21"/>
              </w:rPr>
              <w:t> </w:t>
            </w:r>
            <w:r>
              <w:rPr>
                <w:rFonts w:ascii="宋体" w:hAnsi="宋体" w:cs="宋体" w:eastAsia="宋体" w:hint="default"/>
                <w:sz w:val="21"/>
                <w:szCs w:val="21"/>
              </w:rPr>
              <w:t>售</w:t>
            </w:r>
            <w:r>
              <w:rPr>
                <w:rFonts w:ascii="宋体" w:hAnsi="宋体" w:cs="宋体" w:eastAsia="宋体" w:hint="default"/>
                <w:w w:val="100"/>
                <w:sz w:val="21"/>
                <w:szCs w:val="21"/>
              </w:rPr>
              <w:t> </w:t>
            </w:r>
            <w:r>
              <w:rPr>
                <w:rFonts w:ascii="宋体" w:hAnsi="宋体" w:cs="宋体" w:eastAsia="宋体" w:hint="default"/>
                <w:sz w:val="21"/>
                <w:szCs w:val="21"/>
              </w:rPr>
              <w:t>条</w:t>
            </w:r>
            <w:r>
              <w:rPr>
                <w:rFonts w:ascii="宋体" w:hAnsi="宋体" w:cs="宋体" w:eastAsia="宋体" w:hint="default"/>
                <w:w w:val="100"/>
                <w:sz w:val="21"/>
                <w:szCs w:val="21"/>
              </w:rPr>
              <w:t> </w:t>
            </w:r>
            <w:r>
              <w:rPr>
                <w:rFonts w:ascii="宋体" w:hAnsi="宋体" w:cs="宋体" w:eastAsia="宋体" w:hint="default"/>
                <w:sz w:val="21"/>
                <w:szCs w:val="21"/>
              </w:rPr>
              <w:t>件</w:t>
            </w:r>
            <w:r>
              <w:rPr>
                <w:rFonts w:ascii="宋体" w:hAnsi="宋体" w:cs="宋体" w:eastAsia="宋体" w:hint="default"/>
                <w:w w:val="100"/>
                <w:sz w:val="21"/>
                <w:szCs w:val="21"/>
              </w:rPr>
              <w:t> </w:t>
            </w:r>
            <w:r>
              <w:rPr>
                <w:rFonts w:ascii="宋体" w:hAnsi="宋体" w:cs="宋体" w:eastAsia="宋体" w:hint="default"/>
                <w:sz w:val="21"/>
                <w:szCs w:val="21"/>
              </w:rPr>
              <w:t>股</w:t>
            </w:r>
            <w:r>
              <w:rPr>
                <w:rFonts w:ascii="宋体" w:hAnsi="宋体" w:cs="宋体" w:eastAsia="宋体" w:hint="default"/>
                <w:w w:val="100"/>
                <w:sz w:val="21"/>
                <w:szCs w:val="21"/>
              </w:rPr>
              <w:t> </w:t>
            </w:r>
            <w:r>
              <w:rPr>
                <w:rFonts w:ascii="宋体" w:hAnsi="宋体" w:cs="宋体" w:eastAsia="宋体" w:hint="default"/>
                <w:sz w:val="21"/>
                <w:szCs w:val="21"/>
              </w:rPr>
              <w:t>份</w:t>
            </w:r>
            <w:r>
              <w:rPr>
                <w:rFonts w:ascii="宋体" w:hAnsi="宋体" w:cs="宋体" w:eastAsia="宋体" w:hint="default"/>
                <w:w w:val="100"/>
                <w:sz w:val="21"/>
                <w:szCs w:val="21"/>
              </w:rPr>
              <w:t> </w:t>
            </w:r>
            <w:r>
              <w:rPr>
                <w:rFonts w:ascii="宋体" w:hAnsi="宋体" w:cs="宋体" w:eastAsia="宋体" w:hint="default"/>
                <w:sz w:val="21"/>
                <w:szCs w:val="21"/>
              </w:rPr>
              <w:t>数</w:t>
            </w:r>
            <w:r>
              <w:rPr>
                <w:rFonts w:ascii="宋体" w:hAnsi="宋体" w:cs="宋体" w:eastAsia="宋体" w:hint="default"/>
                <w:w w:val="100"/>
                <w:sz w:val="21"/>
                <w:szCs w:val="21"/>
              </w:rPr>
              <w:t> </w:t>
            </w:r>
            <w:r>
              <w:rPr>
                <w:rFonts w:ascii="宋体" w:hAnsi="宋体" w:cs="宋体" w:eastAsia="宋体" w:hint="default"/>
                <w:sz w:val="21"/>
                <w:szCs w:val="21"/>
              </w:rPr>
              <w:t>量</w:t>
            </w:r>
          </w:p>
        </w:tc>
        <w:tc>
          <w:tcPr>
            <w:tcW w:w="179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55" w:right="0"/>
              <w:jc w:val="left"/>
              <w:rPr>
                <w:rFonts w:ascii="宋体" w:hAnsi="宋体" w:cs="宋体" w:eastAsia="宋体" w:hint="default"/>
                <w:sz w:val="21"/>
                <w:szCs w:val="21"/>
              </w:rPr>
            </w:pPr>
            <w:r>
              <w:rPr>
                <w:rFonts w:ascii="宋体" w:hAnsi="宋体" w:cs="宋体" w:eastAsia="宋体" w:hint="default"/>
                <w:sz w:val="21"/>
                <w:szCs w:val="21"/>
              </w:rPr>
              <w:t>质押或冻结情况</w:t>
            </w:r>
          </w:p>
        </w:tc>
        <w:tc>
          <w:tcPr>
            <w:tcW w:w="68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3"/>
              <w:ind w:left="127" w:right="122"/>
              <w:jc w:val="left"/>
              <w:rPr>
                <w:rFonts w:ascii="宋体" w:hAnsi="宋体" w:cs="宋体" w:eastAsia="宋体" w:hint="default"/>
                <w:sz w:val="21"/>
                <w:szCs w:val="21"/>
              </w:rPr>
            </w:pPr>
            <w:r>
              <w:rPr>
                <w:rFonts w:ascii="宋体" w:hAnsi="宋体" w:cs="宋体" w:eastAsia="宋体" w:hint="default"/>
                <w:sz w:val="21"/>
                <w:szCs w:val="21"/>
              </w:rPr>
              <w:t>股东</w:t>
            </w:r>
            <w:r>
              <w:rPr>
                <w:rFonts w:ascii="宋体" w:hAnsi="宋体" w:cs="宋体" w:eastAsia="宋体" w:hint="default"/>
                <w:spacing w:val="-103"/>
                <w:sz w:val="21"/>
                <w:szCs w:val="21"/>
              </w:rPr>
              <w:t> </w:t>
            </w:r>
            <w:r>
              <w:rPr>
                <w:rFonts w:ascii="宋体" w:hAnsi="宋体" w:cs="宋体" w:eastAsia="宋体" w:hint="default"/>
                <w:sz w:val="21"/>
                <w:szCs w:val="21"/>
              </w:rPr>
              <w:t>性质</w:t>
            </w:r>
          </w:p>
        </w:tc>
      </w:tr>
      <w:tr>
        <w:trPr>
          <w:trHeight w:val="2724" w:hRule="exact"/>
        </w:trPr>
        <w:tc>
          <w:tcPr>
            <w:tcW w:w="2206" w:type="dxa"/>
            <w:vMerge/>
            <w:tcBorders>
              <w:left w:val="single" w:sz="4" w:space="0" w:color="000000"/>
              <w:bottom w:val="single" w:sz="4" w:space="0" w:color="000000"/>
              <w:right w:val="single" w:sz="4" w:space="0" w:color="000000"/>
            </w:tcBorders>
          </w:tcPr>
          <w:p>
            <w:pPr/>
          </w:p>
        </w:tc>
        <w:tc>
          <w:tcPr>
            <w:tcW w:w="1596" w:type="dxa"/>
            <w:vMerge/>
            <w:tcBorders>
              <w:left w:val="single" w:sz="4" w:space="0" w:color="000000"/>
              <w:bottom w:val="single" w:sz="4" w:space="0" w:color="000000"/>
              <w:right w:val="single" w:sz="4" w:space="0" w:color="000000"/>
            </w:tcBorders>
          </w:tcPr>
          <w:p>
            <w:pPr/>
          </w:p>
        </w:tc>
        <w:tc>
          <w:tcPr>
            <w:tcW w:w="1371" w:type="dxa"/>
            <w:vMerge/>
            <w:tcBorders>
              <w:left w:val="single" w:sz="4" w:space="0" w:color="000000"/>
              <w:bottom w:val="single" w:sz="4" w:space="0" w:color="000000"/>
              <w:right w:val="single" w:sz="4" w:space="0" w:color="000000"/>
            </w:tcBorders>
          </w:tcPr>
          <w:p>
            <w:pPr/>
          </w:p>
        </w:tc>
        <w:tc>
          <w:tcPr>
            <w:tcW w:w="742" w:type="dxa"/>
            <w:vMerge/>
            <w:tcBorders>
              <w:left w:val="single" w:sz="4" w:space="0" w:color="000000"/>
              <w:bottom w:val="single" w:sz="4" w:space="0" w:color="000000"/>
              <w:right w:val="single" w:sz="4" w:space="0" w:color="000000"/>
            </w:tcBorders>
          </w:tcPr>
          <w:p>
            <w:pPr/>
          </w:p>
        </w:tc>
        <w:tc>
          <w:tcPr>
            <w:tcW w:w="427" w:type="dxa"/>
            <w:vMerge/>
            <w:tcBorders>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37" w:lineRule="auto"/>
              <w:ind w:left="100" w:right="101"/>
              <w:jc w:val="both"/>
              <w:rPr>
                <w:rFonts w:ascii="宋体" w:hAnsi="宋体" w:cs="宋体" w:eastAsia="宋体" w:hint="default"/>
                <w:sz w:val="21"/>
                <w:szCs w:val="21"/>
              </w:rPr>
            </w:pPr>
            <w:r>
              <w:rPr>
                <w:rFonts w:ascii="宋体" w:hAnsi="宋体" w:cs="宋体" w:eastAsia="宋体" w:hint="default"/>
                <w:sz w:val="21"/>
                <w:szCs w:val="21"/>
              </w:rPr>
              <w:t>股</w:t>
            </w:r>
            <w:r>
              <w:rPr>
                <w:rFonts w:ascii="宋体" w:hAnsi="宋体" w:cs="宋体" w:eastAsia="宋体" w:hint="default"/>
                <w:w w:val="100"/>
                <w:sz w:val="21"/>
                <w:szCs w:val="21"/>
              </w:rPr>
              <w:t> </w:t>
            </w:r>
            <w:r>
              <w:rPr>
                <w:rFonts w:ascii="宋体" w:hAnsi="宋体" w:cs="宋体" w:eastAsia="宋体" w:hint="default"/>
                <w:sz w:val="21"/>
                <w:szCs w:val="21"/>
              </w:rPr>
              <w:t>份</w:t>
            </w:r>
            <w:r>
              <w:rPr>
                <w:rFonts w:ascii="宋体" w:hAnsi="宋体" w:cs="宋体" w:eastAsia="宋体" w:hint="default"/>
                <w:w w:val="100"/>
                <w:sz w:val="21"/>
                <w:szCs w:val="21"/>
              </w:rPr>
              <w:t> </w:t>
            </w:r>
            <w:r>
              <w:rPr>
                <w:rFonts w:ascii="宋体" w:hAnsi="宋体" w:cs="宋体" w:eastAsia="宋体" w:hint="default"/>
                <w:sz w:val="21"/>
                <w:szCs w:val="21"/>
              </w:rPr>
              <w:t>状</w:t>
            </w:r>
            <w:r>
              <w:rPr>
                <w:rFonts w:ascii="宋体" w:hAnsi="宋体" w:cs="宋体" w:eastAsia="宋体" w:hint="default"/>
                <w:w w:val="100"/>
                <w:sz w:val="21"/>
                <w:szCs w:val="21"/>
              </w:rPr>
              <w:t> </w:t>
            </w:r>
            <w:r>
              <w:rPr>
                <w:rFonts w:ascii="宋体" w:hAnsi="宋体" w:cs="宋体" w:eastAsia="宋体" w:hint="default"/>
                <w:sz w:val="21"/>
                <w:szCs w:val="21"/>
              </w:rPr>
              <w:t>态</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0"/>
              <w:ind w:right="0"/>
              <w:jc w:val="center"/>
              <w:rPr>
                <w:rFonts w:ascii="宋体" w:hAnsi="宋体" w:cs="宋体" w:eastAsia="宋体" w:hint="default"/>
                <w:sz w:val="21"/>
                <w:szCs w:val="21"/>
              </w:rPr>
            </w:pPr>
            <w:r>
              <w:rPr>
                <w:rFonts w:ascii="宋体" w:hAnsi="宋体" w:cs="宋体" w:eastAsia="宋体" w:hint="default"/>
                <w:sz w:val="21"/>
                <w:szCs w:val="21"/>
              </w:rPr>
              <w:t>数量</w:t>
            </w:r>
          </w:p>
        </w:tc>
        <w:tc>
          <w:tcPr>
            <w:tcW w:w="684" w:type="dxa"/>
            <w:vMerge/>
            <w:tcBorders>
              <w:left w:val="single" w:sz="4" w:space="0" w:color="000000"/>
              <w:bottom w:val="single" w:sz="4" w:space="0" w:color="000000"/>
              <w:right w:val="single" w:sz="4" w:space="0" w:color="000000"/>
            </w:tcBorders>
          </w:tcPr>
          <w:p>
            <w:pPr/>
          </w:p>
        </w:tc>
      </w:tr>
      <w:tr>
        <w:trPr>
          <w:trHeight w:val="1100" w:hRule="exact"/>
        </w:trPr>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北京用友科技有限公</w:t>
            </w:r>
          </w:p>
          <w:p>
            <w:pPr>
              <w:pStyle w:val="TableParagraph"/>
              <w:spacing w:line="275"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419,281,579</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28.64</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72" w:lineRule="exact"/>
              <w:ind w:left="100" w:right="101"/>
              <w:jc w:val="left"/>
              <w:rPr>
                <w:rFonts w:ascii="宋体" w:hAnsi="宋体" w:cs="宋体" w:eastAsia="宋体" w:hint="default"/>
                <w:sz w:val="21"/>
                <w:szCs w:val="21"/>
              </w:rPr>
            </w:pPr>
            <w:r>
              <w:rPr>
                <w:rFonts w:ascii="宋体" w:hAnsi="宋体" w:cs="宋体" w:eastAsia="宋体" w:hint="default"/>
                <w:sz w:val="21"/>
                <w:szCs w:val="21"/>
              </w:rPr>
              <w:t>质</w:t>
            </w:r>
            <w:r>
              <w:rPr>
                <w:rFonts w:ascii="宋体" w:hAnsi="宋体" w:cs="宋体" w:eastAsia="宋体" w:hint="default"/>
                <w:w w:val="100"/>
                <w:sz w:val="21"/>
                <w:szCs w:val="21"/>
              </w:rPr>
              <w:t> </w:t>
            </w:r>
            <w:r>
              <w:rPr>
                <w:rFonts w:ascii="宋体" w:hAnsi="宋体" w:cs="宋体" w:eastAsia="宋体" w:hint="default"/>
                <w:sz w:val="21"/>
                <w:szCs w:val="21"/>
              </w:rPr>
              <w:t>押</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171,750,000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境内</w:t>
            </w:r>
          </w:p>
          <w:p>
            <w:pPr>
              <w:pStyle w:val="TableParagraph"/>
              <w:spacing w:line="237" w:lineRule="auto" w:before="2"/>
              <w:ind w:left="103" w:right="146"/>
              <w:jc w:val="both"/>
              <w:rPr>
                <w:rFonts w:ascii="宋体" w:hAnsi="宋体" w:cs="宋体" w:eastAsia="宋体" w:hint="default"/>
                <w:sz w:val="21"/>
                <w:szCs w:val="21"/>
              </w:rPr>
            </w:pPr>
            <w:r>
              <w:rPr>
                <w:rFonts w:ascii="宋体" w:hAnsi="宋体" w:cs="宋体" w:eastAsia="宋体" w:hint="default"/>
                <w:sz w:val="21"/>
                <w:szCs w:val="21"/>
              </w:rPr>
              <w:t>非国</w:t>
            </w:r>
            <w:r>
              <w:rPr>
                <w:rFonts w:ascii="宋体" w:hAnsi="宋体" w:cs="宋体" w:eastAsia="宋体" w:hint="default"/>
                <w:spacing w:val="-103"/>
                <w:sz w:val="21"/>
                <w:szCs w:val="21"/>
              </w:rPr>
              <w:t> </w:t>
            </w:r>
            <w:r>
              <w:rPr>
                <w:rFonts w:ascii="宋体" w:hAnsi="宋体" w:cs="宋体" w:eastAsia="宋体" w:hint="default"/>
                <w:sz w:val="21"/>
                <w:szCs w:val="21"/>
              </w:rPr>
              <w:t>有法</w:t>
            </w:r>
            <w:r>
              <w:rPr>
                <w:rFonts w:ascii="宋体" w:hAnsi="宋体" w:cs="宋体" w:eastAsia="宋体" w:hint="default"/>
                <w:spacing w:val="-103"/>
                <w:sz w:val="21"/>
                <w:szCs w:val="21"/>
              </w:rPr>
              <w:t> </w:t>
            </w:r>
            <w:r>
              <w:rPr>
                <w:rFonts w:ascii="宋体" w:hAnsi="宋体" w:cs="宋体" w:eastAsia="宋体" w:hint="default"/>
                <w:sz w:val="21"/>
                <w:szCs w:val="21"/>
              </w:rPr>
              <w:t>人</w:t>
            </w:r>
          </w:p>
        </w:tc>
      </w:tr>
      <w:tr>
        <w:trPr>
          <w:trHeight w:val="1099" w:hRule="exact"/>
        </w:trPr>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上海用友科技咨询有</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178,456,657</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12.19</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境内</w:t>
            </w:r>
          </w:p>
          <w:p>
            <w:pPr>
              <w:pStyle w:val="TableParagraph"/>
              <w:spacing w:line="237" w:lineRule="auto" w:before="2"/>
              <w:ind w:left="103" w:right="146"/>
              <w:jc w:val="both"/>
              <w:rPr>
                <w:rFonts w:ascii="宋体" w:hAnsi="宋体" w:cs="宋体" w:eastAsia="宋体" w:hint="default"/>
                <w:sz w:val="21"/>
                <w:szCs w:val="21"/>
              </w:rPr>
            </w:pPr>
            <w:r>
              <w:rPr>
                <w:rFonts w:ascii="宋体" w:hAnsi="宋体" w:cs="宋体" w:eastAsia="宋体" w:hint="default"/>
                <w:sz w:val="21"/>
                <w:szCs w:val="21"/>
              </w:rPr>
              <w:t>非国</w:t>
            </w:r>
            <w:r>
              <w:rPr>
                <w:rFonts w:ascii="宋体" w:hAnsi="宋体" w:cs="宋体" w:eastAsia="宋体" w:hint="default"/>
                <w:spacing w:val="-103"/>
                <w:sz w:val="21"/>
                <w:szCs w:val="21"/>
              </w:rPr>
              <w:t> </w:t>
            </w:r>
            <w:r>
              <w:rPr>
                <w:rFonts w:ascii="宋体" w:hAnsi="宋体" w:cs="宋体" w:eastAsia="宋体" w:hint="default"/>
                <w:sz w:val="21"/>
                <w:szCs w:val="21"/>
              </w:rPr>
              <w:t>有法</w:t>
            </w:r>
            <w:r>
              <w:rPr>
                <w:rFonts w:ascii="宋体" w:hAnsi="宋体" w:cs="宋体" w:eastAsia="宋体" w:hint="default"/>
                <w:spacing w:val="-103"/>
                <w:sz w:val="21"/>
                <w:szCs w:val="21"/>
              </w:rPr>
              <w:t> </w:t>
            </w:r>
            <w:r>
              <w:rPr>
                <w:rFonts w:ascii="宋体" w:hAnsi="宋体" w:cs="宋体" w:eastAsia="宋体" w:hint="default"/>
                <w:sz w:val="21"/>
                <w:szCs w:val="21"/>
              </w:rPr>
              <w:t>人</w:t>
            </w:r>
          </w:p>
        </w:tc>
      </w:tr>
      <w:tr>
        <w:trPr>
          <w:trHeight w:val="1099" w:hRule="exact"/>
        </w:trPr>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上海益倍管理咨询有</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-1,207,000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67,091,923</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4.58</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72" w:lineRule="exact"/>
              <w:ind w:left="100" w:right="101"/>
              <w:jc w:val="left"/>
              <w:rPr>
                <w:rFonts w:ascii="宋体" w:hAnsi="宋体" w:cs="宋体" w:eastAsia="宋体" w:hint="default"/>
                <w:sz w:val="21"/>
                <w:szCs w:val="21"/>
              </w:rPr>
            </w:pPr>
            <w:r>
              <w:rPr>
                <w:rFonts w:ascii="宋体" w:hAnsi="宋体" w:cs="宋体" w:eastAsia="宋体" w:hint="default"/>
                <w:sz w:val="21"/>
                <w:szCs w:val="21"/>
              </w:rPr>
              <w:t>质</w:t>
            </w:r>
            <w:r>
              <w:rPr>
                <w:rFonts w:ascii="宋体" w:hAnsi="宋体" w:cs="宋体" w:eastAsia="宋体" w:hint="default"/>
                <w:w w:val="100"/>
                <w:sz w:val="21"/>
                <w:szCs w:val="21"/>
              </w:rPr>
              <w:t> </w:t>
            </w:r>
            <w:r>
              <w:rPr>
                <w:rFonts w:ascii="宋体" w:hAnsi="宋体" w:cs="宋体" w:eastAsia="宋体" w:hint="default"/>
                <w:sz w:val="21"/>
                <w:szCs w:val="21"/>
              </w:rPr>
              <w:t>押</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14,630,000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境内</w:t>
            </w:r>
          </w:p>
          <w:p>
            <w:pPr>
              <w:pStyle w:val="TableParagraph"/>
              <w:spacing w:line="237" w:lineRule="auto" w:before="2"/>
              <w:ind w:left="103" w:right="146"/>
              <w:jc w:val="both"/>
              <w:rPr>
                <w:rFonts w:ascii="宋体" w:hAnsi="宋体" w:cs="宋体" w:eastAsia="宋体" w:hint="default"/>
                <w:sz w:val="21"/>
                <w:szCs w:val="21"/>
              </w:rPr>
            </w:pPr>
            <w:r>
              <w:rPr>
                <w:rFonts w:ascii="宋体" w:hAnsi="宋体" w:cs="宋体" w:eastAsia="宋体" w:hint="default"/>
                <w:sz w:val="21"/>
                <w:szCs w:val="21"/>
              </w:rPr>
              <w:t>非国</w:t>
            </w:r>
            <w:r>
              <w:rPr>
                <w:rFonts w:ascii="宋体" w:hAnsi="宋体" w:cs="宋体" w:eastAsia="宋体" w:hint="default"/>
                <w:spacing w:val="-103"/>
                <w:sz w:val="21"/>
                <w:szCs w:val="21"/>
              </w:rPr>
              <w:t> </w:t>
            </w:r>
            <w:r>
              <w:rPr>
                <w:rFonts w:ascii="宋体" w:hAnsi="宋体" w:cs="宋体" w:eastAsia="宋体" w:hint="default"/>
                <w:sz w:val="21"/>
                <w:szCs w:val="21"/>
              </w:rPr>
              <w:t>有法</w:t>
            </w:r>
            <w:r>
              <w:rPr>
                <w:rFonts w:ascii="宋体" w:hAnsi="宋体" w:cs="宋体" w:eastAsia="宋体" w:hint="default"/>
                <w:spacing w:val="-103"/>
                <w:sz w:val="21"/>
                <w:szCs w:val="21"/>
              </w:rPr>
              <w:t> </w:t>
            </w:r>
            <w:r>
              <w:rPr>
                <w:rFonts w:ascii="宋体" w:hAnsi="宋体" w:cs="宋体" w:eastAsia="宋体" w:hint="default"/>
                <w:sz w:val="21"/>
                <w:szCs w:val="21"/>
              </w:rPr>
              <w:t>人</w:t>
            </w:r>
          </w:p>
        </w:tc>
      </w:tr>
    </w:tbl>
    <w:p>
      <w:pPr>
        <w:spacing w:after="0" w:line="237" w:lineRule="auto"/>
        <w:jc w:val="both"/>
        <w:rPr>
          <w:rFonts w:ascii="宋体" w:hAnsi="宋体" w:cs="宋体" w:eastAsia="宋体" w:hint="default"/>
          <w:sz w:val="21"/>
          <w:szCs w:val="21"/>
        </w:rPr>
        <w:sectPr>
          <w:type w:val="continuous"/>
          <w:pgSz w:w="11910" w:h="16840"/>
          <w:pgMar w:top="1320" w:bottom="1380" w:left="1580" w:right="1120"/>
        </w:sectPr>
      </w:pPr>
    </w:p>
    <w:p>
      <w:pPr>
        <w:spacing w:line="240" w:lineRule="auto" w:before="8"/>
        <w:rPr>
          <w:rFonts w:ascii="Times New Roman" w:hAnsi="Times New Roman" w:cs="Times New Roman" w:eastAsia="Times New Roman" w:hint="default"/>
          <w:sz w:val="16"/>
          <w:szCs w:val="16"/>
        </w:rPr>
      </w:pPr>
    </w:p>
    <w:tbl>
      <w:tblPr>
        <w:tblW w:w="0" w:type="auto"/>
        <w:jc w:val="left"/>
        <w:tblInd w:w="105" w:type="dxa"/>
        <w:tblLayout w:type="fixed"/>
        <w:tblCellMar>
          <w:top w:w="0" w:type="dxa"/>
          <w:left w:w="0" w:type="dxa"/>
          <w:bottom w:w="0" w:type="dxa"/>
          <w:right w:w="0" w:type="dxa"/>
        </w:tblCellMar>
        <w:tblLook w:val="01E0"/>
      </w:tblPr>
      <w:tblGrid>
        <w:gridCol w:w="2206"/>
        <w:gridCol w:w="1596"/>
        <w:gridCol w:w="1371"/>
        <w:gridCol w:w="742"/>
        <w:gridCol w:w="427"/>
        <w:gridCol w:w="425"/>
        <w:gridCol w:w="687"/>
        <w:gridCol w:w="686"/>
        <w:gridCol w:w="684"/>
      </w:tblGrid>
      <w:tr>
        <w:trPr>
          <w:trHeight w:val="1100" w:hRule="exact"/>
        </w:trPr>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北京用友企业管理研</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究所有限公司</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01"/>
              <w:jc w:val="right"/>
              <w:rPr>
                <w:rFonts w:ascii="宋体" w:hAnsi="宋体" w:cs="宋体" w:eastAsia="宋体" w:hint="default"/>
                <w:sz w:val="21"/>
                <w:szCs w:val="21"/>
              </w:rPr>
            </w:pPr>
            <w:r>
              <w:rPr>
                <w:rFonts w:ascii="宋体"/>
                <w:w w:val="100"/>
                <w:sz w:val="21"/>
              </w:rPr>
              <w:t>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5" w:right="0"/>
              <w:jc w:val="center"/>
              <w:rPr>
                <w:rFonts w:ascii="宋体" w:hAnsi="宋体" w:cs="宋体" w:eastAsia="宋体" w:hint="default"/>
                <w:sz w:val="21"/>
                <w:szCs w:val="21"/>
              </w:rPr>
            </w:pPr>
            <w:r>
              <w:rPr>
                <w:rFonts w:ascii="宋体"/>
                <w:sz w:val="21"/>
              </w:rPr>
              <w:t>58,553,029</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8"/>
              <w:jc w:val="right"/>
              <w:rPr>
                <w:rFonts w:ascii="宋体" w:hAnsi="宋体" w:cs="宋体" w:eastAsia="宋体" w:hint="default"/>
                <w:sz w:val="21"/>
                <w:szCs w:val="21"/>
              </w:rPr>
            </w:pPr>
            <w:r>
              <w:rPr>
                <w:rFonts w:ascii="宋体"/>
                <w:sz w:val="21"/>
              </w:rPr>
              <w:t>4.00</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01"/>
              <w:jc w:val="right"/>
              <w:rPr>
                <w:rFonts w:ascii="宋体" w:hAnsi="宋体" w:cs="宋体" w:eastAsia="宋体" w:hint="default"/>
                <w:sz w:val="21"/>
                <w:szCs w:val="21"/>
              </w:rPr>
            </w:pPr>
            <w:r>
              <w:rPr>
                <w:rFonts w:ascii="宋体"/>
                <w:w w:val="100"/>
                <w:sz w:val="21"/>
              </w:rPr>
              <w:t>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100" w:right="101"/>
              <w:jc w:val="left"/>
              <w:rPr>
                <w:rFonts w:ascii="宋体" w:hAnsi="宋体" w:cs="宋体" w:eastAsia="宋体" w:hint="default"/>
                <w:sz w:val="21"/>
                <w:szCs w:val="21"/>
              </w:rPr>
            </w:pPr>
            <w:r>
              <w:rPr>
                <w:rFonts w:ascii="宋体" w:hAnsi="宋体" w:cs="宋体" w:eastAsia="宋体" w:hint="default"/>
                <w:sz w:val="21"/>
                <w:szCs w:val="21"/>
              </w:rPr>
              <w:t>质</w:t>
            </w:r>
            <w:r>
              <w:rPr>
                <w:rFonts w:ascii="宋体" w:hAnsi="宋体" w:cs="宋体" w:eastAsia="宋体" w:hint="default"/>
                <w:w w:val="100"/>
                <w:sz w:val="21"/>
                <w:szCs w:val="21"/>
              </w:rPr>
              <w:t> </w:t>
            </w:r>
            <w:r>
              <w:rPr>
                <w:rFonts w:ascii="宋体" w:hAnsi="宋体" w:cs="宋体" w:eastAsia="宋体" w:hint="default"/>
                <w:sz w:val="21"/>
                <w:szCs w:val="21"/>
              </w:rPr>
              <w:t>押</w:t>
            </w:r>
          </w:p>
        </w:tc>
        <w:tc>
          <w:tcPr>
            <w:tcW w:w="13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208" w:right="0"/>
              <w:jc w:val="left"/>
              <w:rPr>
                <w:rFonts w:ascii="宋体" w:hAnsi="宋体" w:cs="宋体" w:eastAsia="宋体" w:hint="default"/>
                <w:sz w:val="21"/>
                <w:szCs w:val="21"/>
              </w:rPr>
            </w:pPr>
            <w:r>
              <w:rPr>
                <w:rFonts w:ascii="宋体"/>
                <w:sz w:val="21"/>
              </w:rPr>
              <w:t>35,300,000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103" w:right="0"/>
              <w:jc w:val="both"/>
              <w:rPr>
                <w:rFonts w:ascii="宋体" w:hAnsi="宋体" w:cs="宋体" w:eastAsia="宋体" w:hint="default"/>
                <w:sz w:val="21"/>
                <w:szCs w:val="21"/>
              </w:rPr>
            </w:pPr>
            <w:r>
              <w:rPr>
                <w:rFonts w:ascii="宋体" w:hAnsi="宋体" w:cs="宋体" w:eastAsia="宋体" w:hint="default"/>
                <w:sz w:val="21"/>
                <w:szCs w:val="21"/>
              </w:rPr>
              <w:t>境内</w:t>
            </w:r>
          </w:p>
          <w:p>
            <w:pPr>
              <w:pStyle w:val="TableParagraph"/>
              <w:spacing w:line="237" w:lineRule="auto"/>
              <w:ind w:left="103" w:right="146"/>
              <w:jc w:val="both"/>
              <w:rPr>
                <w:rFonts w:ascii="宋体" w:hAnsi="宋体" w:cs="宋体" w:eastAsia="宋体" w:hint="default"/>
                <w:sz w:val="21"/>
                <w:szCs w:val="21"/>
              </w:rPr>
            </w:pPr>
            <w:r>
              <w:rPr>
                <w:rFonts w:ascii="宋体" w:hAnsi="宋体" w:cs="宋体" w:eastAsia="宋体" w:hint="default"/>
                <w:sz w:val="21"/>
                <w:szCs w:val="21"/>
              </w:rPr>
              <w:t>非国</w:t>
            </w:r>
            <w:r>
              <w:rPr>
                <w:rFonts w:ascii="宋体" w:hAnsi="宋体" w:cs="宋体" w:eastAsia="宋体" w:hint="default"/>
                <w:spacing w:val="-103"/>
                <w:sz w:val="21"/>
                <w:szCs w:val="21"/>
              </w:rPr>
              <w:t> </w:t>
            </w:r>
            <w:r>
              <w:rPr>
                <w:rFonts w:ascii="宋体" w:hAnsi="宋体" w:cs="宋体" w:eastAsia="宋体" w:hint="default"/>
                <w:sz w:val="21"/>
                <w:szCs w:val="21"/>
              </w:rPr>
              <w:t>有法</w:t>
            </w:r>
            <w:r>
              <w:rPr>
                <w:rFonts w:ascii="宋体" w:hAnsi="宋体" w:cs="宋体" w:eastAsia="宋体" w:hint="default"/>
                <w:spacing w:val="-103"/>
                <w:sz w:val="21"/>
                <w:szCs w:val="21"/>
              </w:rPr>
              <w:t> </w:t>
            </w:r>
            <w:r>
              <w:rPr>
                <w:rFonts w:ascii="宋体" w:hAnsi="宋体" w:cs="宋体" w:eastAsia="宋体" w:hint="default"/>
                <w:sz w:val="21"/>
                <w:szCs w:val="21"/>
              </w:rPr>
              <w:t>人</w:t>
            </w:r>
          </w:p>
        </w:tc>
      </w:tr>
      <w:tr>
        <w:trPr>
          <w:trHeight w:val="1102" w:hRule="exact"/>
        </w:trPr>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5"/>
              <w:jc w:val="left"/>
              <w:rPr>
                <w:rFonts w:ascii="宋体" w:hAnsi="宋体" w:cs="宋体" w:eastAsia="宋体" w:hint="default"/>
                <w:sz w:val="21"/>
                <w:szCs w:val="21"/>
              </w:rPr>
            </w:pPr>
            <w:r>
              <w:rPr>
                <w:rFonts w:ascii="宋体" w:hAnsi="宋体" w:cs="宋体" w:eastAsia="宋体" w:hint="default"/>
                <w:sz w:val="21"/>
                <w:szCs w:val="21"/>
              </w:rPr>
              <w:t>共青城优富投资管理</w:t>
            </w:r>
          </w:p>
          <w:p>
            <w:pPr>
              <w:pStyle w:val="TableParagraph"/>
              <w:spacing w:line="273" w:lineRule="exact"/>
              <w:ind w:left="103" w:right="-5"/>
              <w:jc w:val="left"/>
              <w:rPr>
                <w:rFonts w:ascii="宋体" w:hAnsi="宋体" w:cs="宋体" w:eastAsia="宋体" w:hint="default"/>
                <w:sz w:val="21"/>
                <w:szCs w:val="21"/>
              </w:rPr>
            </w:pPr>
            <w:r>
              <w:rPr>
                <w:rFonts w:ascii="宋体" w:hAnsi="宋体" w:cs="宋体" w:eastAsia="宋体" w:hint="default"/>
                <w:spacing w:val="-2"/>
                <w:sz w:val="21"/>
                <w:szCs w:val="21"/>
              </w:rPr>
              <w:t>合伙企业（有限合伙）</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w w:val="100"/>
                <w:sz w:val="21"/>
              </w:rPr>
              <w:t>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center"/>
              <w:rPr>
                <w:rFonts w:ascii="宋体" w:hAnsi="宋体" w:cs="宋体" w:eastAsia="宋体" w:hint="default"/>
                <w:sz w:val="21"/>
                <w:szCs w:val="21"/>
              </w:rPr>
            </w:pPr>
            <w:r>
              <w:rPr>
                <w:rFonts w:ascii="宋体"/>
                <w:sz w:val="21"/>
              </w:rPr>
              <w:t>42,000,000</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2.87</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w w:val="100"/>
                <w:sz w:val="21"/>
              </w:rPr>
              <w:t>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100" w:right="101"/>
              <w:jc w:val="left"/>
              <w:rPr>
                <w:rFonts w:ascii="宋体" w:hAnsi="宋体" w:cs="宋体" w:eastAsia="宋体" w:hint="default"/>
                <w:sz w:val="21"/>
                <w:szCs w:val="21"/>
              </w:rPr>
            </w:pPr>
            <w:r>
              <w:rPr>
                <w:rFonts w:ascii="宋体" w:hAnsi="宋体" w:cs="宋体" w:eastAsia="宋体" w:hint="default"/>
                <w:sz w:val="21"/>
                <w:szCs w:val="21"/>
              </w:rPr>
              <w:t>质</w:t>
            </w:r>
            <w:r>
              <w:rPr>
                <w:rFonts w:ascii="宋体" w:hAnsi="宋体" w:cs="宋体" w:eastAsia="宋体" w:hint="default"/>
                <w:w w:val="100"/>
                <w:sz w:val="21"/>
                <w:szCs w:val="21"/>
              </w:rPr>
              <w:t> </w:t>
            </w:r>
            <w:r>
              <w:rPr>
                <w:rFonts w:ascii="宋体" w:hAnsi="宋体" w:cs="宋体" w:eastAsia="宋体" w:hint="default"/>
                <w:sz w:val="21"/>
                <w:szCs w:val="21"/>
              </w:rPr>
              <w:t>押</w:t>
            </w:r>
          </w:p>
        </w:tc>
        <w:tc>
          <w:tcPr>
            <w:tcW w:w="13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14" w:right="0"/>
              <w:jc w:val="left"/>
              <w:rPr>
                <w:rFonts w:ascii="宋体" w:hAnsi="宋体" w:cs="宋体" w:eastAsia="宋体" w:hint="default"/>
                <w:sz w:val="21"/>
                <w:szCs w:val="21"/>
              </w:rPr>
            </w:pPr>
            <w:r>
              <w:rPr>
                <w:rFonts w:ascii="宋体"/>
                <w:sz w:val="21"/>
              </w:rPr>
              <w:t>9,000,000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both"/>
              <w:rPr>
                <w:rFonts w:ascii="宋体" w:hAnsi="宋体" w:cs="宋体" w:eastAsia="宋体" w:hint="default"/>
                <w:sz w:val="21"/>
                <w:szCs w:val="21"/>
              </w:rPr>
            </w:pPr>
            <w:r>
              <w:rPr>
                <w:rFonts w:ascii="宋体" w:hAnsi="宋体" w:cs="宋体" w:eastAsia="宋体" w:hint="default"/>
                <w:sz w:val="21"/>
                <w:szCs w:val="21"/>
              </w:rPr>
              <w:t>境内</w:t>
            </w:r>
          </w:p>
          <w:p>
            <w:pPr>
              <w:pStyle w:val="TableParagraph"/>
              <w:spacing w:line="237" w:lineRule="auto"/>
              <w:ind w:left="103" w:right="146"/>
              <w:jc w:val="both"/>
              <w:rPr>
                <w:rFonts w:ascii="宋体" w:hAnsi="宋体" w:cs="宋体" w:eastAsia="宋体" w:hint="default"/>
                <w:sz w:val="21"/>
                <w:szCs w:val="21"/>
              </w:rPr>
            </w:pPr>
            <w:r>
              <w:rPr>
                <w:rFonts w:ascii="宋体" w:hAnsi="宋体" w:cs="宋体" w:eastAsia="宋体" w:hint="default"/>
                <w:sz w:val="21"/>
                <w:szCs w:val="21"/>
              </w:rPr>
              <w:t>非国</w:t>
            </w:r>
            <w:r>
              <w:rPr>
                <w:rFonts w:ascii="宋体" w:hAnsi="宋体" w:cs="宋体" w:eastAsia="宋体" w:hint="default"/>
                <w:spacing w:val="-103"/>
                <w:sz w:val="21"/>
                <w:szCs w:val="21"/>
              </w:rPr>
              <w:t> </w:t>
            </w:r>
            <w:r>
              <w:rPr>
                <w:rFonts w:ascii="宋体" w:hAnsi="宋体" w:cs="宋体" w:eastAsia="宋体" w:hint="default"/>
                <w:sz w:val="21"/>
                <w:szCs w:val="21"/>
              </w:rPr>
              <w:t>有法</w:t>
            </w:r>
            <w:r>
              <w:rPr>
                <w:rFonts w:ascii="宋体" w:hAnsi="宋体" w:cs="宋体" w:eastAsia="宋体" w:hint="default"/>
                <w:spacing w:val="-103"/>
                <w:sz w:val="21"/>
                <w:szCs w:val="21"/>
              </w:rPr>
              <w:t> </w:t>
            </w:r>
            <w:r>
              <w:rPr>
                <w:rFonts w:ascii="宋体" w:hAnsi="宋体" w:cs="宋体" w:eastAsia="宋体" w:hint="default"/>
                <w:sz w:val="21"/>
                <w:szCs w:val="21"/>
              </w:rPr>
              <w:t>人</w:t>
            </w:r>
          </w:p>
        </w:tc>
      </w:tr>
      <w:tr>
        <w:trPr>
          <w:trHeight w:val="281" w:hRule="exact"/>
        </w:trPr>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葛卫东</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40,000,081</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sz w:val="21"/>
              </w:rPr>
              <w:t>40,000,081</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2.73</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3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43"/>
              <w:jc w:val="center"/>
              <w:rPr>
                <w:rFonts w:ascii="宋体" w:hAnsi="宋体" w:cs="宋体" w:eastAsia="宋体" w:hint="default"/>
                <w:sz w:val="21"/>
                <w:szCs w:val="21"/>
              </w:rPr>
            </w:pPr>
            <w:r>
              <w:rPr>
                <w:rFonts w:ascii="宋体" w:hAnsi="宋体" w:cs="宋体" w:eastAsia="宋体" w:hint="default"/>
                <w:sz w:val="21"/>
                <w:szCs w:val="21"/>
              </w:rPr>
              <w:t>其他</w:t>
            </w:r>
          </w:p>
        </w:tc>
      </w:tr>
      <w:tr>
        <w:trPr>
          <w:trHeight w:val="1373" w:hRule="exact"/>
        </w:trPr>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长安国际信托股份有</w:t>
            </w:r>
          </w:p>
          <w:p>
            <w:pPr>
              <w:pStyle w:val="TableParagraph"/>
              <w:spacing w:line="237" w:lineRule="auto" w:before="2"/>
              <w:ind w:left="103" w:right="197"/>
              <w:jc w:val="both"/>
              <w:rPr>
                <w:rFonts w:ascii="宋体" w:hAnsi="宋体" w:cs="宋体" w:eastAsia="宋体" w:hint="default"/>
                <w:sz w:val="21"/>
                <w:szCs w:val="21"/>
              </w:rPr>
            </w:pPr>
            <w:r>
              <w:rPr>
                <w:rFonts w:ascii="宋体" w:hAnsi="宋体" w:cs="宋体" w:eastAsia="宋体" w:hint="default"/>
                <w:sz w:val="21"/>
                <w:szCs w:val="21"/>
              </w:rPr>
              <w:t>限公司－长安信托－</w:t>
            </w:r>
            <w:r>
              <w:rPr>
                <w:rFonts w:ascii="宋体" w:hAnsi="宋体" w:cs="宋体" w:eastAsia="宋体" w:hint="default"/>
                <w:w w:val="100"/>
                <w:sz w:val="21"/>
                <w:szCs w:val="21"/>
              </w:rPr>
              <w:t> </w:t>
            </w:r>
            <w:r>
              <w:rPr>
                <w:rFonts w:ascii="宋体" w:hAnsi="宋体" w:cs="宋体" w:eastAsia="宋体" w:hint="default"/>
                <w:sz w:val="21"/>
                <w:szCs w:val="21"/>
              </w:rPr>
              <w:t>长安投资</w:t>
            </w:r>
            <w:r>
              <w:rPr>
                <w:rFonts w:ascii="宋体" w:hAnsi="宋体" w:cs="宋体" w:eastAsia="宋体" w:hint="default"/>
                <w:spacing w:val="-53"/>
                <w:sz w:val="21"/>
                <w:szCs w:val="21"/>
              </w:rPr>
              <w:t> </w:t>
            </w:r>
            <w:r>
              <w:rPr>
                <w:rFonts w:ascii="宋体" w:hAnsi="宋体" w:cs="宋体" w:eastAsia="宋体" w:hint="default"/>
                <w:sz w:val="21"/>
                <w:szCs w:val="21"/>
              </w:rPr>
              <w:t>568</w:t>
            </w:r>
            <w:r>
              <w:rPr>
                <w:rFonts w:ascii="宋体" w:hAnsi="宋体" w:cs="宋体" w:eastAsia="宋体" w:hint="default"/>
                <w:spacing w:val="-53"/>
                <w:sz w:val="21"/>
                <w:szCs w:val="21"/>
              </w:rPr>
              <w:t> </w:t>
            </w:r>
            <w:r>
              <w:rPr>
                <w:rFonts w:ascii="宋体" w:hAnsi="宋体" w:cs="宋体" w:eastAsia="宋体" w:hint="default"/>
                <w:sz w:val="21"/>
                <w:szCs w:val="21"/>
              </w:rPr>
              <w:t>号证券</w:t>
            </w:r>
            <w:r>
              <w:rPr>
                <w:rFonts w:ascii="宋体" w:hAnsi="宋体" w:cs="宋体" w:eastAsia="宋体" w:hint="default"/>
                <w:w w:val="100"/>
                <w:sz w:val="21"/>
                <w:szCs w:val="21"/>
              </w:rPr>
              <w:t> </w:t>
            </w:r>
            <w:r>
              <w:rPr>
                <w:rFonts w:ascii="宋体" w:hAnsi="宋体" w:cs="宋体" w:eastAsia="宋体" w:hint="default"/>
                <w:sz w:val="21"/>
                <w:szCs w:val="21"/>
              </w:rPr>
              <w:t>投资集合资金信托计</w:t>
            </w:r>
            <w:r>
              <w:rPr>
                <w:rFonts w:ascii="宋体" w:hAnsi="宋体" w:cs="宋体" w:eastAsia="宋体" w:hint="default"/>
                <w:w w:val="100"/>
                <w:sz w:val="21"/>
                <w:szCs w:val="21"/>
              </w:rPr>
              <w:t> </w:t>
            </w:r>
            <w:r>
              <w:rPr>
                <w:rFonts w:ascii="宋体" w:hAnsi="宋体" w:cs="宋体" w:eastAsia="宋体" w:hint="default"/>
                <w:sz w:val="21"/>
                <w:szCs w:val="21"/>
              </w:rPr>
              <w:t>划</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36,267,110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sz w:val="21"/>
              </w:rPr>
              <w:t>36,267,110</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2.48</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5"/>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3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43"/>
              <w:jc w:val="center"/>
              <w:rPr>
                <w:rFonts w:ascii="宋体" w:hAnsi="宋体" w:cs="宋体" w:eastAsia="宋体" w:hint="default"/>
                <w:sz w:val="21"/>
                <w:szCs w:val="21"/>
              </w:rPr>
            </w:pPr>
            <w:r>
              <w:rPr>
                <w:rFonts w:ascii="宋体" w:hAnsi="宋体" w:cs="宋体" w:eastAsia="宋体" w:hint="default"/>
                <w:sz w:val="21"/>
                <w:szCs w:val="21"/>
              </w:rPr>
              <w:t>其他</w:t>
            </w:r>
          </w:p>
        </w:tc>
      </w:tr>
      <w:tr>
        <w:trPr>
          <w:trHeight w:val="281" w:hRule="exact"/>
        </w:trPr>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马信琪</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6,716,713</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sz w:val="21"/>
              </w:rPr>
              <w:t>35,544,428</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2.43</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3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43"/>
              <w:jc w:val="center"/>
              <w:rPr>
                <w:rFonts w:ascii="宋体" w:hAnsi="宋体" w:cs="宋体" w:eastAsia="宋体" w:hint="default"/>
                <w:sz w:val="21"/>
                <w:szCs w:val="21"/>
              </w:rPr>
            </w:pPr>
            <w:r>
              <w:rPr>
                <w:rFonts w:ascii="宋体" w:hAnsi="宋体" w:cs="宋体" w:eastAsia="宋体" w:hint="default"/>
                <w:sz w:val="21"/>
                <w:szCs w:val="21"/>
              </w:rPr>
              <w:t>其他</w:t>
            </w:r>
          </w:p>
        </w:tc>
      </w:tr>
      <w:tr>
        <w:trPr>
          <w:trHeight w:val="557" w:hRule="exact"/>
        </w:trPr>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中国证券金融股份有</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w w:val="100"/>
                <w:sz w:val="21"/>
              </w:rPr>
              <w:t>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center"/>
              <w:rPr>
                <w:rFonts w:ascii="宋体" w:hAnsi="宋体" w:cs="宋体" w:eastAsia="宋体" w:hint="default"/>
                <w:sz w:val="21"/>
                <w:szCs w:val="21"/>
              </w:rPr>
            </w:pPr>
            <w:r>
              <w:rPr>
                <w:rFonts w:ascii="宋体"/>
                <w:sz w:val="21"/>
              </w:rPr>
              <w:t>29,174,447</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1.99</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w w:val="100"/>
                <w:sz w:val="21"/>
              </w:rPr>
              <w:t>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3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w w:val="100"/>
                <w:sz w:val="21"/>
              </w:rPr>
              <w:t>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43"/>
              <w:jc w:val="center"/>
              <w:rPr>
                <w:rFonts w:ascii="宋体" w:hAnsi="宋体" w:cs="宋体" w:eastAsia="宋体" w:hint="default"/>
                <w:sz w:val="21"/>
                <w:szCs w:val="21"/>
              </w:rPr>
            </w:pPr>
            <w:r>
              <w:rPr>
                <w:rFonts w:ascii="宋体" w:hAnsi="宋体" w:cs="宋体" w:eastAsia="宋体" w:hint="default"/>
                <w:sz w:val="21"/>
                <w:szCs w:val="21"/>
              </w:rPr>
              <w:t>其他</w:t>
            </w:r>
          </w:p>
        </w:tc>
      </w:tr>
      <w:tr>
        <w:trPr>
          <w:trHeight w:val="554" w:hRule="exact"/>
        </w:trPr>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中央汇金资产管理有</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限责任公司</w:t>
            </w:r>
          </w:p>
        </w:tc>
        <w:tc>
          <w:tcPr>
            <w:tcW w:w="1596"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sz w:val="21"/>
              </w:rPr>
              <w:t>16,988,700</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1.16</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3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43"/>
              <w:jc w:val="center"/>
              <w:rPr>
                <w:rFonts w:ascii="宋体" w:hAnsi="宋体" w:cs="宋体" w:eastAsia="宋体" w:hint="default"/>
                <w:sz w:val="21"/>
                <w:szCs w:val="21"/>
              </w:rPr>
            </w:pPr>
            <w:r>
              <w:rPr>
                <w:rFonts w:ascii="宋体" w:hAnsi="宋体" w:cs="宋体" w:eastAsia="宋体" w:hint="default"/>
                <w:sz w:val="21"/>
                <w:szCs w:val="21"/>
              </w:rPr>
              <w:t>其他</w:t>
            </w:r>
          </w:p>
        </w:tc>
      </w:tr>
      <w:tr>
        <w:trPr>
          <w:trHeight w:val="281" w:hRule="exact"/>
        </w:trPr>
        <w:tc>
          <w:tcPr>
            <w:tcW w:w="8824" w:type="dxa"/>
            <w:gridSpan w:val="9"/>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935" w:right="0"/>
              <w:jc w:val="left"/>
              <w:rPr>
                <w:rFonts w:ascii="宋体" w:hAnsi="宋体" w:cs="宋体" w:eastAsia="宋体" w:hint="default"/>
                <w:sz w:val="21"/>
                <w:szCs w:val="21"/>
              </w:rPr>
            </w:pPr>
            <w:r>
              <w:rPr>
                <w:rFonts w:ascii="宋体" w:hAnsi="宋体" w:cs="宋体" w:eastAsia="宋体" w:hint="default"/>
                <w:sz w:val="21"/>
                <w:szCs w:val="21"/>
              </w:rPr>
              <w:t>前十名无限售条件股东持股情况</w:t>
            </w:r>
          </w:p>
        </w:tc>
      </w:tr>
      <w:tr>
        <w:trPr>
          <w:trHeight w:val="283" w:hRule="exact"/>
        </w:trPr>
        <w:tc>
          <w:tcPr>
            <w:tcW w:w="3802" w:type="dxa"/>
            <w:gridSpan w:val="2"/>
            <w:vMerge w:val="restart"/>
            <w:tcBorders>
              <w:top w:val="single" w:sz="4" w:space="0" w:color="000000"/>
              <w:left w:val="single" w:sz="4" w:space="0" w:color="000000"/>
              <w:right w:val="single" w:sz="4" w:space="0" w:color="000000"/>
            </w:tcBorders>
          </w:tcPr>
          <w:p>
            <w:pPr>
              <w:pStyle w:val="TableParagraph"/>
              <w:spacing w:line="240" w:lineRule="auto" w:before="107"/>
              <w:ind w:left="1" w:right="0"/>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2540" w:type="dxa"/>
            <w:gridSpan w:val="3"/>
            <w:vMerge w:val="restart"/>
            <w:tcBorders>
              <w:top w:val="single" w:sz="4" w:space="0" w:color="000000"/>
              <w:left w:val="single" w:sz="4" w:space="0" w:color="000000"/>
              <w:right w:val="single" w:sz="4" w:space="0" w:color="000000"/>
            </w:tcBorders>
          </w:tcPr>
          <w:p>
            <w:pPr>
              <w:pStyle w:val="TableParagraph"/>
              <w:spacing w:line="272" w:lineRule="exact"/>
              <w:ind w:left="1054" w:right="106" w:hanging="946"/>
              <w:jc w:val="left"/>
              <w:rPr>
                <w:rFonts w:ascii="宋体" w:hAnsi="宋体" w:cs="宋体" w:eastAsia="宋体" w:hint="default"/>
                <w:sz w:val="21"/>
                <w:szCs w:val="21"/>
              </w:rPr>
            </w:pPr>
            <w:r>
              <w:rPr>
                <w:rFonts w:ascii="宋体" w:hAnsi="宋体" w:cs="宋体" w:eastAsia="宋体" w:hint="default"/>
                <w:spacing w:val="-2"/>
                <w:sz w:val="21"/>
                <w:szCs w:val="21"/>
              </w:rPr>
              <w:t>持有无限售条件流通股的</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数量</w:t>
            </w:r>
          </w:p>
        </w:tc>
        <w:tc>
          <w:tcPr>
            <w:tcW w:w="2482"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99" w:right="0"/>
              <w:jc w:val="left"/>
              <w:rPr>
                <w:rFonts w:ascii="宋体" w:hAnsi="宋体" w:cs="宋体" w:eastAsia="宋体" w:hint="default"/>
                <w:sz w:val="21"/>
                <w:szCs w:val="21"/>
              </w:rPr>
            </w:pPr>
            <w:r>
              <w:rPr>
                <w:rFonts w:ascii="宋体" w:hAnsi="宋体" w:cs="宋体" w:eastAsia="宋体" w:hint="default"/>
                <w:sz w:val="21"/>
                <w:szCs w:val="21"/>
              </w:rPr>
              <w:t>股份种类及数量</w:t>
            </w:r>
          </w:p>
        </w:tc>
      </w:tr>
      <w:tr>
        <w:trPr>
          <w:trHeight w:val="283" w:hRule="exact"/>
        </w:trPr>
        <w:tc>
          <w:tcPr>
            <w:tcW w:w="3802" w:type="dxa"/>
            <w:gridSpan w:val="2"/>
            <w:vMerge/>
            <w:tcBorders>
              <w:left w:val="single" w:sz="4" w:space="0" w:color="000000"/>
              <w:bottom w:val="single" w:sz="4" w:space="0" w:color="000000"/>
              <w:right w:val="single" w:sz="4" w:space="0" w:color="000000"/>
            </w:tcBorders>
          </w:tcPr>
          <w:p>
            <w:pPr/>
          </w:p>
        </w:tc>
        <w:tc>
          <w:tcPr>
            <w:tcW w:w="2540" w:type="dxa"/>
            <w:gridSpan w:val="3"/>
            <w:vMerge/>
            <w:tcBorders>
              <w:left w:val="single" w:sz="4" w:space="0" w:color="000000"/>
              <w:bottom w:val="single" w:sz="4" w:space="0" w:color="000000"/>
              <w:right w:val="single" w:sz="4" w:space="0" w:color="000000"/>
            </w:tcBorders>
          </w:tcPr>
          <w:p>
            <w:pPr/>
          </w:p>
        </w:tc>
        <w:tc>
          <w:tcPr>
            <w:tcW w:w="11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38" w:right="0"/>
              <w:jc w:val="left"/>
              <w:rPr>
                <w:rFonts w:ascii="宋体" w:hAnsi="宋体" w:cs="宋体" w:eastAsia="宋体" w:hint="default"/>
                <w:sz w:val="21"/>
                <w:szCs w:val="21"/>
              </w:rPr>
            </w:pPr>
            <w:r>
              <w:rPr>
                <w:rFonts w:ascii="宋体" w:hAnsi="宋体" w:cs="宋体" w:eastAsia="宋体" w:hint="default"/>
                <w:sz w:val="21"/>
                <w:szCs w:val="21"/>
              </w:rPr>
              <w:t>种类</w:t>
            </w:r>
          </w:p>
        </w:tc>
        <w:tc>
          <w:tcPr>
            <w:tcW w:w="13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数量</w:t>
            </w:r>
          </w:p>
        </w:tc>
      </w:tr>
      <w:tr>
        <w:trPr>
          <w:trHeight w:val="555" w:hRule="exact"/>
        </w:trPr>
        <w:tc>
          <w:tcPr>
            <w:tcW w:w="38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北京用友科技有限公司</w:t>
            </w:r>
          </w:p>
        </w:tc>
        <w:tc>
          <w:tcPr>
            <w:tcW w:w="25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272" w:right="0"/>
              <w:jc w:val="left"/>
              <w:rPr>
                <w:rFonts w:ascii="宋体" w:hAnsi="宋体" w:cs="宋体" w:eastAsia="宋体" w:hint="default"/>
                <w:sz w:val="21"/>
                <w:szCs w:val="21"/>
              </w:rPr>
            </w:pPr>
            <w:r>
              <w:rPr>
                <w:rFonts w:ascii="宋体"/>
                <w:sz w:val="21"/>
              </w:rPr>
              <w:t>419,281,579</w:t>
            </w:r>
          </w:p>
        </w:tc>
        <w:tc>
          <w:tcPr>
            <w:tcW w:w="11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3"/>
              <w:jc w:val="center"/>
              <w:rPr>
                <w:rFonts w:ascii="宋体" w:hAnsi="宋体" w:cs="宋体" w:eastAsia="宋体" w:hint="default"/>
                <w:sz w:val="21"/>
                <w:szCs w:val="21"/>
              </w:rPr>
            </w:pPr>
            <w:r>
              <w:rPr>
                <w:rFonts w:ascii="宋体" w:hAnsi="宋体" w:cs="宋体" w:eastAsia="宋体" w:hint="default"/>
                <w:sz w:val="21"/>
                <w:szCs w:val="21"/>
              </w:rPr>
              <w:t>人民币普</w:t>
            </w:r>
          </w:p>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通股</w:t>
            </w:r>
          </w:p>
        </w:tc>
        <w:tc>
          <w:tcPr>
            <w:tcW w:w="13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419,281,579</w:t>
            </w:r>
          </w:p>
        </w:tc>
      </w:tr>
      <w:tr>
        <w:trPr>
          <w:trHeight w:val="554" w:hRule="exact"/>
        </w:trPr>
        <w:tc>
          <w:tcPr>
            <w:tcW w:w="38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上海用友科技咨询有限公司</w:t>
            </w:r>
          </w:p>
        </w:tc>
        <w:tc>
          <w:tcPr>
            <w:tcW w:w="25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272" w:right="0"/>
              <w:jc w:val="left"/>
              <w:rPr>
                <w:rFonts w:ascii="宋体" w:hAnsi="宋体" w:cs="宋体" w:eastAsia="宋体" w:hint="default"/>
                <w:sz w:val="21"/>
                <w:szCs w:val="21"/>
              </w:rPr>
            </w:pPr>
            <w:r>
              <w:rPr>
                <w:rFonts w:ascii="宋体"/>
                <w:sz w:val="21"/>
              </w:rPr>
              <w:t>178,456,657</w:t>
            </w:r>
          </w:p>
        </w:tc>
        <w:tc>
          <w:tcPr>
            <w:tcW w:w="11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3"/>
              <w:jc w:val="center"/>
              <w:rPr>
                <w:rFonts w:ascii="宋体" w:hAnsi="宋体" w:cs="宋体" w:eastAsia="宋体" w:hint="default"/>
                <w:sz w:val="21"/>
                <w:szCs w:val="21"/>
              </w:rPr>
            </w:pPr>
            <w:r>
              <w:rPr>
                <w:rFonts w:ascii="宋体" w:hAnsi="宋体" w:cs="宋体" w:eastAsia="宋体" w:hint="default"/>
                <w:sz w:val="21"/>
                <w:szCs w:val="21"/>
              </w:rPr>
              <w:t>人民币普</w:t>
            </w:r>
          </w:p>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通股</w:t>
            </w:r>
          </w:p>
        </w:tc>
        <w:tc>
          <w:tcPr>
            <w:tcW w:w="13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178,456,657</w:t>
            </w:r>
          </w:p>
        </w:tc>
      </w:tr>
      <w:tr>
        <w:trPr>
          <w:trHeight w:val="554" w:hRule="exact"/>
        </w:trPr>
        <w:tc>
          <w:tcPr>
            <w:tcW w:w="38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上海益倍管理咨询有限公司</w:t>
            </w:r>
          </w:p>
        </w:tc>
        <w:tc>
          <w:tcPr>
            <w:tcW w:w="25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375" w:right="0"/>
              <w:jc w:val="left"/>
              <w:rPr>
                <w:rFonts w:ascii="宋体" w:hAnsi="宋体" w:cs="宋体" w:eastAsia="宋体" w:hint="default"/>
                <w:sz w:val="21"/>
                <w:szCs w:val="21"/>
              </w:rPr>
            </w:pPr>
            <w:r>
              <w:rPr>
                <w:rFonts w:ascii="宋体"/>
                <w:sz w:val="21"/>
              </w:rPr>
              <w:t>67,091,923</w:t>
            </w:r>
          </w:p>
        </w:tc>
        <w:tc>
          <w:tcPr>
            <w:tcW w:w="11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3"/>
              <w:jc w:val="center"/>
              <w:rPr>
                <w:rFonts w:ascii="宋体" w:hAnsi="宋体" w:cs="宋体" w:eastAsia="宋体" w:hint="default"/>
                <w:sz w:val="21"/>
                <w:szCs w:val="21"/>
              </w:rPr>
            </w:pPr>
            <w:r>
              <w:rPr>
                <w:rFonts w:ascii="宋体" w:hAnsi="宋体" w:cs="宋体" w:eastAsia="宋体" w:hint="default"/>
                <w:sz w:val="21"/>
                <w:szCs w:val="21"/>
              </w:rPr>
              <w:t>人民币普</w:t>
            </w:r>
          </w:p>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通股</w:t>
            </w:r>
          </w:p>
        </w:tc>
        <w:tc>
          <w:tcPr>
            <w:tcW w:w="13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06" w:right="0"/>
              <w:jc w:val="left"/>
              <w:rPr>
                <w:rFonts w:ascii="宋体" w:hAnsi="宋体" w:cs="宋体" w:eastAsia="宋体" w:hint="default"/>
                <w:sz w:val="21"/>
                <w:szCs w:val="21"/>
              </w:rPr>
            </w:pPr>
            <w:r>
              <w:rPr>
                <w:rFonts w:ascii="宋体"/>
                <w:sz w:val="21"/>
              </w:rPr>
              <w:t>67,091,923</w:t>
            </w:r>
          </w:p>
        </w:tc>
      </w:tr>
      <w:tr>
        <w:trPr>
          <w:trHeight w:val="554" w:hRule="exact"/>
        </w:trPr>
        <w:tc>
          <w:tcPr>
            <w:tcW w:w="38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北京用友企业管理研究所有限公司</w:t>
            </w:r>
          </w:p>
        </w:tc>
        <w:tc>
          <w:tcPr>
            <w:tcW w:w="25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375" w:right="0"/>
              <w:jc w:val="left"/>
              <w:rPr>
                <w:rFonts w:ascii="宋体" w:hAnsi="宋体" w:cs="宋体" w:eastAsia="宋体" w:hint="default"/>
                <w:sz w:val="21"/>
                <w:szCs w:val="21"/>
              </w:rPr>
            </w:pPr>
            <w:r>
              <w:rPr>
                <w:rFonts w:ascii="宋体"/>
                <w:sz w:val="21"/>
              </w:rPr>
              <w:t>58,553,029</w:t>
            </w:r>
          </w:p>
        </w:tc>
        <w:tc>
          <w:tcPr>
            <w:tcW w:w="11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3"/>
              <w:jc w:val="center"/>
              <w:rPr>
                <w:rFonts w:ascii="宋体" w:hAnsi="宋体" w:cs="宋体" w:eastAsia="宋体" w:hint="default"/>
                <w:sz w:val="21"/>
                <w:szCs w:val="21"/>
              </w:rPr>
            </w:pPr>
            <w:r>
              <w:rPr>
                <w:rFonts w:ascii="宋体" w:hAnsi="宋体" w:cs="宋体" w:eastAsia="宋体" w:hint="default"/>
                <w:sz w:val="21"/>
                <w:szCs w:val="21"/>
              </w:rPr>
              <w:t>人民币普</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通股</w:t>
            </w:r>
          </w:p>
        </w:tc>
        <w:tc>
          <w:tcPr>
            <w:tcW w:w="13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06" w:right="0"/>
              <w:jc w:val="left"/>
              <w:rPr>
                <w:rFonts w:ascii="宋体" w:hAnsi="宋体" w:cs="宋体" w:eastAsia="宋体" w:hint="default"/>
                <w:sz w:val="21"/>
                <w:szCs w:val="21"/>
              </w:rPr>
            </w:pPr>
            <w:r>
              <w:rPr>
                <w:rFonts w:ascii="宋体"/>
                <w:sz w:val="21"/>
              </w:rPr>
              <w:t>58,553,029</w:t>
            </w:r>
          </w:p>
        </w:tc>
      </w:tr>
      <w:tr>
        <w:trPr>
          <w:trHeight w:val="554" w:hRule="exact"/>
        </w:trPr>
        <w:tc>
          <w:tcPr>
            <w:tcW w:w="38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共青城优富投资管理合伙企业（有限合</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伙）</w:t>
            </w:r>
          </w:p>
        </w:tc>
        <w:tc>
          <w:tcPr>
            <w:tcW w:w="25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375" w:right="0"/>
              <w:jc w:val="left"/>
              <w:rPr>
                <w:rFonts w:ascii="宋体" w:hAnsi="宋体" w:cs="宋体" w:eastAsia="宋体" w:hint="default"/>
                <w:sz w:val="21"/>
                <w:szCs w:val="21"/>
              </w:rPr>
            </w:pPr>
            <w:r>
              <w:rPr>
                <w:rFonts w:ascii="宋体"/>
                <w:sz w:val="21"/>
              </w:rPr>
              <w:t>42,000,000</w:t>
            </w:r>
          </w:p>
        </w:tc>
        <w:tc>
          <w:tcPr>
            <w:tcW w:w="11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3"/>
              <w:jc w:val="center"/>
              <w:rPr>
                <w:rFonts w:ascii="宋体" w:hAnsi="宋体" w:cs="宋体" w:eastAsia="宋体" w:hint="default"/>
                <w:sz w:val="21"/>
                <w:szCs w:val="21"/>
              </w:rPr>
            </w:pPr>
            <w:r>
              <w:rPr>
                <w:rFonts w:ascii="宋体" w:hAnsi="宋体" w:cs="宋体" w:eastAsia="宋体" w:hint="default"/>
                <w:sz w:val="21"/>
                <w:szCs w:val="21"/>
              </w:rPr>
              <w:t>人民币普</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通股</w:t>
            </w:r>
          </w:p>
        </w:tc>
        <w:tc>
          <w:tcPr>
            <w:tcW w:w="13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06" w:right="0"/>
              <w:jc w:val="left"/>
              <w:rPr>
                <w:rFonts w:ascii="宋体" w:hAnsi="宋体" w:cs="宋体" w:eastAsia="宋体" w:hint="default"/>
                <w:sz w:val="21"/>
                <w:szCs w:val="21"/>
              </w:rPr>
            </w:pPr>
            <w:r>
              <w:rPr>
                <w:rFonts w:ascii="宋体"/>
                <w:sz w:val="21"/>
              </w:rPr>
              <w:t>42,000,000</w:t>
            </w:r>
          </w:p>
        </w:tc>
      </w:tr>
      <w:tr>
        <w:trPr>
          <w:trHeight w:val="554" w:hRule="exact"/>
        </w:trPr>
        <w:tc>
          <w:tcPr>
            <w:tcW w:w="38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葛卫东</w:t>
            </w:r>
          </w:p>
        </w:tc>
        <w:tc>
          <w:tcPr>
            <w:tcW w:w="25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375" w:right="0"/>
              <w:jc w:val="left"/>
              <w:rPr>
                <w:rFonts w:ascii="宋体" w:hAnsi="宋体" w:cs="宋体" w:eastAsia="宋体" w:hint="default"/>
                <w:sz w:val="21"/>
                <w:szCs w:val="21"/>
              </w:rPr>
            </w:pPr>
            <w:r>
              <w:rPr>
                <w:rFonts w:ascii="宋体"/>
                <w:sz w:val="21"/>
              </w:rPr>
              <w:t>40,000,081</w:t>
            </w:r>
          </w:p>
        </w:tc>
        <w:tc>
          <w:tcPr>
            <w:tcW w:w="11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3"/>
              <w:jc w:val="center"/>
              <w:rPr>
                <w:rFonts w:ascii="宋体" w:hAnsi="宋体" w:cs="宋体" w:eastAsia="宋体" w:hint="default"/>
                <w:sz w:val="21"/>
                <w:szCs w:val="21"/>
              </w:rPr>
            </w:pPr>
            <w:r>
              <w:rPr>
                <w:rFonts w:ascii="宋体" w:hAnsi="宋体" w:cs="宋体" w:eastAsia="宋体" w:hint="default"/>
                <w:sz w:val="21"/>
                <w:szCs w:val="21"/>
              </w:rPr>
              <w:t>人民币普</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通股</w:t>
            </w:r>
          </w:p>
        </w:tc>
        <w:tc>
          <w:tcPr>
            <w:tcW w:w="13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06" w:right="0"/>
              <w:jc w:val="left"/>
              <w:rPr>
                <w:rFonts w:ascii="宋体" w:hAnsi="宋体" w:cs="宋体" w:eastAsia="宋体" w:hint="default"/>
                <w:sz w:val="21"/>
                <w:szCs w:val="21"/>
              </w:rPr>
            </w:pPr>
            <w:r>
              <w:rPr>
                <w:rFonts w:ascii="宋体"/>
                <w:sz w:val="21"/>
              </w:rPr>
              <w:t>40,000,081</w:t>
            </w:r>
          </w:p>
        </w:tc>
      </w:tr>
      <w:tr>
        <w:trPr>
          <w:trHeight w:val="829" w:hRule="exact"/>
        </w:trPr>
        <w:tc>
          <w:tcPr>
            <w:tcW w:w="38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长安国际信托股份有限公司－长安信托</w:t>
            </w:r>
          </w:p>
          <w:p>
            <w:pPr>
              <w:pStyle w:val="TableParagraph"/>
              <w:spacing w:line="272" w:lineRule="exact" w:before="27"/>
              <w:ind w:left="103" w:right="113"/>
              <w:jc w:val="left"/>
              <w:rPr>
                <w:rFonts w:ascii="宋体" w:hAnsi="宋体" w:cs="宋体" w:eastAsia="宋体" w:hint="default"/>
                <w:sz w:val="21"/>
                <w:szCs w:val="21"/>
              </w:rPr>
            </w:pPr>
            <w:r>
              <w:rPr>
                <w:rFonts w:ascii="宋体" w:hAnsi="宋体" w:cs="宋体" w:eastAsia="宋体" w:hint="default"/>
                <w:sz w:val="21"/>
                <w:szCs w:val="21"/>
              </w:rPr>
              <w:t>－长安投资</w:t>
            </w:r>
            <w:r>
              <w:rPr>
                <w:rFonts w:ascii="宋体" w:hAnsi="宋体" w:cs="宋体" w:eastAsia="宋体" w:hint="default"/>
                <w:spacing w:val="-53"/>
                <w:sz w:val="21"/>
                <w:szCs w:val="21"/>
              </w:rPr>
              <w:t> </w:t>
            </w:r>
            <w:r>
              <w:rPr>
                <w:rFonts w:ascii="宋体" w:hAnsi="宋体" w:cs="宋体" w:eastAsia="宋体" w:hint="default"/>
                <w:sz w:val="21"/>
                <w:szCs w:val="21"/>
              </w:rPr>
              <w:t>568</w:t>
            </w:r>
            <w:r>
              <w:rPr>
                <w:rFonts w:ascii="宋体" w:hAnsi="宋体" w:cs="宋体" w:eastAsia="宋体" w:hint="default"/>
                <w:spacing w:val="-55"/>
                <w:sz w:val="21"/>
                <w:szCs w:val="21"/>
              </w:rPr>
              <w:t> </w:t>
            </w:r>
            <w:r>
              <w:rPr>
                <w:rFonts w:ascii="宋体" w:hAnsi="宋体" w:cs="宋体" w:eastAsia="宋体" w:hint="default"/>
                <w:sz w:val="21"/>
                <w:szCs w:val="21"/>
              </w:rPr>
              <w:t>号证券投资集合资金信</w:t>
            </w:r>
            <w:r>
              <w:rPr>
                <w:rFonts w:ascii="宋体" w:hAnsi="宋体" w:cs="宋体" w:eastAsia="宋体" w:hint="default"/>
                <w:w w:val="100"/>
                <w:sz w:val="21"/>
                <w:szCs w:val="21"/>
              </w:rPr>
              <w:t> </w:t>
            </w:r>
            <w:r>
              <w:rPr>
                <w:rFonts w:ascii="宋体" w:hAnsi="宋体" w:cs="宋体" w:eastAsia="宋体" w:hint="default"/>
                <w:sz w:val="21"/>
                <w:szCs w:val="21"/>
              </w:rPr>
              <w:t>托计划</w:t>
            </w:r>
          </w:p>
        </w:tc>
        <w:tc>
          <w:tcPr>
            <w:tcW w:w="25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375" w:right="0"/>
              <w:jc w:val="left"/>
              <w:rPr>
                <w:rFonts w:ascii="宋体" w:hAnsi="宋体" w:cs="宋体" w:eastAsia="宋体" w:hint="default"/>
                <w:sz w:val="21"/>
                <w:szCs w:val="21"/>
              </w:rPr>
            </w:pPr>
            <w:r>
              <w:rPr>
                <w:rFonts w:ascii="宋体"/>
                <w:sz w:val="21"/>
              </w:rPr>
              <w:t>36,267,110</w:t>
            </w:r>
          </w:p>
        </w:tc>
        <w:tc>
          <w:tcPr>
            <w:tcW w:w="11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338" w:right="130" w:hanging="212"/>
              <w:jc w:val="left"/>
              <w:rPr>
                <w:rFonts w:ascii="宋体" w:hAnsi="宋体" w:cs="宋体" w:eastAsia="宋体" w:hint="default"/>
                <w:sz w:val="21"/>
                <w:szCs w:val="21"/>
              </w:rPr>
            </w:pPr>
            <w:r>
              <w:rPr>
                <w:rFonts w:ascii="宋体" w:hAnsi="宋体" w:cs="宋体" w:eastAsia="宋体" w:hint="default"/>
                <w:sz w:val="21"/>
                <w:szCs w:val="21"/>
              </w:rPr>
              <w:t>人民币普</w:t>
            </w:r>
            <w:r>
              <w:rPr>
                <w:rFonts w:ascii="宋体" w:hAnsi="宋体" w:cs="宋体" w:eastAsia="宋体" w:hint="default"/>
                <w:w w:val="100"/>
                <w:sz w:val="21"/>
                <w:szCs w:val="21"/>
              </w:rPr>
              <w:t> </w:t>
            </w:r>
            <w:r>
              <w:rPr>
                <w:rFonts w:ascii="宋体" w:hAnsi="宋体" w:cs="宋体" w:eastAsia="宋体" w:hint="default"/>
                <w:sz w:val="21"/>
                <w:szCs w:val="21"/>
              </w:rPr>
              <w:t>通股</w:t>
            </w:r>
          </w:p>
        </w:tc>
        <w:tc>
          <w:tcPr>
            <w:tcW w:w="13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06" w:right="0"/>
              <w:jc w:val="left"/>
              <w:rPr>
                <w:rFonts w:ascii="宋体" w:hAnsi="宋体" w:cs="宋体" w:eastAsia="宋体" w:hint="default"/>
                <w:sz w:val="21"/>
                <w:szCs w:val="21"/>
              </w:rPr>
            </w:pPr>
            <w:r>
              <w:rPr>
                <w:rFonts w:ascii="宋体"/>
                <w:sz w:val="21"/>
              </w:rPr>
              <w:t>36,267,110</w:t>
            </w:r>
          </w:p>
        </w:tc>
      </w:tr>
      <w:tr>
        <w:trPr>
          <w:trHeight w:val="554" w:hRule="exact"/>
        </w:trPr>
        <w:tc>
          <w:tcPr>
            <w:tcW w:w="38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马信琪</w:t>
            </w:r>
          </w:p>
        </w:tc>
        <w:tc>
          <w:tcPr>
            <w:tcW w:w="25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375" w:right="0"/>
              <w:jc w:val="left"/>
              <w:rPr>
                <w:rFonts w:ascii="宋体" w:hAnsi="宋体" w:cs="宋体" w:eastAsia="宋体" w:hint="default"/>
                <w:sz w:val="21"/>
                <w:szCs w:val="21"/>
              </w:rPr>
            </w:pPr>
            <w:r>
              <w:rPr>
                <w:rFonts w:ascii="宋体"/>
                <w:sz w:val="21"/>
              </w:rPr>
              <w:t>35,544,428</w:t>
            </w:r>
          </w:p>
        </w:tc>
        <w:tc>
          <w:tcPr>
            <w:tcW w:w="11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3"/>
              <w:jc w:val="center"/>
              <w:rPr>
                <w:rFonts w:ascii="宋体" w:hAnsi="宋体" w:cs="宋体" w:eastAsia="宋体" w:hint="default"/>
                <w:sz w:val="21"/>
                <w:szCs w:val="21"/>
              </w:rPr>
            </w:pPr>
            <w:r>
              <w:rPr>
                <w:rFonts w:ascii="宋体" w:hAnsi="宋体" w:cs="宋体" w:eastAsia="宋体" w:hint="default"/>
                <w:sz w:val="21"/>
                <w:szCs w:val="21"/>
              </w:rPr>
              <w:t>人民币普</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通股</w:t>
            </w:r>
          </w:p>
        </w:tc>
        <w:tc>
          <w:tcPr>
            <w:tcW w:w="13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06" w:right="0"/>
              <w:jc w:val="left"/>
              <w:rPr>
                <w:rFonts w:ascii="宋体" w:hAnsi="宋体" w:cs="宋体" w:eastAsia="宋体" w:hint="default"/>
                <w:sz w:val="21"/>
                <w:szCs w:val="21"/>
              </w:rPr>
            </w:pPr>
            <w:r>
              <w:rPr>
                <w:rFonts w:ascii="宋体"/>
                <w:sz w:val="21"/>
              </w:rPr>
              <w:t>35,544,428</w:t>
            </w:r>
          </w:p>
        </w:tc>
      </w:tr>
      <w:tr>
        <w:trPr>
          <w:trHeight w:val="554" w:hRule="exact"/>
        </w:trPr>
        <w:tc>
          <w:tcPr>
            <w:tcW w:w="38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中国证券金融股份有限公司</w:t>
            </w:r>
          </w:p>
        </w:tc>
        <w:tc>
          <w:tcPr>
            <w:tcW w:w="25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375" w:right="0"/>
              <w:jc w:val="left"/>
              <w:rPr>
                <w:rFonts w:ascii="宋体" w:hAnsi="宋体" w:cs="宋体" w:eastAsia="宋体" w:hint="default"/>
                <w:sz w:val="21"/>
                <w:szCs w:val="21"/>
              </w:rPr>
            </w:pPr>
            <w:r>
              <w:rPr>
                <w:rFonts w:ascii="宋体"/>
                <w:sz w:val="21"/>
              </w:rPr>
              <w:t>29,174,447</w:t>
            </w:r>
          </w:p>
        </w:tc>
        <w:tc>
          <w:tcPr>
            <w:tcW w:w="11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3"/>
              <w:jc w:val="center"/>
              <w:rPr>
                <w:rFonts w:ascii="宋体" w:hAnsi="宋体" w:cs="宋体" w:eastAsia="宋体" w:hint="default"/>
                <w:sz w:val="21"/>
                <w:szCs w:val="21"/>
              </w:rPr>
            </w:pPr>
            <w:r>
              <w:rPr>
                <w:rFonts w:ascii="宋体" w:hAnsi="宋体" w:cs="宋体" w:eastAsia="宋体" w:hint="default"/>
                <w:sz w:val="21"/>
                <w:szCs w:val="21"/>
              </w:rPr>
              <w:t>人民币普</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通股</w:t>
            </w:r>
          </w:p>
        </w:tc>
        <w:tc>
          <w:tcPr>
            <w:tcW w:w="13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06" w:right="0"/>
              <w:jc w:val="left"/>
              <w:rPr>
                <w:rFonts w:ascii="宋体" w:hAnsi="宋体" w:cs="宋体" w:eastAsia="宋体" w:hint="default"/>
                <w:sz w:val="21"/>
                <w:szCs w:val="21"/>
              </w:rPr>
            </w:pPr>
            <w:r>
              <w:rPr>
                <w:rFonts w:ascii="宋体"/>
                <w:sz w:val="21"/>
              </w:rPr>
              <w:t>29,174,447</w:t>
            </w:r>
          </w:p>
        </w:tc>
      </w:tr>
      <w:tr>
        <w:trPr>
          <w:trHeight w:val="554" w:hRule="exact"/>
        </w:trPr>
        <w:tc>
          <w:tcPr>
            <w:tcW w:w="38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中央汇金资产管理有限责任公司</w:t>
            </w:r>
          </w:p>
        </w:tc>
        <w:tc>
          <w:tcPr>
            <w:tcW w:w="25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375" w:right="0"/>
              <w:jc w:val="left"/>
              <w:rPr>
                <w:rFonts w:ascii="宋体" w:hAnsi="宋体" w:cs="宋体" w:eastAsia="宋体" w:hint="default"/>
                <w:sz w:val="21"/>
                <w:szCs w:val="21"/>
              </w:rPr>
            </w:pPr>
            <w:r>
              <w:rPr>
                <w:rFonts w:ascii="宋体"/>
                <w:sz w:val="21"/>
              </w:rPr>
              <w:t>16,988,700</w:t>
            </w:r>
          </w:p>
        </w:tc>
        <w:tc>
          <w:tcPr>
            <w:tcW w:w="11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3"/>
              <w:jc w:val="center"/>
              <w:rPr>
                <w:rFonts w:ascii="宋体" w:hAnsi="宋体" w:cs="宋体" w:eastAsia="宋体" w:hint="default"/>
                <w:sz w:val="21"/>
                <w:szCs w:val="21"/>
              </w:rPr>
            </w:pPr>
            <w:r>
              <w:rPr>
                <w:rFonts w:ascii="宋体" w:hAnsi="宋体" w:cs="宋体" w:eastAsia="宋体" w:hint="default"/>
                <w:sz w:val="21"/>
                <w:szCs w:val="21"/>
              </w:rPr>
              <w:t>人民币普</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通股</w:t>
            </w:r>
          </w:p>
        </w:tc>
        <w:tc>
          <w:tcPr>
            <w:tcW w:w="13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06" w:right="0"/>
              <w:jc w:val="left"/>
              <w:rPr>
                <w:rFonts w:ascii="宋体" w:hAnsi="宋体" w:cs="宋体" w:eastAsia="宋体" w:hint="default"/>
                <w:sz w:val="21"/>
                <w:szCs w:val="21"/>
              </w:rPr>
            </w:pPr>
            <w:r>
              <w:rPr>
                <w:rFonts w:ascii="宋体"/>
                <w:sz w:val="21"/>
              </w:rPr>
              <w:t>16,988,700</w:t>
            </w:r>
          </w:p>
        </w:tc>
      </w:tr>
    </w:tbl>
    <w:p>
      <w:pPr>
        <w:spacing w:after="0" w:line="241" w:lineRule="exact"/>
        <w:jc w:val="left"/>
        <w:rPr>
          <w:rFonts w:ascii="宋体" w:hAnsi="宋体" w:cs="宋体" w:eastAsia="宋体" w:hint="default"/>
          <w:sz w:val="21"/>
          <w:szCs w:val="21"/>
        </w:rPr>
        <w:sectPr>
          <w:pgSz w:w="11910" w:h="16840"/>
          <w:pgMar w:header="855" w:footer="1195" w:top="1320" w:bottom="1380" w:left="1580" w:right="1120"/>
        </w:sectPr>
      </w:pPr>
    </w:p>
    <w:p>
      <w:pPr>
        <w:spacing w:line="240" w:lineRule="auto" w:before="8"/>
        <w:rPr>
          <w:rFonts w:ascii="Times New Roman" w:hAnsi="Times New Roman" w:cs="Times New Roman" w:eastAsia="Times New Roman" w:hint="default"/>
          <w:sz w:val="16"/>
          <w:szCs w:val="16"/>
        </w:rPr>
      </w:pPr>
    </w:p>
    <w:tbl>
      <w:tblPr>
        <w:tblW w:w="0" w:type="auto"/>
        <w:jc w:val="left"/>
        <w:tblInd w:w="105" w:type="dxa"/>
        <w:tblLayout w:type="fixed"/>
        <w:tblCellMar>
          <w:top w:w="0" w:type="dxa"/>
          <w:left w:w="0" w:type="dxa"/>
          <w:bottom w:w="0" w:type="dxa"/>
          <w:right w:w="0" w:type="dxa"/>
        </w:tblCellMar>
        <w:tblLook w:val="01E0"/>
      </w:tblPr>
      <w:tblGrid>
        <w:gridCol w:w="3802"/>
        <w:gridCol w:w="5022"/>
      </w:tblGrid>
      <w:tr>
        <w:trPr>
          <w:trHeight w:val="3553" w:hRule="exact"/>
        </w:trPr>
        <w:tc>
          <w:tcPr>
            <w:tcW w:w="3802"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上述股东关联关系或一致行动的说明</w:t>
            </w:r>
          </w:p>
        </w:tc>
        <w:tc>
          <w:tcPr>
            <w:tcW w:w="5022"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北京用友科技有限公司</w:t>
            </w:r>
            <w:r>
              <w:rPr>
                <w:rFonts w:ascii="宋体" w:hAnsi="宋体" w:cs="宋体" w:eastAsia="宋体" w:hint="default"/>
                <w:spacing w:val="-3"/>
                <w:sz w:val="21"/>
                <w:szCs w:val="21"/>
              </w:rPr>
              <w:t>(</w:t>
            </w:r>
            <w:r>
              <w:rPr>
                <w:rFonts w:ascii="宋体" w:hAnsi="宋体" w:cs="宋体" w:eastAsia="宋体" w:hint="default"/>
                <w:spacing w:val="-3"/>
                <w:sz w:val="21"/>
                <w:szCs w:val="21"/>
              </w:rPr>
              <w:t>简称“用友科技”)、上海用</w:t>
            </w:r>
          </w:p>
          <w:p>
            <w:pPr>
              <w:pStyle w:val="TableParagraph"/>
              <w:spacing w:line="237" w:lineRule="auto"/>
              <w:ind w:left="103" w:right="98"/>
              <w:jc w:val="left"/>
              <w:rPr>
                <w:rFonts w:ascii="宋体" w:hAnsi="宋体" w:cs="宋体" w:eastAsia="宋体" w:hint="default"/>
                <w:sz w:val="21"/>
                <w:szCs w:val="21"/>
              </w:rPr>
            </w:pPr>
            <w:r>
              <w:rPr>
                <w:rFonts w:ascii="宋体" w:hAnsi="宋体" w:cs="宋体" w:eastAsia="宋体" w:hint="default"/>
                <w:sz w:val="21"/>
                <w:szCs w:val="21"/>
              </w:rPr>
              <w:t>友科技咨询有限公司</w:t>
            </w:r>
            <w:r>
              <w:rPr>
                <w:rFonts w:ascii="宋体" w:hAnsi="宋体" w:cs="宋体" w:eastAsia="宋体" w:hint="default"/>
                <w:sz w:val="21"/>
                <w:szCs w:val="21"/>
              </w:rPr>
              <w:t>(</w:t>
            </w:r>
            <w:r>
              <w:rPr>
                <w:rFonts w:ascii="宋体" w:hAnsi="宋体" w:cs="宋体" w:eastAsia="宋体" w:hint="default"/>
                <w:sz w:val="21"/>
                <w:szCs w:val="21"/>
              </w:rPr>
              <w:t>简称“用友咨询”)和北京用</w:t>
            </w:r>
            <w:r>
              <w:rPr>
                <w:rFonts w:ascii="宋体" w:hAnsi="宋体" w:cs="宋体" w:eastAsia="宋体" w:hint="default"/>
                <w:w w:val="100"/>
                <w:sz w:val="21"/>
                <w:szCs w:val="21"/>
              </w:rPr>
              <w:t> </w:t>
            </w:r>
            <w:r>
              <w:rPr>
                <w:rFonts w:ascii="宋体" w:hAnsi="宋体" w:cs="宋体" w:eastAsia="宋体" w:hint="default"/>
                <w:sz w:val="21"/>
                <w:szCs w:val="21"/>
              </w:rPr>
              <w:t>友企业管理研究所有限公司</w:t>
            </w:r>
            <w:r>
              <w:rPr>
                <w:rFonts w:ascii="宋体" w:hAnsi="宋体" w:cs="宋体" w:eastAsia="宋体" w:hint="default"/>
                <w:sz w:val="21"/>
                <w:szCs w:val="21"/>
              </w:rPr>
              <w:t>(</w:t>
            </w:r>
            <w:r>
              <w:rPr>
                <w:rFonts w:ascii="宋体" w:hAnsi="宋体" w:cs="宋体" w:eastAsia="宋体" w:hint="default"/>
                <w:sz w:val="21"/>
                <w:szCs w:val="21"/>
              </w:rPr>
              <w:t>简称“用友研究所”)</w:t>
            </w:r>
            <w:r>
              <w:rPr>
                <w:rFonts w:ascii="宋体" w:hAnsi="宋体" w:cs="宋体" w:eastAsia="宋体" w:hint="default"/>
                <w:w w:val="100"/>
                <w:sz w:val="21"/>
                <w:szCs w:val="21"/>
              </w:rPr>
              <w:t> </w:t>
            </w:r>
            <w:r>
              <w:rPr>
                <w:rFonts w:ascii="宋体" w:hAnsi="宋体" w:cs="宋体" w:eastAsia="宋体" w:hint="default"/>
                <w:spacing w:val="-3"/>
                <w:sz w:val="21"/>
                <w:szCs w:val="21"/>
              </w:rPr>
              <w:t>因受相同控股股东控制而存在关联关系，上海益倍管</w:t>
            </w:r>
            <w:r>
              <w:rPr>
                <w:rFonts w:ascii="宋体" w:hAnsi="宋体" w:cs="宋体" w:eastAsia="宋体" w:hint="default"/>
                <w:spacing w:val="-67"/>
                <w:sz w:val="21"/>
                <w:szCs w:val="21"/>
              </w:rPr>
              <w:t> </w:t>
            </w:r>
            <w:r>
              <w:rPr>
                <w:rFonts w:ascii="宋体" w:hAnsi="宋体" w:cs="宋体" w:eastAsia="宋体" w:hint="default"/>
                <w:spacing w:val="-67"/>
                <w:sz w:val="21"/>
                <w:szCs w:val="21"/>
              </w:rPr>
            </w:r>
            <w:r>
              <w:rPr>
                <w:rFonts w:ascii="宋体" w:hAnsi="宋体" w:cs="宋体" w:eastAsia="宋体" w:hint="default"/>
                <w:sz w:val="21"/>
                <w:szCs w:val="21"/>
              </w:rPr>
              <w:t>理咨询有限公司</w:t>
            </w:r>
            <w:r>
              <w:rPr>
                <w:rFonts w:ascii="宋体" w:hAnsi="宋体" w:cs="宋体" w:eastAsia="宋体" w:hint="default"/>
                <w:sz w:val="21"/>
                <w:szCs w:val="21"/>
              </w:rPr>
              <w:t>(</w:t>
            </w:r>
            <w:r>
              <w:rPr>
                <w:rFonts w:ascii="宋体" w:hAnsi="宋体" w:cs="宋体" w:eastAsia="宋体" w:hint="default"/>
                <w:sz w:val="21"/>
                <w:szCs w:val="21"/>
              </w:rPr>
              <w:t>简称“上海益倍”)与共青城优富</w:t>
            </w:r>
            <w:r>
              <w:rPr>
                <w:rFonts w:ascii="宋体" w:hAnsi="宋体" w:cs="宋体" w:eastAsia="宋体" w:hint="default"/>
                <w:w w:val="100"/>
                <w:sz w:val="21"/>
                <w:szCs w:val="21"/>
              </w:rPr>
              <w:t> </w:t>
            </w:r>
            <w:r>
              <w:rPr>
                <w:rFonts w:ascii="宋体" w:hAnsi="宋体" w:cs="宋体" w:eastAsia="宋体" w:hint="default"/>
                <w:sz w:val="21"/>
                <w:szCs w:val="21"/>
              </w:rPr>
              <w:t>投资管理合伙企业（有限合伙）</w:t>
            </w:r>
            <w:r>
              <w:rPr>
                <w:rFonts w:ascii="宋体" w:hAnsi="宋体" w:cs="宋体" w:eastAsia="宋体" w:hint="default"/>
                <w:sz w:val="21"/>
                <w:szCs w:val="21"/>
              </w:rPr>
              <w:t>(</w:t>
            </w:r>
            <w:r>
              <w:rPr>
                <w:rFonts w:ascii="宋体" w:hAnsi="宋体" w:cs="宋体" w:eastAsia="宋体" w:hint="default"/>
                <w:sz w:val="21"/>
                <w:szCs w:val="21"/>
              </w:rPr>
              <w:t>简称“共青城优</w:t>
            </w:r>
            <w:r>
              <w:rPr>
                <w:rFonts w:ascii="宋体" w:hAnsi="宋体" w:cs="宋体" w:eastAsia="宋体" w:hint="default"/>
                <w:w w:val="100"/>
                <w:sz w:val="21"/>
                <w:szCs w:val="21"/>
              </w:rPr>
              <w:t> </w:t>
            </w:r>
            <w:r>
              <w:rPr>
                <w:rFonts w:ascii="宋体" w:hAnsi="宋体" w:cs="宋体" w:eastAsia="宋体" w:hint="default"/>
                <w:sz w:val="21"/>
                <w:szCs w:val="21"/>
              </w:rPr>
              <w:t>富”)因其执行董事同时担任用友咨询与用友研究所</w:t>
            </w:r>
            <w:r>
              <w:rPr>
                <w:rFonts w:ascii="宋体" w:hAnsi="宋体" w:cs="宋体" w:eastAsia="宋体" w:hint="default"/>
                <w:w w:val="100"/>
                <w:sz w:val="21"/>
                <w:szCs w:val="21"/>
              </w:rPr>
              <w:t> </w:t>
            </w:r>
            <w:r>
              <w:rPr>
                <w:rFonts w:ascii="宋体" w:hAnsi="宋体" w:cs="宋体" w:eastAsia="宋体" w:hint="default"/>
                <w:sz w:val="21"/>
                <w:szCs w:val="21"/>
              </w:rPr>
              <w:t>的董事而分别与用友咨询和用友研究所形成关联关</w:t>
            </w:r>
            <w:r>
              <w:rPr>
                <w:rFonts w:ascii="宋体" w:hAnsi="宋体" w:cs="宋体" w:eastAsia="宋体" w:hint="default"/>
                <w:w w:val="100"/>
                <w:sz w:val="21"/>
                <w:szCs w:val="21"/>
              </w:rPr>
              <w:t> </w:t>
            </w:r>
            <w:r>
              <w:rPr>
                <w:rFonts w:ascii="宋体" w:hAnsi="宋体" w:cs="宋体" w:eastAsia="宋体" w:hint="default"/>
                <w:spacing w:val="-3"/>
                <w:sz w:val="21"/>
                <w:szCs w:val="21"/>
              </w:rPr>
              <w:t>系。上海益倍与共青城优富因受不同控股股东控制而</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pacing w:val="-3"/>
                <w:sz w:val="21"/>
                <w:szCs w:val="21"/>
              </w:rPr>
              <w:t>不存在关联关系，与用友科技因受不同控股股东控制</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pacing w:val="-3"/>
                <w:sz w:val="21"/>
                <w:szCs w:val="21"/>
              </w:rPr>
              <w:t>也不存在关联关系。上述五家股东与其他股东之间不</w:t>
            </w:r>
            <w:r>
              <w:rPr>
                <w:rFonts w:ascii="宋体" w:hAnsi="宋体" w:cs="宋体" w:eastAsia="宋体" w:hint="default"/>
                <w:spacing w:val="-67"/>
                <w:sz w:val="21"/>
                <w:szCs w:val="21"/>
              </w:rPr>
              <w:t> </w:t>
            </w:r>
            <w:r>
              <w:rPr>
                <w:rFonts w:ascii="宋体" w:hAnsi="宋体" w:cs="宋体" w:eastAsia="宋体" w:hint="default"/>
                <w:spacing w:val="-67"/>
                <w:sz w:val="21"/>
                <w:szCs w:val="21"/>
              </w:rPr>
            </w:r>
            <w:r>
              <w:rPr>
                <w:rFonts w:ascii="宋体" w:hAnsi="宋体" w:cs="宋体" w:eastAsia="宋体" w:hint="default"/>
                <w:spacing w:val="-3"/>
                <w:sz w:val="21"/>
                <w:szCs w:val="21"/>
              </w:rPr>
              <w:t>存在关联关系。本公司不了解其他股东之间是否存在</w:t>
            </w:r>
            <w:r>
              <w:rPr>
                <w:rFonts w:ascii="宋体" w:hAnsi="宋体" w:cs="宋体" w:eastAsia="宋体" w:hint="default"/>
                <w:spacing w:val="-67"/>
                <w:sz w:val="21"/>
                <w:szCs w:val="21"/>
              </w:rPr>
              <w:t> </w:t>
            </w:r>
            <w:r>
              <w:rPr>
                <w:rFonts w:ascii="宋体" w:hAnsi="宋体" w:cs="宋体" w:eastAsia="宋体" w:hint="default"/>
                <w:spacing w:val="-67"/>
                <w:sz w:val="21"/>
                <w:szCs w:val="21"/>
              </w:rPr>
            </w:r>
            <w:r>
              <w:rPr>
                <w:rFonts w:ascii="宋体" w:hAnsi="宋体" w:cs="宋体" w:eastAsia="宋体" w:hint="default"/>
                <w:sz w:val="21"/>
                <w:szCs w:val="21"/>
              </w:rPr>
              <w:t>关联关系或是否是一致行动人。</w:t>
            </w:r>
          </w:p>
        </w:tc>
      </w:tr>
      <w:tr>
        <w:trPr>
          <w:trHeight w:val="554" w:hRule="exact"/>
        </w:trPr>
        <w:tc>
          <w:tcPr>
            <w:tcW w:w="380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表决权恢复的优先股股东及持股数量的</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说明</w:t>
            </w:r>
          </w:p>
        </w:tc>
        <w:tc>
          <w:tcPr>
            <w:tcW w:w="50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无。</w:t>
            </w:r>
          </w:p>
        </w:tc>
      </w:tr>
    </w:tbl>
    <w:p>
      <w:pPr>
        <w:spacing w:line="240" w:lineRule="auto" w:before="8"/>
        <w:rPr>
          <w:rFonts w:ascii="Times New Roman" w:hAnsi="Times New Roman" w:cs="Times New Roman" w:eastAsia="Times New Roman" w:hint="default"/>
          <w:sz w:val="17"/>
          <w:szCs w:val="17"/>
        </w:rPr>
      </w:pPr>
    </w:p>
    <w:p>
      <w:pPr>
        <w:pStyle w:val="BodyText"/>
        <w:spacing w:line="273" w:lineRule="exact" w:before="36"/>
        <w:ind w:right="147"/>
        <w:jc w:val="left"/>
      </w:pPr>
      <w:r>
        <w:rPr/>
        <w:t>前十名有限售条件股东持股数量及限售条件</w:t>
      </w:r>
    </w:p>
    <w:p>
      <w:pPr>
        <w:pStyle w:val="BodyText"/>
        <w:spacing w:line="273" w:lineRule="exact"/>
        <w:ind w:right="147"/>
        <w:jc w:val="left"/>
      </w:pPr>
      <w:r>
        <w:rPr/>
        <w:t>□适用</w:t>
      </w:r>
      <w:r>
        <w:rPr>
          <w:spacing w:val="-1"/>
        </w:rPr>
        <w:t> </w:t>
      </w:r>
      <w:r>
        <w:rPr/>
        <w:t>√不适用</w:t>
      </w:r>
    </w:p>
    <w:p>
      <w:pPr>
        <w:pStyle w:val="Heading3"/>
        <w:tabs>
          <w:tab w:pos="784" w:val="left" w:leader="none"/>
        </w:tabs>
        <w:spacing w:line="240" w:lineRule="auto" w:before="56"/>
        <w:ind w:right="147"/>
        <w:jc w:val="left"/>
        <w:rPr>
          <w:b w:val="0"/>
          <w:bCs w:val="0"/>
        </w:rPr>
      </w:pPr>
      <w:r>
        <w:rPr>
          <w:rFonts w:ascii="Calibri" w:hAnsi="Calibri" w:cs="Calibri" w:eastAsia="Calibri" w:hint="default"/>
        </w:rPr>
        <w:t>(</w:t>
      </w:r>
      <w:r>
        <w:rPr/>
        <w:t>三</w:t>
      </w:r>
      <w:r>
        <w:rPr>
          <w:rFonts w:ascii="Calibri" w:hAnsi="Calibri" w:cs="Calibri" w:eastAsia="Calibri" w:hint="default"/>
        </w:rPr>
        <w:t>)</w:t>
        <w:tab/>
      </w:r>
      <w:r>
        <w:rPr/>
        <w:t>战略投资者或一般法人因配售新股成为前</w:t>
      </w:r>
      <w:r>
        <w:rPr>
          <w:spacing w:val="-53"/>
        </w:rPr>
        <w:t> </w:t>
      </w:r>
      <w:r>
        <w:rPr>
          <w:rFonts w:ascii="Calibri" w:hAnsi="Calibri" w:cs="Calibri" w:eastAsia="Calibri" w:hint="default"/>
        </w:rPr>
        <w:t>10</w:t>
      </w:r>
      <w:r>
        <w:rPr>
          <w:rFonts w:ascii="Calibri" w:hAnsi="Calibri" w:cs="Calibri" w:eastAsia="Calibri" w:hint="default"/>
          <w:spacing w:val="4"/>
        </w:rPr>
        <w:t> </w:t>
      </w:r>
      <w:r>
        <w:rPr/>
        <w:t>名股东</w:t>
      </w:r>
      <w:r>
        <w:rPr>
          <w:b w:val="0"/>
          <w:bCs w:val="0"/>
        </w:rPr>
      </w:r>
    </w:p>
    <w:p>
      <w:pPr>
        <w:pStyle w:val="BodyText"/>
        <w:spacing w:line="240" w:lineRule="auto" w:before="32"/>
        <w:ind w:right="147"/>
        <w:jc w:val="left"/>
      </w:pPr>
      <w:r>
        <w:rPr/>
        <w:t>□适用</w:t>
      </w:r>
      <w:r>
        <w:rPr>
          <w:spacing w:val="-1"/>
        </w:rPr>
        <w:t> </w:t>
      </w:r>
      <w:r>
        <w:rPr/>
        <w:t>√不适用</w:t>
      </w:r>
    </w:p>
    <w:p>
      <w:pPr>
        <w:pStyle w:val="Heading3"/>
        <w:spacing w:line="240" w:lineRule="auto" w:before="56"/>
        <w:ind w:right="147"/>
        <w:jc w:val="left"/>
        <w:rPr>
          <w:b w:val="0"/>
          <w:bCs w:val="0"/>
        </w:rPr>
      </w:pPr>
      <w:r>
        <w:rPr/>
        <w:t>四、</w:t>
      </w:r>
      <w:r>
        <w:rPr>
          <w:spacing w:val="-79"/>
        </w:rPr>
        <w:t> </w:t>
      </w:r>
      <w:r>
        <w:rPr/>
        <w:t>控股股东及实际控制人情况</w:t>
      </w:r>
      <w:r>
        <w:rPr>
          <w:b w:val="0"/>
          <w:bCs w:val="0"/>
        </w:rPr>
      </w:r>
    </w:p>
    <w:p>
      <w:pPr>
        <w:pStyle w:val="Heading3"/>
        <w:tabs>
          <w:tab w:pos="637" w:val="left" w:leader="none"/>
        </w:tabs>
        <w:spacing w:line="264" w:lineRule="auto" w:before="58"/>
        <w:ind w:right="7299"/>
        <w:jc w:val="left"/>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31"/>
        </w:rPr>
        <w:t> </w:t>
      </w:r>
      <w:r>
        <w:rPr/>
        <w:t>控股股东情况</w:t>
      </w:r>
      <w:r>
        <w:rPr>
          <w:w w:val="100"/>
        </w:rPr>
        <w:t> </w:t>
      </w:r>
      <w:r>
        <w:rPr>
          <w:rFonts w:ascii="宋体" w:hAnsi="宋体" w:cs="宋体" w:eastAsia="宋体" w:hint="default"/>
          <w:w w:val="95"/>
        </w:rPr>
        <w:t>1</w:t>
        <w:tab/>
      </w:r>
      <w:r>
        <w:rPr/>
        <w:t>法人</w:t>
      </w:r>
      <w:r>
        <w:rPr>
          <w:b w:val="0"/>
          <w:bCs w:val="0"/>
        </w:rPr>
      </w:r>
    </w:p>
    <w:p>
      <w:pPr>
        <w:pStyle w:val="BodyText"/>
        <w:spacing w:line="240" w:lineRule="auto" w:before="38"/>
        <w:ind w:right="147"/>
        <w:jc w:val="left"/>
      </w:pPr>
      <w:r>
        <w:rPr/>
        <w:t>√适用</w:t>
      </w:r>
      <w:r>
        <w:rPr>
          <w:spacing w:val="-1"/>
        </w:rPr>
        <w:t> </w:t>
      </w:r>
      <w:r>
        <w:rPr/>
        <w:t>□不适用</w:t>
      </w: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291"/>
        <w:gridCol w:w="5533"/>
      </w:tblGrid>
      <w:tr>
        <w:trPr>
          <w:trHeight w:val="283" w:hRule="exact"/>
        </w:trPr>
        <w:tc>
          <w:tcPr>
            <w:tcW w:w="329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名称</w:t>
            </w:r>
          </w:p>
        </w:tc>
        <w:tc>
          <w:tcPr>
            <w:tcW w:w="553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北京用友科技有限公司</w:t>
            </w:r>
          </w:p>
        </w:tc>
      </w:tr>
      <w:tr>
        <w:trPr>
          <w:trHeight w:val="283" w:hRule="exact"/>
        </w:trPr>
        <w:tc>
          <w:tcPr>
            <w:tcW w:w="32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单位负责人或法定代表人</w:t>
            </w:r>
          </w:p>
        </w:tc>
        <w:tc>
          <w:tcPr>
            <w:tcW w:w="55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r>
      <w:tr>
        <w:trPr>
          <w:trHeight w:val="281" w:hRule="exact"/>
        </w:trPr>
        <w:tc>
          <w:tcPr>
            <w:tcW w:w="32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成立日期</w:t>
            </w:r>
          </w:p>
        </w:tc>
        <w:tc>
          <w:tcPr>
            <w:tcW w:w="55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1999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15</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554" w:hRule="exact"/>
        </w:trPr>
        <w:tc>
          <w:tcPr>
            <w:tcW w:w="32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主要经营业务</w:t>
            </w:r>
          </w:p>
        </w:tc>
        <w:tc>
          <w:tcPr>
            <w:tcW w:w="553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技术开发、技术转让、技术咨询、技术服务；企业管理咨</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询、经济信息咨询；项目投资；投资管理</w:t>
            </w:r>
          </w:p>
        </w:tc>
      </w:tr>
      <w:tr>
        <w:trPr>
          <w:trHeight w:val="557" w:hRule="exact"/>
        </w:trPr>
        <w:tc>
          <w:tcPr>
            <w:tcW w:w="32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pacing w:val="7"/>
                <w:sz w:val="21"/>
                <w:szCs w:val="21"/>
              </w:rPr>
              <w:t>报告期内控股和参股的其他境内</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外上市公司的股权情况</w:t>
            </w:r>
          </w:p>
        </w:tc>
        <w:tc>
          <w:tcPr>
            <w:tcW w:w="553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281" w:hRule="exact"/>
        </w:trPr>
        <w:tc>
          <w:tcPr>
            <w:tcW w:w="32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其他情况说明</w:t>
            </w:r>
          </w:p>
        </w:tc>
        <w:tc>
          <w:tcPr>
            <w:tcW w:w="55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无</w:t>
            </w:r>
          </w:p>
        </w:tc>
      </w:tr>
    </w:tbl>
    <w:p>
      <w:pPr>
        <w:spacing w:line="240" w:lineRule="auto" w:before="2"/>
        <w:rPr>
          <w:rFonts w:ascii="宋体" w:hAnsi="宋体" w:cs="宋体" w:eastAsia="宋体" w:hint="default"/>
          <w:sz w:val="20"/>
          <w:szCs w:val="20"/>
        </w:rPr>
      </w:pPr>
    </w:p>
    <w:p>
      <w:pPr>
        <w:pStyle w:val="Heading3"/>
        <w:tabs>
          <w:tab w:pos="637" w:val="left" w:leader="none"/>
        </w:tabs>
        <w:spacing w:line="240" w:lineRule="auto" w:before="36"/>
        <w:ind w:right="147"/>
        <w:jc w:val="left"/>
        <w:rPr>
          <w:b w:val="0"/>
          <w:bCs w:val="0"/>
        </w:rPr>
      </w:pPr>
      <w:r>
        <w:rPr>
          <w:rFonts w:ascii="宋体" w:hAnsi="宋体" w:cs="宋体" w:eastAsia="宋体" w:hint="default"/>
          <w:w w:val="95"/>
        </w:rPr>
        <w:t>2</w:t>
        <w:tab/>
      </w:r>
      <w:r>
        <w:rPr/>
        <w:t>自然人</w:t>
      </w:r>
      <w:r>
        <w:rPr>
          <w:b w:val="0"/>
          <w:bCs w:val="0"/>
        </w:rPr>
      </w:r>
    </w:p>
    <w:p>
      <w:pPr>
        <w:pStyle w:val="BodyText"/>
        <w:spacing w:line="240" w:lineRule="auto" w:before="57"/>
        <w:ind w:right="147"/>
        <w:jc w:val="left"/>
      </w:pPr>
      <w:r>
        <w:rPr/>
        <w:t>□适用</w:t>
      </w:r>
      <w:r>
        <w:rPr>
          <w:spacing w:val="-1"/>
        </w:rPr>
        <w:t> </w:t>
      </w:r>
      <w:r>
        <w:rPr/>
        <w:t>√不适用</w:t>
      </w:r>
    </w:p>
    <w:p>
      <w:pPr>
        <w:pStyle w:val="Heading3"/>
        <w:tabs>
          <w:tab w:pos="637" w:val="left" w:leader="none"/>
        </w:tabs>
        <w:spacing w:line="240" w:lineRule="auto" w:before="58"/>
        <w:ind w:right="147"/>
        <w:jc w:val="left"/>
        <w:rPr>
          <w:b w:val="0"/>
          <w:bCs w:val="0"/>
        </w:rPr>
      </w:pPr>
      <w:r>
        <w:rPr>
          <w:rFonts w:ascii="宋体" w:hAnsi="宋体" w:cs="宋体" w:eastAsia="宋体" w:hint="default"/>
          <w:w w:val="95"/>
        </w:rPr>
        <w:t>3</w:t>
        <w:tab/>
      </w:r>
      <w:r>
        <w:rPr/>
        <w:t>公司不存在控股股东情况的特别说明</w:t>
      </w:r>
      <w:r>
        <w:rPr>
          <w:b w:val="0"/>
          <w:bCs w:val="0"/>
        </w:rPr>
      </w:r>
    </w:p>
    <w:p>
      <w:pPr>
        <w:pStyle w:val="BodyText"/>
        <w:tabs>
          <w:tab w:pos="1060" w:val="left" w:leader="none"/>
        </w:tabs>
        <w:spacing w:line="240" w:lineRule="auto" w:before="56"/>
        <w:ind w:right="147"/>
        <w:jc w:val="left"/>
      </w:pPr>
      <w:r>
        <w:rPr>
          <w:spacing w:val="-1"/>
        </w:rPr>
        <w:t>□适用</w:t>
        <w:tab/>
      </w:r>
      <w:r>
        <w:rPr>
          <w:spacing w:val="-2"/>
        </w:rPr>
        <w:t>√不适用</w:t>
      </w:r>
    </w:p>
    <w:p>
      <w:pPr>
        <w:pStyle w:val="Heading3"/>
        <w:tabs>
          <w:tab w:pos="637" w:val="left" w:leader="none"/>
        </w:tabs>
        <w:spacing w:line="240" w:lineRule="auto" w:before="58"/>
        <w:ind w:right="147"/>
        <w:jc w:val="left"/>
        <w:rPr>
          <w:b w:val="0"/>
          <w:bCs w:val="0"/>
        </w:rPr>
      </w:pPr>
      <w:r>
        <w:rPr>
          <w:rFonts w:ascii="宋体" w:hAnsi="宋体" w:cs="宋体" w:eastAsia="宋体" w:hint="default"/>
          <w:w w:val="95"/>
        </w:rPr>
        <w:t>4</w:t>
        <w:tab/>
      </w:r>
      <w:r>
        <w:rPr/>
        <w:t>报告期内控股股东变更情况索引及日期</w:t>
      </w:r>
      <w:r>
        <w:rPr>
          <w:b w:val="0"/>
          <w:bCs w:val="0"/>
        </w:rPr>
      </w:r>
    </w:p>
    <w:p>
      <w:pPr>
        <w:pStyle w:val="BodyText"/>
        <w:tabs>
          <w:tab w:pos="1060" w:val="left" w:leader="none"/>
        </w:tabs>
        <w:spacing w:line="240" w:lineRule="auto" w:before="56"/>
        <w:ind w:right="147"/>
        <w:jc w:val="left"/>
      </w:pPr>
      <w:r>
        <w:rPr>
          <w:spacing w:val="-1"/>
        </w:rPr>
        <w:t>□适用</w:t>
        <w:tab/>
      </w:r>
      <w:r>
        <w:rPr>
          <w:spacing w:val="-2"/>
        </w:rPr>
        <w:t>√不适用</w:t>
      </w:r>
    </w:p>
    <w:p>
      <w:pPr>
        <w:pStyle w:val="Heading3"/>
        <w:tabs>
          <w:tab w:pos="637" w:val="left" w:leader="none"/>
        </w:tabs>
        <w:spacing w:line="240" w:lineRule="auto" w:before="58"/>
        <w:ind w:right="147"/>
        <w:jc w:val="left"/>
        <w:rPr>
          <w:b w:val="0"/>
          <w:bCs w:val="0"/>
        </w:rPr>
      </w:pPr>
      <w:r>
        <w:rPr>
          <w:rFonts w:ascii="宋体" w:hAnsi="宋体" w:cs="宋体" w:eastAsia="宋体" w:hint="default"/>
          <w:w w:val="95"/>
        </w:rPr>
        <w:t>5</w:t>
        <w:tab/>
      </w:r>
      <w:r>
        <w:rPr/>
        <w:t>公司与控股股东之间的产权及控制关系的方框图</w:t>
      </w:r>
      <w:r>
        <w:rPr>
          <w:b w:val="0"/>
          <w:bCs w:val="0"/>
        </w:rPr>
      </w:r>
    </w:p>
    <w:p>
      <w:pPr>
        <w:pStyle w:val="BodyText"/>
        <w:tabs>
          <w:tab w:pos="1060" w:val="left" w:leader="none"/>
        </w:tabs>
        <w:spacing w:line="240" w:lineRule="auto" w:before="56"/>
        <w:ind w:right="147"/>
        <w:jc w:val="left"/>
      </w:pPr>
      <w:r>
        <w:rPr>
          <w:spacing w:val="-1"/>
        </w:rPr>
        <w:t>√适用</w:t>
        <w:tab/>
      </w:r>
      <w:r>
        <w:rPr>
          <w:spacing w:val="-2"/>
        </w:rPr>
        <w:t>□不适用</w:t>
      </w:r>
    </w:p>
    <w:p>
      <w:pPr>
        <w:spacing w:after="0" w:line="240" w:lineRule="auto"/>
        <w:jc w:val="left"/>
        <w:sectPr>
          <w:pgSz w:w="11910" w:h="16840"/>
          <w:pgMar w:header="855" w:footer="1195" w:top="1320" w:bottom="1380" w:left="1580" w:right="1120"/>
        </w:sectPr>
      </w:pPr>
    </w:p>
    <w:p>
      <w:pPr>
        <w:spacing w:line="240" w:lineRule="auto" w:before="10"/>
        <w:rPr>
          <w:rFonts w:ascii="宋体" w:hAnsi="宋体" w:cs="宋体" w:eastAsia="宋体" w:hint="default"/>
          <w:sz w:val="14"/>
          <w:szCs w:val="14"/>
        </w:rPr>
      </w:pPr>
    </w:p>
    <w:p>
      <w:pPr>
        <w:spacing w:line="3363" w:lineRule="exact"/>
        <w:ind w:left="217" w:right="0" w:firstLine="0"/>
        <w:rPr>
          <w:rFonts w:ascii="宋体" w:hAnsi="宋体" w:cs="宋体" w:eastAsia="宋体" w:hint="default"/>
          <w:sz w:val="20"/>
          <w:szCs w:val="20"/>
        </w:rPr>
      </w:pPr>
      <w:r>
        <w:rPr>
          <w:rFonts w:ascii="宋体" w:hAnsi="宋体" w:cs="宋体" w:eastAsia="宋体" w:hint="default"/>
          <w:position w:val="-66"/>
          <w:sz w:val="20"/>
          <w:szCs w:val="20"/>
        </w:rPr>
        <w:drawing>
          <wp:inline distT="0" distB="0" distL="0" distR="0">
            <wp:extent cx="4018141" cy="2135695"/>
            <wp:effectExtent l="0" t="0" r="0" b="0"/>
            <wp:docPr id="35" name="image19.jpeg" descr=""/>
            <wp:cNvGraphicFramePr>
              <a:graphicFrameLocks noChangeAspect="1"/>
            </wp:cNvGraphicFramePr>
            <a:graphic>
              <a:graphicData uri="http://schemas.openxmlformats.org/drawingml/2006/picture">
                <pic:pic>
                  <pic:nvPicPr>
                    <pic:cNvPr id="36" name="image19.jpeg"/>
                    <pic:cNvPicPr/>
                  </pic:nvPicPr>
                  <pic:blipFill>
                    <a:blip r:embed="rId42" cstate="print"/>
                    <a:stretch>
                      <a:fillRect/>
                    </a:stretch>
                  </pic:blipFill>
                  <pic:spPr>
                    <a:xfrm>
                      <a:off x="0" y="0"/>
                      <a:ext cx="4018141" cy="2135695"/>
                    </a:xfrm>
                    <a:prstGeom prst="rect">
                      <a:avLst/>
                    </a:prstGeom>
                  </pic:spPr>
                </pic:pic>
              </a:graphicData>
            </a:graphic>
          </wp:inline>
        </w:drawing>
      </w:r>
      <w:r>
        <w:rPr>
          <w:rFonts w:ascii="宋体" w:hAnsi="宋体" w:cs="宋体" w:eastAsia="宋体" w:hint="default"/>
          <w:position w:val="-66"/>
          <w:sz w:val="20"/>
          <w:szCs w:val="20"/>
        </w:rPr>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9"/>
          <w:szCs w:val="19"/>
        </w:rPr>
      </w:pPr>
    </w:p>
    <w:p>
      <w:pPr>
        <w:pStyle w:val="Heading3"/>
        <w:tabs>
          <w:tab w:pos="642" w:val="left" w:leader="none"/>
        </w:tabs>
        <w:spacing w:line="266" w:lineRule="auto" w:before="36"/>
        <w:ind w:right="7088"/>
        <w:jc w:val="left"/>
        <w:rPr>
          <w:b w:val="0"/>
          <w:bCs w:val="0"/>
        </w:rPr>
      </w:pPr>
      <w:r>
        <w:rPr>
          <w:rFonts w:ascii="Calibri" w:hAnsi="Calibri" w:cs="Calibri" w:eastAsia="Calibri" w:hint="default"/>
        </w:rPr>
        <w:t>(</w:t>
      </w:r>
      <w:r>
        <w:rPr/>
        <w:t>二</w:t>
      </w:r>
      <w:r>
        <w:rPr>
          <w:rFonts w:ascii="Calibri" w:hAnsi="Calibri" w:cs="Calibri" w:eastAsia="Calibri" w:hint="default"/>
        </w:rPr>
        <w:t>)</w:t>
      </w:r>
      <w:r>
        <w:rPr>
          <w:rFonts w:ascii="Calibri" w:hAnsi="Calibri" w:cs="Calibri" w:eastAsia="Calibri" w:hint="default"/>
          <w:spacing w:val="31"/>
        </w:rPr>
        <w:t> </w:t>
      </w:r>
      <w:r>
        <w:rPr/>
        <w:t>实际控制人情况</w:t>
      </w:r>
      <w:r>
        <w:rPr>
          <w:w w:val="100"/>
        </w:rPr>
        <w:t> </w:t>
      </w:r>
      <w:r>
        <w:rPr>
          <w:rFonts w:ascii="宋体" w:hAnsi="宋体" w:cs="宋体" w:eastAsia="宋体" w:hint="default"/>
          <w:w w:val="95"/>
        </w:rPr>
        <w:t>1</w:t>
        <w:tab/>
      </w:r>
      <w:r>
        <w:rPr/>
        <w:t>法人</w:t>
      </w:r>
      <w:r>
        <w:rPr>
          <w:b w:val="0"/>
          <w:bCs w:val="0"/>
        </w:rPr>
      </w:r>
    </w:p>
    <w:p>
      <w:pPr>
        <w:tabs>
          <w:tab w:pos="642" w:val="left" w:leader="none"/>
        </w:tabs>
        <w:spacing w:line="290" w:lineRule="auto" w:before="33"/>
        <w:ind w:left="218" w:right="7409"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
          <w:sz w:val="21"/>
          <w:szCs w:val="21"/>
        </w:rPr>
        <w:t> </w:t>
      </w:r>
      <w:r>
        <w:rPr>
          <w:rFonts w:ascii="宋体" w:hAnsi="宋体" w:cs="宋体" w:eastAsia="宋体" w:hint="default"/>
          <w:sz w:val="21"/>
          <w:szCs w:val="21"/>
        </w:rPr>
        <w:t>√不适用</w:t>
      </w:r>
      <w:r>
        <w:rPr>
          <w:rFonts w:ascii="宋体" w:hAnsi="宋体" w:cs="宋体" w:eastAsia="宋体" w:hint="default"/>
          <w:w w:val="100"/>
          <w:sz w:val="21"/>
          <w:szCs w:val="21"/>
        </w:rPr>
        <w:t> </w:t>
      </w:r>
      <w:r>
        <w:rPr>
          <w:rFonts w:ascii="宋体" w:hAnsi="宋体" w:cs="宋体" w:eastAsia="宋体" w:hint="default"/>
          <w:b/>
          <w:bCs/>
          <w:w w:val="95"/>
          <w:sz w:val="21"/>
          <w:szCs w:val="21"/>
        </w:rPr>
        <w:t>2</w:t>
        <w:tab/>
      </w:r>
      <w:r>
        <w:rPr>
          <w:rFonts w:ascii="宋体" w:hAnsi="宋体" w:cs="宋体" w:eastAsia="宋体" w:hint="default"/>
          <w:b/>
          <w:bCs/>
          <w:sz w:val="21"/>
          <w:szCs w:val="21"/>
        </w:rPr>
        <w:t>自然人</w:t>
      </w:r>
      <w:r>
        <w:rPr>
          <w:rFonts w:ascii="宋体" w:hAnsi="宋体" w:cs="宋体" w:eastAsia="宋体" w:hint="default"/>
          <w:sz w:val="21"/>
          <w:szCs w:val="21"/>
        </w:rPr>
      </w:r>
    </w:p>
    <w:p>
      <w:pPr>
        <w:pStyle w:val="BodyText"/>
        <w:spacing w:line="240" w:lineRule="auto" w:before="12"/>
        <w:ind w:right="147"/>
        <w:jc w:val="left"/>
      </w:pPr>
      <w:r>
        <w:rPr/>
        <w:t>√适用</w:t>
      </w:r>
      <w:r>
        <w:rPr>
          <w:spacing w:val="-1"/>
        </w:rPr>
        <w:t> </w:t>
      </w:r>
      <w:r>
        <w:rPr/>
        <w:t>□不适用</w:t>
      </w: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308"/>
        <w:gridCol w:w="5516"/>
      </w:tblGrid>
      <w:tr>
        <w:trPr>
          <w:trHeight w:val="281" w:hRule="exact"/>
        </w:trPr>
        <w:tc>
          <w:tcPr>
            <w:tcW w:w="3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55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王文京</w:t>
            </w:r>
          </w:p>
        </w:tc>
      </w:tr>
      <w:tr>
        <w:trPr>
          <w:trHeight w:val="283" w:hRule="exact"/>
        </w:trPr>
        <w:tc>
          <w:tcPr>
            <w:tcW w:w="3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国籍</w:t>
            </w:r>
          </w:p>
        </w:tc>
        <w:tc>
          <w:tcPr>
            <w:tcW w:w="55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w:t>
            </w:r>
          </w:p>
        </w:tc>
      </w:tr>
      <w:tr>
        <w:trPr>
          <w:trHeight w:val="281" w:hRule="exact"/>
        </w:trPr>
        <w:tc>
          <w:tcPr>
            <w:tcW w:w="3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是否取得其他国家或地区居留权</w:t>
            </w:r>
          </w:p>
        </w:tc>
        <w:tc>
          <w:tcPr>
            <w:tcW w:w="55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1102" w:hRule="exact"/>
        </w:trPr>
        <w:tc>
          <w:tcPr>
            <w:tcW w:w="3308"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主要职业及职务</w:t>
            </w:r>
          </w:p>
        </w:tc>
        <w:tc>
          <w:tcPr>
            <w:tcW w:w="5516"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100" w:right="0"/>
              <w:jc w:val="both"/>
              <w:rPr>
                <w:rFonts w:ascii="宋体" w:hAnsi="宋体" w:cs="宋体" w:eastAsia="宋体" w:hint="default"/>
                <w:sz w:val="21"/>
                <w:szCs w:val="21"/>
              </w:rPr>
            </w:pPr>
            <w:r>
              <w:rPr>
                <w:rFonts w:ascii="宋体" w:hAnsi="宋体" w:cs="宋体" w:eastAsia="宋体" w:hint="default"/>
                <w:sz w:val="21"/>
                <w:szCs w:val="21"/>
              </w:rPr>
              <w:t>最近 </w:t>
            </w:r>
            <w:r>
              <w:rPr>
                <w:rFonts w:ascii="宋体" w:hAnsi="宋体" w:cs="宋体" w:eastAsia="宋体" w:hint="default"/>
                <w:sz w:val="21"/>
                <w:szCs w:val="21"/>
              </w:rPr>
              <w:t>5</w:t>
            </w:r>
            <w:r>
              <w:rPr>
                <w:rFonts w:ascii="宋体" w:hAnsi="宋体" w:cs="宋体" w:eastAsia="宋体" w:hint="default"/>
                <w:spacing w:val="-56"/>
                <w:sz w:val="21"/>
                <w:szCs w:val="21"/>
              </w:rPr>
              <w:t> </w:t>
            </w:r>
            <w:r>
              <w:rPr>
                <w:rFonts w:ascii="宋体" w:hAnsi="宋体" w:cs="宋体" w:eastAsia="宋体" w:hint="default"/>
                <w:sz w:val="21"/>
                <w:szCs w:val="21"/>
              </w:rPr>
              <w:t>年任公司董事长兼总裁，还担任畅捷通信息技术股</w:t>
            </w:r>
          </w:p>
          <w:p>
            <w:pPr>
              <w:pStyle w:val="TableParagraph"/>
              <w:spacing w:line="237" w:lineRule="auto"/>
              <w:ind w:left="100" w:right="104"/>
              <w:jc w:val="both"/>
              <w:rPr>
                <w:rFonts w:ascii="宋体" w:hAnsi="宋体" w:cs="宋体" w:eastAsia="宋体" w:hint="default"/>
                <w:sz w:val="21"/>
                <w:szCs w:val="21"/>
              </w:rPr>
            </w:pPr>
            <w:r>
              <w:rPr>
                <w:rFonts w:ascii="宋体" w:hAnsi="宋体" w:cs="宋体" w:eastAsia="宋体" w:hint="default"/>
                <w:sz w:val="21"/>
                <w:szCs w:val="21"/>
              </w:rPr>
              <w:t>份有限公司、北京用友政务软件有限公司、厦门用友烟草</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z w:val="21"/>
                <w:szCs w:val="21"/>
              </w:rPr>
              <w:t>软件有限责任公司、用友汽车信息科技（上海）股份有限</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z w:val="21"/>
                <w:szCs w:val="21"/>
              </w:rPr>
              <w:t>公司董事长等职务。</w:t>
            </w:r>
          </w:p>
        </w:tc>
      </w:tr>
      <w:tr>
        <w:trPr>
          <w:trHeight w:val="554" w:hRule="exact"/>
        </w:trPr>
        <w:tc>
          <w:tcPr>
            <w:tcW w:w="330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过去 </w:t>
            </w:r>
            <w:r>
              <w:rPr>
                <w:rFonts w:ascii="宋体" w:hAnsi="宋体" w:cs="宋体" w:eastAsia="宋体" w:hint="default"/>
                <w:sz w:val="21"/>
                <w:szCs w:val="21"/>
              </w:rPr>
              <w:t>10</w:t>
            </w:r>
            <w:r>
              <w:rPr>
                <w:rFonts w:ascii="宋体" w:hAnsi="宋体" w:cs="宋体" w:eastAsia="宋体" w:hint="default"/>
                <w:spacing w:val="-61"/>
                <w:sz w:val="21"/>
                <w:szCs w:val="21"/>
              </w:rPr>
              <w:t> </w:t>
            </w:r>
            <w:r>
              <w:rPr>
                <w:rFonts w:ascii="宋体" w:hAnsi="宋体" w:cs="宋体" w:eastAsia="宋体" w:hint="default"/>
                <w:sz w:val="21"/>
                <w:szCs w:val="21"/>
              </w:rPr>
              <w:t>年曾控股的境内外上市公</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司情况</w:t>
            </w:r>
          </w:p>
        </w:tc>
        <w:tc>
          <w:tcPr>
            <w:tcW w:w="55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畅捷通信息技术股份有限公司</w:t>
            </w:r>
          </w:p>
        </w:tc>
      </w:tr>
    </w:tbl>
    <w:p>
      <w:pPr>
        <w:spacing w:line="240" w:lineRule="auto" w:before="12"/>
        <w:rPr>
          <w:rFonts w:ascii="宋体" w:hAnsi="宋体" w:cs="宋体" w:eastAsia="宋体" w:hint="default"/>
          <w:sz w:val="19"/>
          <w:szCs w:val="19"/>
        </w:rPr>
      </w:pPr>
    </w:p>
    <w:p>
      <w:pPr>
        <w:pStyle w:val="Heading3"/>
        <w:tabs>
          <w:tab w:pos="642" w:val="left" w:leader="none"/>
        </w:tabs>
        <w:spacing w:line="240" w:lineRule="auto" w:before="36"/>
        <w:ind w:right="147"/>
        <w:jc w:val="left"/>
        <w:rPr>
          <w:b w:val="0"/>
          <w:bCs w:val="0"/>
        </w:rPr>
      </w:pPr>
      <w:r>
        <w:rPr>
          <w:rFonts w:ascii="宋体" w:hAnsi="宋体" w:cs="宋体" w:eastAsia="宋体" w:hint="default"/>
          <w:w w:val="95"/>
        </w:rPr>
        <w:t>3</w:t>
        <w:tab/>
      </w:r>
      <w:r>
        <w:rPr/>
        <w:t>公司不存在实际控制人情况的特别说明</w:t>
      </w:r>
      <w:r>
        <w:rPr>
          <w:b w:val="0"/>
          <w:bCs w:val="0"/>
        </w:rPr>
      </w:r>
    </w:p>
    <w:p>
      <w:pPr>
        <w:pStyle w:val="BodyText"/>
        <w:tabs>
          <w:tab w:pos="1060" w:val="left" w:leader="none"/>
        </w:tabs>
        <w:spacing w:line="240" w:lineRule="auto" w:before="58"/>
        <w:ind w:right="147"/>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tabs>
          <w:tab w:pos="642" w:val="left" w:leader="none"/>
        </w:tabs>
        <w:spacing w:line="240" w:lineRule="auto"/>
        <w:ind w:right="147"/>
        <w:jc w:val="left"/>
        <w:rPr>
          <w:b w:val="0"/>
          <w:bCs w:val="0"/>
        </w:rPr>
      </w:pPr>
      <w:r>
        <w:rPr>
          <w:rFonts w:ascii="宋体" w:hAnsi="宋体" w:cs="宋体" w:eastAsia="宋体" w:hint="default"/>
          <w:w w:val="95"/>
        </w:rPr>
        <w:t>4</w:t>
        <w:tab/>
      </w:r>
      <w:r>
        <w:rPr/>
        <w:t>报告期内实际控制人变更情况索引及日期</w:t>
      </w:r>
      <w:r>
        <w:rPr>
          <w:b w:val="0"/>
          <w:bCs w:val="0"/>
        </w:rPr>
      </w:r>
    </w:p>
    <w:p>
      <w:pPr>
        <w:pStyle w:val="BodyText"/>
        <w:tabs>
          <w:tab w:pos="1060" w:val="left" w:leader="none"/>
        </w:tabs>
        <w:spacing w:line="240" w:lineRule="auto" w:before="57"/>
        <w:ind w:right="147"/>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tabs>
          <w:tab w:pos="642" w:val="left" w:leader="none"/>
        </w:tabs>
        <w:spacing w:line="240" w:lineRule="auto"/>
        <w:ind w:right="147"/>
        <w:jc w:val="left"/>
        <w:rPr>
          <w:b w:val="0"/>
          <w:bCs w:val="0"/>
        </w:rPr>
      </w:pPr>
      <w:r>
        <w:rPr>
          <w:rFonts w:ascii="宋体" w:hAnsi="宋体" w:cs="宋体" w:eastAsia="宋体" w:hint="default"/>
          <w:w w:val="95"/>
        </w:rPr>
        <w:t>5</w:t>
        <w:tab/>
      </w:r>
      <w:r>
        <w:rPr/>
        <w:t>公司与实际控制人之间的产权及控制关系的方框图</w:t>
      </w:r>
      <w:r>
        <w:rPr>
          <w:b w:val="0"/>
          <w:bCs w:val="0"/>
        </w:rPr>
      </w:r>
    </w:p>
    <w:p>
      <w:pPr>
        <w:pStyle w:val="BodyText"/>
        <w:tabs>
          <w:tab w:pos="1060" w:val="left" w:leader="none"/>
        </w:tabs>
        <w:spacing w:line="240" w:lineRule="auto" w:before="58"/>
        <w:ind w:right="147"/>
        <w:jc w:val="left"/>
      </w:pPr>
      <w:r>
        <w:rPr>
          <w:spacing w:val="-1"/>
        </w:rPr>
        <w:t>√适用</w:t>
        <w:tab/>
      </w:r>
      <w:r>
        <w:rPr>
          <w:spacing w:val="-2"/>
        </w:rPr>
        <w:t>□不适用</w:t>
      </w:r>
    </w:p>
    <w:p>
      <w:pPr>
        <w:spacing w:after="0" w:line="240" w:lineRule="auto"/>
        <w:jc w:val="left"/>
        <w:sectPr>
          <w:pgSz w:w="11910" w:h="16840"/>
          <w:pgMar w:header="855" w:footer="1195" w:top="1320" w:bottom="1380" w:left="1580" w:right="1120"/>
        </w:sectPr>
      </w:pPr>
    </w:p>
    <w:p>
      <w:pPr>
        <w:spacing w:line="240" w:lineRule="auto" w:before="10"/>
        <w:rPr>
          <w:rFonts w:ascii="宋体" w:hAnsi="宋体" w:cs="宋体" w:eastAsia="宋体" w:hint="default"/>
          <w:sz w:val="14"/>
          <w:szCs w:val="14"/>
        </w:rPr>
      </w:pPr>
    </w:p>
    <w:p>
      <w:pPr>
        <w:spacing w:line="3256" w:lineRule="exact"/>
        <w:ind w:left="217" w:right="0" w:firstLine="0"/>
        <w:rPr>
          <w:rFonts w:ascii="宋体" w:hAnsi="宋体" w:cs="宋体" w:eastAsia="宋体" w:hint="default"/>
          <w:sz w:val="20"/>
          <w:szCs w:val="20"/>
        </w:rPr>
      </w:pPr>
      <w:r>
        <w:rPr>
          <w:rFonts w:ascii="宋体" w:hAnsi="宋体" w:cs="宋体" w:eastAsia="宋体" w:hint="default"/>
          <w:position w:val="-64"/>
          <w:sz w:val="20"/>
          <w:szCs w:val="20"/>
        </w:rPr>
        <w:drawing>
          <wp:inline distT="0" distB="0" distL="0" distR="0">
            <wp:extent cx="3761810" cy="2067591"/>
            <wp:effectExtent l="0" t="0" r="0" b="0"/>
            <wp:docPr id="37" name="image20.png" descr=""/>
            <wp:cNvGraphicFramePr>
              <a:graphicFrameLocks noChangeAspect="1"/>
            </wp:cNvGraphicFramePr>
            <a:graphic>
              <a:graphicData uri="http://schemas.openxmlformats.org/drawingml/2006/picture">
                <pic:pic>
                  <pic:nvPicPr>
                    <pic:cNvPr id="38" name="image20.png"/>
                    <pic:cNvPicPr/>
                  </pic:nvPicPr>
                  <pic:blipFill>
                    <a:blip r:embed="rId44" cstate="print"/>
                    <a:stretch>
                      <a:fillRect/>
                    </a:stretch>
                  </pic:blipFill>
                  <pic:spPr>
                    <a:xfrm>
                      <a:off x="0" y="0"/>
                      <a:ext cx="3761810" cy="2067591"/>
                    </a:xfrm>
                    <a:prstGeom prst="rect">
                      <a:avLst/>
                    </a:prstGeom>
                  </pic:spPr>
                </pic:pic>
              </a:graphicData>
            </a:graphic>
          </wp:inline>
        </w:drawing>
      </w:r>
      <w:r>
        <w:rPr>
          <w:rFonts w:ascii="宋体" w:hAnsi="宋体" w:cs="宋体" w:eastAsia="宋体" w:hint="default"/>
          <w:position w:val="-64"/>
          <w:sz w:val="20"/>
          <w:szCs w:val="20"/>
        </w:rPr>
      </w:r>
    </w:p>
    <w:p>
      <w:pPr>
        <w:spacing w:line="240" w:lineRule="auto" w:before="13"/>
        <w:rPr>
          <w:rFonts w:ascii="宋体" w:hAnsi="宋体" w:cs="宋体" w:eastAsia="宋体" w:hint="default"/>
          <w:sz w:val="19"/>
          <w:szCs w:val="19"/>
        </w:rPr>
      </w:pPr>
    </w:p>
    <w:p>
      <w:pPr>
        <w:pStyle w:val="Heading3"/>
        <w:tabs>
          <w:tab w:pos="642" w:val="left" w:leader="none"/>
        </w:tabs>
        <w:spacing w:line="240" w:lineRule="auto" w:before="36"/>
        <w:ind w:right="147"/>
        <w:jc w:val="left"/>
        <w:rPr>
          <w:b w:val="0"/>
          <w:bCs w:val="0"/>
        </w:rPr>
      </w:pPr>
      <w:r>
        <w:rPr>
          <w:rFonts w:ascii="宋体" w:hAnsi="宋体" w:cs="宋体" w:eastAsia="宋体" w:hint="default"/>
          <w:w w:val="95"/>
        </w:rPr>
        <w:t>6</w:t>
        <w:tab/>
      </w:r>
      <w:r>
        <w:rPr/>
        <w:t>实际控制人通过信托或其他资产管理方式控制公司</w:t>
      </w:r>
      <w:r>
        <w:rPr>
          <w:b w:val="0"/>
          <w:bCs w:val="0"/>
        </w:rPr>
      </w:r>
    </w:p>
    <w:p>
      <w:pPr>
        <w:pStyle w:val="BodyText"/>
        <w:tabs>
          <w:tab w:pos="1060" w:val="left" w:leader="none"/>
        </w:tabs>
        <w:spacing w:line="240" w:lineRule="auto" w:before="58"/>
        <w:ind w:right="147"/>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right="147"/>
        <w:jc w:val="left"/>
        <w:rPr>
          <w:b w:val="0"/>
          <w:bCs w:val="0"/>
        </w:rPr>
      </w:pPr>
      <w:r>
        <w:rPr>
          <w:rFonts w:ascii="Calibri" w:hAnsi="Calibri" w:cs="Calibri" w:eastAsia="Calibri" w:hint="default"/>
        </w:rPr>
        <w:t>(</w:t>
      </w:r>
      <w:r>
        <w:rPr/>
        <w:t>三</w:t>
      </w:r>
      <w:r>
        <w:rPr>
          <w:rFonts w:ascii="Calibri" w:hAnsi="Calibri" w:cs="Calibri" w:eastAsia="Calibri" w:hint="default"/>
        </w:rPr>
        <w:t>)</w:t>
      </w:r>
      <w:r>
        <w:rPr>
          <w:rFonts w:ascii="Calibri" w:hAnsi="Calibri" w:cs="Calibri" w:eastAsia="Calibri" w:hint="default"/>
          <w:spacing w:val="29"/>
        </w:rPr>
        <w:t> </w:t>
      </w:r>
      <w:r>
        <w:rPr/>
        <w:t>控股股东及实际控制人其他情况介绍</w:t>
      </w:r>
      <w:r>
        <w:rPr>
          <w:b w:val="0"/>
          <w:bCs w:val="0"/>
        </w:rPr>
      </w:r>
    </w:p>
    <w:p>
      <w:pPr>
        <w:pStyle w:val="BodyText"/>
        <w:tabs>
          <w:tab w:pos="1060" w:val="left" w:leader="none"/>
        </w:tabs>
        <w:spacing w:line="274" w:lineRule="exact" w:before="29"/>
        <w:ind w:right="147"/>
        <w:jc w:val="left"/>
      </w:pPr>
      <w:r>
        <w:rPr>
          <w:spacing w:val="-1"/>
        </w:rPr>
        <w:t>√适用</w:t>
        <w:tab/>
      </w:r>
      <w:r>
        <w:rPr>
          <w:spacing w:val="-2"/>
        </w:rPr>
        <w:t>□不适用</w:t>
      </w:r>
    </w:p>
    <w:p>
      <w:pPr>
        <w:pStyle w:val="BodyText"/>
        <w:spacing w:line="355" w:lineRule="auto"/>
        <w:ind w:right="148" w:firstLine="419"/>
        <w:jc w:val="both"/>
      </w:pPr>
      <w:r>
        <w:rPr>
          <w:spacing w:val="-6"/>
        </w:rPr>
        <w:t>王文京先生，</w:t>
      </w:r>
      <w:r>
        <w:rPr>
          <w:rFonts w:ascii="宋体" w:hAnsi="宋体" w:cs="宋体" w:eastAsia="宋体" w:hint="default"/>
          <w:spacing w:val="-6"/>
        </w:rPr>
        <w:t>1964</w:t>
      </w:r>
      <w:r>
        <w:rPr>
          <w:rFonts w:ascii="宋体" w:hAnsi="宋体" w:cs="宋体" w:eastAsia="宋体" w:hint="default"/>
          <w:spacing w:val="-38"/>
        </w:rPr>
        <w:t> </w:t>
      </w:r>
      <w:r>
        <w:rPr/>
        <w:t>年</w:t>
      </w:r>
      <w:r>
        <w:rPr>
          <w:spacing w:val="-40"/>
        </w:rPr>
        <w:t> </w:t>
      </w:r>
      <w:r>
        <w:rPr>
          <w:rFonts w:ascii="宋体" w:hAnsi="宋体" w:cs="宋体" w:eastAsia="宋体" w:hint="default"/>
        </w:rPr>
        <w:t>12</w:t>
      </w:r>
      <w:r>
        <w:rPr>
          <w:rFonts w:ascii="宋体" w:hAnsi="宋体" w:cs="宋体" w:eastAsia="宋体" w:hint="default"/>
          <w:spacing w:val="-40"/>
        </w:rPr>
        <w:t> </w:t>
      </w:r>
      <w:r>
        <w:rPr>
          <w:spacing w:val="-7"/>
        </w:rPr>
        <w:t>月出生，经济学学士，</w:t>
      </w:r>
      <w:r>
        <w:rPr>
          <w:rFonts w:ascii="宋体" w:hAnsi="宋体" w:cs="宋体" w:eastAsia="宋体" w:hint="default"/>
          <w:spacing w:val="-7"/>
        </w:rPr>
        <w:t>1983</w:t>
      </w:r>
      <w:r>
        <w:rPr>
          <w:spacing w:val="-7"/>
        </w:rPr>
        <w:t>～</w:t>
      </w:r>
      <w:r>
        <w:rPr>
          <w:rFonts w:ascii="宋体" w:hAnsi="宋体" w:cs="宋体" w:eastAsia="宋体" w:hint="default"/>
          <w:spacing w:val="-7"/>
        </w:rPr>
        <w:t>1988</w:t>
      </w:r>
      <w:r>
        <w:rPr>
          <w:rFonts w:ascii="宋体" w:hAnsi="宋体" w:cs="宋体" w:eastAsia="宋体" w:hint="default"/>
          <w:spacing w:val="-42"/>
        </w:rPr>
        <w:t> </w:t>
      </w:r>
      <w:r>
        <w:rPr>
          <w:spacing w:val="-4"/>
        </w:rPr>
        <w:t>年在国务院某直属机关工作。</w:t>
      </w:r>
      <w:r>
        <w:rPr>
          <w:rFonts w:ascii="宋体" w:hAnsi="宋体" w:cs="宋体" w:eastAsia="宋体" w:hint="default"/>
          <w:spacing w:val="-4"/>
        </w:rPr>
        <w:t>1988</w:t>
      </w:r>
      <w:r>
        <w:rPr>
          <w:rFonts w:ascii="宋体" w:hAnsi="宋体" w:cs="宋体" w:eastAsia="宋体" w:hint="default"/>
          <w:w w:val="100"/>
        </w:rPr>
        <w:t> </w:t>
      </w:r>
      <w:r>
        <w:rPr>
          <w:spacing w:val="-6"/>
          <w:w w:val="100"/>
        </w:rPr>
        <w:t>年与苏启强先生共同出资创建用友软件服务社，曾任用友软件股份有限公司董事长、总裁等职务，</w:t>
      </w:r>
      <w:r>
        <w:rPr>
          <w:w w:val="100"/>
        </w:rPr>
        <w:t> </w:t>
      </w:r>
      <w:r>
        <w:rPr>
          <w:spacing w:val="-2"/>
        </w:rPr>
        <w:t>现任公司董事长兼总裁。王文京先生是中国产业互联网发展联盟执行理事长，第九届至第十二届</w:t>
      </w:r>
      <w:r>
        <w:rPr>
          <w:spacing w:val="-25"/>
        </w:rPr>
        <w:t> </w:t>
      </w:r>
      <w:r>
        <w:rPr>
          <w:spacing w:val="-25"/>
        </w:rPr>
      </w:r>
      <w:r>
        <w:rPr/>
        <w:t>全国人大代表。</w:t>
      </w:r>
    </w:p>
    <w:p>
      <w:pPr>
        <w:pStyle w:val="BodyText"/>
        <w:spacing w:line="357" w:lineRule="auto" w:before="32"/>
        <w:ind w:right="147" w:firstLine="419"/>
        <w:jc w:val="both"/>
      </w:pPr>
      <w:r>
        <w:rPr>
          <w:spacing w:val="-12"/>
          <w:w w:val="100"/>
        </w:rPr>
        <w:t>王文京先生曾荣获“中国优秀民营企业家”、“中国优秀民办科技实业家”、“优秀董事长”、</w:t>
      </w:r>
      <w:r>
        <w:rPr>
          <w:w w:val="100"/>
        </w:rPr>
        <w:t> </w:t>
      </w:r>
      <w:r>
        <w:rPr>
          <w:spacing w:val="-4"/>
        </w:rPr>
        <w:t>“全国劳动模范”、“优秀中国特色社会主义事业建设者”、“求是杰出青年”、</w:t>
      </w:r>
      <w:r>
        <w:rPr>
          <w:spacing w:val="29"/>
        </w:rPr>
        <w:t> </w:t>
      </w:r>
      <w:r>
        <w:rPr/>
        <w:t>“中国软件企</w:t>
      </w:r>
      <w:r>
        <w:rPr>
          <w:spacing w:val="-94"/>
        </w:rPr>
        <w:t> </w:t>
      </w:r>
      <w:r>
        <w:rPr>
          <w:spacing w:val="-94"/>
        </w:rPr>
      </w:r>
      <w:r>
        <w:rPr>
          <w:spacing w:val="-2"/>
        </w:rPr>
        <w:t>业十大领军人物”、“中国年度经济人物”、美国《商业周刊》评选的“亚洲之星”、“爱心捐</w:t>
      </w:r>
      <w:r>
        <w:rPr>
          <w:spacing w:val="-25"/>
        </w:rPr>
        <w:t> </w:t>
      </w:r>
      <w:r>
        <w:rPr>
          <w:spacing w:val="-25"/>
        </w:rPr>
      </w:r>
      <w:r>
        <w:rPr/>
        <w:t>助奖”、 “十大华人经济领袖”、“中国自主创新领军人物”、“</w:t>
      </w:r>
      <w:r>
        <w:rPr>
          <w:spacing w:val="-12"/>
        </w:rPr>
        <w:t> </w:t>
      </w:r>
      <w:r>
        <w:rPr/>
        <w:t>产业互联网领军人物”等称</w:t>
      </w:r>
      <w:r>
        <w:rPr>
          <w:spacing w:val="-3"/>
          <w:w w:val="100"/>
        </w:rPr>
        <w:t> </w:t>
      </w:r>
      <w:r>
        <w:rPr/>
        <w:t>号及荣誉。</w:t>
      </w:r>
    </w:p>
    <w:p>
      <w:pPr>
        <w:spacing w:line="240" w:lineRule="auto" w:before="1"/>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footerReference w:type="default" r:id="rId43"/>
          <w:pgSz w:w="11910" w:h="16840"/>
          <w:pgMar w:footer="1195" w:header="855" w:top="1320" w:bottom="1380" w:left="1580" w:right="1120"/>
        </w:sectPr>
      </w:pPr>
    </w:p>
    <w:p>
      <w:pPr>
        <w:pStyle w:val="Heading3"/>
        <w:spacing w:line="240" w:lineRule="auto" w:before="36"/>
        <w:ind w:right="-17"/>
        <w:jc w:val="left"/>
        <w:rPr>
          <w:b w:val="0"/>
          <w:bCs w:val="0"/>
        </w:rPr>
      </w:pPr>
      <w:r>
        <w:rPr/>
        <w:t>五、</w:t>
      </w:r>
      <w:r>
        <w:rPr>
          <w:spacing w:val="-78"/>
        </w:rPr>
        <w:t> </w:t>
      </w:r>
      <w:r>
        <w:rPr/>
        <w:t>其他持股在百分之十以上的法人股东</w:t>
      </w:r>
      <w:r>
        <w:rPr>
          <w:b w:val="0"/>
          <w:bCs w:val="0"/>
        </w:rPr>
      </w:r>
    </w:p>
    <w:p>
      <w:pPr>
        <w:pStyle w:val="BodyText"/>
        <w:spacing w:line="240" w:lineRule="auto" w:before="56"/>
        <w:ind w:right="-17"/>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9"/>
          <w:szCs w:val="29"/>
        </w:rPr>
      </w:pPr>
    </w:p>
    <w:p>
      <w:pPr>
        <w:pStyle w:val="BodyText"/>
        <w:tabs>
          <w:tab w:pos="1269" w:val="left" w:leader="none"/>
        </w:tabs>
        <w:spacing w:line="240" w:lineRule="auto"/>
        <w:ind w:right="0"/>
        <w:jc w:val="left"/>
      </w:pPr>
      <w:r>
        <w:rPr>
          <w:spacing w:val="-1"/>
        </w:rPr>
        <w:t>单位：元</w:t>
        <w:tab/>
      </w:r>
      <w:r>
        <w:rPr>
          <w:spacing w:val="-2"/>
        </w:rPr>
        <w:t>币种：人民币</w:t>
      </w:r>
    </w:p>
    <w:p>
      <w:pPr>
        <w:spacing w:after="0" w:line="240" w:lineRule="auto"/>
        <w:jc w:val="left"/>
        <w:sectPr>
          <w:type w:val="continuous"/>
          <w:pgSz w:w="11910" w:h="16840"/>
          <w:pgMar w:top="1320" w:bottom="1380" w:left="1580" w:right="1120"/>
          <w:cols w:num="2" w:equalWidth="0">
            <w:col w:w="4044" w:space="2477"/>
            <w:col w:w="2689"/>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440"/>
        <w:gridCol w:w="1333"/>
        <w:gridCol w:w="1195"/>
        <w:gridCol w:w="2105"/>
        <w:gridCol w:w="1268"/>
        <w:gridCol w:w="1483"/>
      </w:tblGrid>
      <w:tr>
        <w:trPr>
          <w:trHeight w:val="82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609" w:right="185" w:hanging="420"/>
              <w:jc w:val="left"/>
              <w:rPr>
                <w:rFonts w:ascii="宋体" w:hAnsi="宋体" w:cs="宋体" w:eastAsia="宋体" w:hint="default"/>
                <w:sz w:val="21"/>
                <w:szCs w:val="21"/>
              </w:rPr>
            </w:pPr>
            <w:r>
              <w:rPr>
                <w:rFonts w:ascii="宋体" w:hAnsi="宋体" w:cs="宋体" w:eastAsia="宋体" w:hint="default"/>
                <w:sz w:val="21"/>
                <w:szCs w:val="21"/>
              </w:rPr>
              <w:t>法人股东名</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称</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31" w:right="0"/>
              <w:jc w:val="left"/>
              <w:rPr>
                <w:rFonts w:ascii="宋体" w:hAnsi="宋体" w:cs="宋体" w:eastAsia="宋体" w:hint="default"/>
                <w:sz w:val="21"/>
                <w:szCs w:val="21"/>
              </w:rPr>
            </w:pPr>
            <w:r>
              <w:rPr>
                <w:rFonts w:ascii="宋体" w:hAnsi="宋体" w:cs="宋体" w:eastAsia="宋体" w:hint="default"/>
                <w:sz w:val="21"/>
                <w:szCs w:val="21"/>
              </w:rPr>
              <w:t>单位负责人</w:t>
            </w:r>
          </w:p>
          <w:p>
            <w:pPr>
              <w:pStyle w:val="TableParagraph"/>
              <w:spacing w:line="272" w:lineRule="exact" w:before="26"/>
              <w:ind w:left="551" w:right="135" w:hanging="420"/>
              <w:jc w:val="left"/>
              <w:rPr>
                <w:rFonts w:ascii="宋体" w:hAnsi="宋体" w:cs="宋体" w:eastAsia="宋体" w:hint="default"/>
                <w:sz w:val="21"/>
                <w:szCs w:val="21"/>
              </w:rPr>
            </w:pPr>
            <w:r>
              <w:rPr>
                <w:rFonts w:ascii="宋体" w:hAnsi="宋体" w:cs="宋体" w:eastAsia="宋体" w:hint="default"/>
                <w:sz w:val="21"/>
                <w:szCs w:val="21"/>
              </w:rPr>
              <w:t>或法定代表</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人</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70" w:right="0"/>
              <w:jc w:val="left"/>
              <w:rPr>
                <w:rFonts w:ascii="宋体" w:hAnsi="宋体" w:cs="宋体" w:eastAsia="宋体" w:hint="default"/>
                <w:sz w:val="21"/>
                <w:szCs w:val="21"/>
              </w:rPr>
            </w:pPr>
            <w:r>
              <w:rPr>
                <w:rFonts w:ascii="宋体" w:hAnsi="宋体" w:cs="宋体" w:eastAsia="宋体" w:hint="default"/>
                <w:sz w:val="21"/>
                <w:szCs w:val="21"/>
              </w:rPr>
              <w:t>成立日期</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838" w:right="622" w:hanging="210"/>
              <w:jc w:val="left"/>
              <w:rPr>
                <w:rFonts w:ascii="宋体" w:hAnsi="宋体" w:cs="宋体" w:eastAsia="宋体" w:hint="default"/>
                <w:sz w:val="21"/>
                <w:szCs w:val="21"/>
              </w:rPr>
            </w:pPr>
            <w:r>
              <w:rPr>
                <w:rFonts w:ascii="宋体" w:hAnsi="宋体" w:cs="宋体" w:eastAsia="宋体" w:hint="default"/>
                <w:sz w:val="21"/>
                <w:szCs w:val="21"/>
              </w:rPr>
              <w:t>组织机构</w:t>
            </w:r>
            <w:r>
              <w:rPr>
                <w:rFonts w:ascii="宋体" w:hAnsi="宋体" w:cs="宋体" w:eastAsia="宋体" w:hint="default"/>
                <w:w w:val="100"/>
                <w:sz w:val="21"/>
                <w:szCs w:val="21"/>
              </w:rPr>
              <w:t> </w:t>
            </w:r>
            <w:r>
              <w:rPr>
                <w:rFonts w:ascii="宋体" w:hAnsi="宋体" w:cs="宋体" w:eastAsia="宋体" w:hint="default"/>
                <w:sz w:val="21"/>
                <w:szCs w:val="21"/>
              </w:rPr>
              <w:t>代码</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注册资本</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主要经营业务</w:t>
            </w:r>
          </w:p>
          <w:p>
            <w:pPr>
              <w:pStyle w:val="TableParagraph"/>
              <w:spacing w:line="272" w:lineRule="exact" w:before="26"/>
              <w:ind w:left="525" w:right="103" w:hanging="420"/>
              <w:jc w:val="left"/>
              <w:rPr>
                <w:rFonts w:ascii="宋体" w:hAnsi="宋体" w:cs="宋体" w:eastAsia="宋体" w:hint="default"/>
                <w:sz w:val="21"/>
                <w:szCs w:val="21"/>
              </w:rPr>
            </w:pPr>
            <w:r>
              <w:rPr>
                <w:rFonts w:ascii="宋体" w:hAnsi="宋体" w:cs="宋体" w:eastAsia="宋体" w:hint="default"/>
                <w:sz w:val="21"/>
                <w:szCs w:val="21"/>
              </w:rPr>
              <w:t>或管理活动等</w:t>
            </w:r>
            <w:r>
              <w:rPr>
                <w:rFonts w:ascii="宋体" w:hAnsi="宋体" w:cs="宋体" w:eastAsia="宋体" w:hint="default"/>
                <w:w w:val="100"/>
                <w:sz w:val="21"/>
                <w:szCs w:val="21"/>
              </w:rPr>
              <w:t> </w:t>
            </w:r>
            <w:r>
              <w:rPr>
                <w:rFonts w:ascii="宋体" w:hAnsi="宋体" w:cs="宋体" w:eastAsia="宋体" w:hint="default"/>
                <w:sz w:val="21"/>
                <w:szCs w:val="21"/>
              </w:rPr>
              <w:t>情况</w:t>
            </w:r>
          </w:p>
        </w:tc>
      </w:tr>
      <w:tr>
        <w:trPr>
          <w:trHeight w:val="246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上</w:t>
            </w:r>
            <w:r>
              <w:rPr>
                <w:rFonts w:ascii="宋体" w:hAnsi="宋体" w:cs="宋体" w:eastAsia="宋体" w:hint="default"/>
                <w:spacing w:val="-61"/>
                <w:sz w:val="21"/>
                <w:szCs w:val="21"/>
              </w:rPr>
              <w:t> </w:t>
            </w:r>
            <w:r>
              <w:rPr>
                <w:rFonts w:ascii="宋体" w:hAnsi="宋体" w:cs="宋体" w:eastAsia="宋体" w:hint="default"/>
                <w:sz w:val="21"/>
                <w:szCs w:val="21"/>
              </w:rPr>
              <w:t>海</w:t>
            </w:r>
            <w:r>
              <w:rPr>
                <w:rFonts w:ascii="宋体" w:hAnsi="宋体" w:cs="宋体" w:eastAsia="宋体" w:hint="default"/>
                <w:spacing w:val="-61"/>
                <w:sz w:val="21"/>
                <w:szCs w:val="21"/>
              </w:rPr>
              <w:t> </w:t>
            </w:r>
            <w:r>
              <w:rPr>
                <w:rFonts w:ascii="宋体" w:hAnsi="宋体" w:cs="宋体" w:eastAsia="宋体" w:hint="default"/>
                <w:sz w:val="21"/>
                <w:szCs w:val="21"/>
              </w:rPr>
              <w:t>用</w:t>
            </w:r>
            <w:r>
              <w:rPr>
                <w:rFonts w:ascii="宋体" w:hAnsi="宋体" w:cs="宋体" w:eastAsia="宋体" w:hint="default"/>
                <w:spacing w:val="-64"/>
                <w:sz w:val="21"/>
                <w:szCs w:val="21"/>
              </w:rPr>
              <w:t> </w:t>
            </w:r>
            <w:r>
              <w:rPr>
                <w:rFonts w:ascii="宋体" w:hAnsi="宋体" w:cs="宋体" w:eastAsia="宋体" w:hint="default"/>
                <w:sz w:val="21"/>
                <w:szCs w:val="21"/>
              </w:rPr>
              <w:t>友</w:t>
            </w:r>
            <w:r>
              <w:rPr>
                <w:rFonts w:ascii="宋体" w:hAnsi="宋体" w:cs="宋体" w:eastAsia="宋体" w:hint="default"/>
                <w:spacing w:val="-61"/>
                <w:sz w:val="21"/>
                <w:szCs w:val="21"/>
              </w:rPr>
              <w:t> </w:t>
            </w:r>
            <w:r>
              <w:rPr>
                <w:rFonts w:ascii="宋体" w:hAnsi="宋体" w:cs="宋体" w:eastAsia="宋体" w:hint="default"/>
                <w:sz w:val="21"/>
                <w:szCs w:val="21"/>
              </w:rPr>
              <w:t>科</w:t>
            </w:r>
          </w:p>
          <w:p>
            <w:pPr>
              <w:pStyle w:val="TableParagraph"/>
              <w:spacing w:line="272" w:lineRule="exact" w:before="27"/>
              <w:ind w:left="103" w:right="99"/>
              <w:jc w:val="left"/>
              <w:rPr>
                <w:rFonts w:ascii="宋体" w:hAnsi="宋体" w:cs="宋体" w:eastAsia="宋体" w:hint="default"/>
                <w:sz w:val="21"/>
                <w:szCs w:val="21"/>
              </w:rPr>
            </w:pPr>
            <w:r>
              <w:rPr>
                <w:rFonts w:ascii="宋体" w:hAnsi="宋体" w:cs="宋体" w:eastAsia="宋体" w:hint="default"/>
                <w:sz w:val="21"/>
                <w:szCs w:val="21"/>
              </w:rPr>
              <w:t>技</w:t>
            </w:r>
            <w:r>
              <w:rPr>
                <w:rFonts w:ascii="宋体" w:hAnsi="宋体" w:cs="宋体" w:eastAsia="宋体" w:hint="default"/>
                <w:spacing w:val="-61"/>
                <w:sz w:val="21"/>
                <w:szCs w:val="21"/>
              </w:rPr>
              <w:t> </w:t>
            </w:r>
            <w:r>
              <w:rPr>
                <w:rFonts w:ascii="宋体" w:hAnsi="宋体" w:cs="宋体" w:eastAsia="宋体" w:hint="default"/>
                <w:sz w:val="21"/>
                <w:szCs w:val="21"/>
              </w:rPr>
              <w:t>咨</w:t>
            </w:r>
            <w:r>
              <w:rPr>
                <w:rFonts w:ascii="宋体" w:hAnsi="宋体" w:cs="宋体" w:eastAsia="宋体" w:hint="default"/>
                <w:spacing w:val="-61"/>
                <w:sz w:val="21"/>
                <w:szCs w:val="21"/>
              </w:rPr>
              <w:t> </w:t>
            </w:r>
            <w:r>
              <w:rPr>
                <w:rFonts w:ascii="宋体" w:hAnsi="宋体" w:cs="宋体" w:eastAsia="宋体" w:hint="default"/>
                <w:sz w:val="21"/>
                <w:szCs w:val="21"/>
              </w:rPr>
              <w:t>询</w:t>
            </w:r>
            <w:r>
              <w:rPr>
                <w:rFonts w:ascii="宋体" w:hAnsi="宋体" w:cs="宋体" w:eastAsia="宋体" w:hint="default"/>
                <w:spacing w:val="-64"/>
                <w:sz w:val="21"/>
                <w:szCs w:val="21"/>
              </w:rPr>
              <w:t> </w:t>
            </w:r>
            <w:r>
              <w:rPr>
                <w:rFonts w:ascii="宋体" w:hAnsi="宋体" w:cs="宋体" w:eastAsia="宋体" w:hint="default"/>
                <w:sz w:val="21"/>
                <w:szCs w:val="21"/>
              </w:rPr>
              <w:t>有</w:t>
            </w:r>
            <w:r>
              <w:rPr>
                <w:rFonts w:ascii="宋体" w:hAnsi="宋体" w:cs="宋体" w:eastAsia="宋体" w:hint="default"/>
                <w:spacing w:val="-61"/>
                <w:sz w:val="21"/>
                <w:szCs w:val="21"/>
              </w:rPr>
              <w:t> </w:t>
            </w:r>
            <w:r>
              <w:rPr>
                <w:rFonts w:ascii="宋体" w:hAnsi="宋体" w:cs="宋体" w:eastAsia="宋体" w:hint="default"/>
                <w:sz w:val="21"/>
                <w:szCs w:val="21"/>
              </w:rPr>
              <w:t>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1994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宋体" w:hAnsi="宋体" w:cs="宋体" w:eastAsia="宋体" w:hint="default"/>
                <w:spacing w:val="-3"/>
                <w:sz w:val="21"/>
                <w:szCs w:val="21"/>
              </w:rPr>
              <w:t>05</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13</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913101146077210078</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22,932,980</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从事计算机软</w:t>
            </w:r>
          </w:p>
          <w:p>
            <w:pPr>
              <w:pStyle w:val="TableParagraph"/>
              <w:spacing w:line="237" w:lineRule="auto" w:before="2"/>
              <w:ind w:left="103" w:right="-5"/>
              <w:jc w:val="both"/>
              <w:rPr>
                <w:rFonts w:ascii="宋体" w:hAnsi="宋体" w:cs="宋体" w:eastAsia="宋体" w:hint="default"/>
                <w:sz w:val="21"/>
                <w:szCs w:val="21"/>
              </w:rPr>
            </w:pPr>
            <w:r>
              <w:rPr>
                <w:rFonts w:ascii="宋体" w:hAnsi="宋体" w:cs="宋体" w:eastAsia="宋体" w:hint="default"/>
                <w:sz w:val="21"/>
                <w:szCs w:val="21"/>
              </w:rPr>
              <w:t>硬件技术领域</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内</w:t>
            </w:r>
            <w:r>
              <w:rPr>
                <w:rFonts w:ascii="宋体" w:hAnsi="宋体" w:cs="宋体" w:eastAsia="宋体" w:hint="default"/>
                <w:spacing w:val="-53"/>
                <w:sz w:val="21"/>
                <w:szCs w:val="21"/>
              </w:rPr>
              <w:t> </w:t>
            </w:r>
            <w:r>
              <w:rPr>
                <w:rFonts w:ascii="宋体" w:hAnsi="宋体" w:cs="宋体" w:eastAsia="宋体" w:hint="default"/>
                <w:sz w:val="21"/>
                <w:szCs w:val="21"/>
              </w:rPr>
              <w:t>的</w:t>
            </w:r>
            <w:r>
              <w:rPr>
                <w:rFonts w:ascii="宋体" w:hAnsi="宋体" w:cs="宋体" w:eastAsia="宋体" w:hint="default"/>
                <w:spacing w:val="-50"/>
                <w:sz w:val="21"/>
                <w:szCs w:val="21"/>
              </w:rPr>
              <w:t> </w:t>
            </w:r>
            <w:r>
              <w:rPr>
                <w:rFonts w:ascii="宋体" w:hAnsi="宋体" w:cs="宋体" w:eastAsia="宋体" w:hint="default"/>
                <w:sz w:val="21"/>
                <w:szCs w:val="21"/>
              </w:rPr>
              <w:t>技</w:t>
            </w:r>
            <w:r>
              <w:rPr>
                <w:rFonts w:ascii="宋体" w:hAnsi="宋体" w:cs="宋体" w:eastAsia="宋体" w:hint="default"/>
                <w:spacing w:val="-53"/>
                <w:sz w:val="21"/>
                <w:szCs w:val="21"/>
              </w:rPr>
              <w:t> </w:t>
            </w:r>
            <w:r>
              <w:rPr>
                <w:rFonts w:ascii="宋体" w:hAnsi="宋体" w:cs="宋体" w:eastAsia="宋体" w:hint="default"/>
                <w:sz w:val="21"/>
                <w:szCs w:val="21"/>
              </w:rPr>
              <w:t>术</w:t>
            </w:r>
            <w:r>
              <w:rPr>
                <w:rFonts w:ascii="宋体" w:hAnsi="宋体" w:cs="宋体" w:eastAsia="宋体" w:hint="default"/>
                <w:spacing w:val="-53"/>
                <w:sz w:val="21"/>
                <w:szCs w:val="21"/>
              </w:rPr>
              <w:t> </w:t>
            </w:r>
            <w:r>
              <w:rPr>
                <w:rFonts w:ascii="宋体" w:hAnsi="宋体" w:cs="宋体" w:eastAsia="宋体" w:hint="default"/>
                <w:sz w:val="21"/>
                <w:szCs w:val="21"/>
              </w:rPr>
              <w:t>咨</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询，企业管理</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咨询，投资管</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5"/>
                <w:w w:val="100"/>
                <w:sz w:val="21"/>
                <w:szCs w:val="21"/>
              </w:rPr>
              <w:t>理，实业投资。</w:t>
            </w:r>
          </w:p>
          <w:p>
            <w:pPr>
              <w:pStyle w:val="TableParagraph"/>
              <w:spacing w:line="237" w:lineRule="auto"/>
              <w:ind w:left="103" w:right="99"/>
              <w:jc w:val="both"/>
              <w:rPr>
                <w:rFonts w:ascii="宋体" w:hAnsi="宋体" w:cs="宋体" w:eastAsia="宋体" w:hint="default"/>
                <w:sz w:val="21"/>
                <w:szCs w:val="21"/>
              </w:rPr>
            </w:pPr>
            <w:r>
              <w:rPr>
                <w:rFonts w:ascii="宋体" w:hAnsi="宋体" w:cs="宋体" w:eastAsia="宋体" w:hint="default"/>
                <w:sz w:val="21"/>
                <w:szCs w:val="21"/>
              </w:rPr>
              <w:t>（企业涉及行</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政许可的，凭</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许可证经营）</w:t>
            </w:r>
          </w:p>
        </w:tc>
      </w:tr>
      <w:tr>
        <w:trPr>
          <w:trHeight w:val="283"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情况说明</w:t>
            </w:r>
          </w:p>
        </w:tc>
        <w:tc>
          <w:tcPr>
            <w:tcW w:w="7384" w:type="dxa"/>
            <w:gridSpan w:val="5"/>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无</w:t>
            </w:r>
          </w:p>
        </w:tc>
      </w:tr>
    </w:tbl>
    <w:p>
      <w:pPr>
        <w:spacing w:after="0" w:line="243" w:lineRule="exact"/>
        <w:jc w:val="left"/>
        <w:rPr>
          <w:rFonts w:ascii="宋体" w:hAnsi="宋体" w:cs="宋体" w:eastAsia="宋体" w:hint="default"/>
          <w:sz w:val="21"/>
          <w:szCs w:val="21"/>
        </w:rPr>
        <w:sectPr>
          <w:type w:val="continuous"/>
          <w:pgSz w:w="11910" w:h="16840"/>
          <w:pgMar w:top="1320" w:bottom="1380" w:left="1580" w:right="1120"/>
        </w:sectPr>
      </w:pPr>
    </w:p>
    <w:p>
      <w:pPr>
        <w:spacing w:line="240" w:lineRule="auto" w:before="4"/>
        <w:rPr>
          <w:rFonts w:ascii="宋体" w:hAnsi="宋体" w:cs="宋体" w:eastAsia="宋体" w:hint="default"/>
          <w:sz w:val="9"/>
          <w:szCs w:val="9"/>
        </w:rPr>
      </w:pPr>
    </w:p>
    <w:p>
      <w:pPr>
        <w:pStyle w:val="Heading3"/>
        <w:spacing w:line="240" w:lineRule="auto" w:before="36"/>
        <w:ind w:left="138" w:right="0"/>
        <w:jc w:val="left"/>
        <w:rPr>
          <w:b w:val="0"/>
          <w:bCs w:val="0"/>
        </w:rPr>
      </w:pPr>
      <w:r>
        <w:rPr/>
        <w:t>六、</w:t>
      </w:r>
      <w:r>
        <w:rPr>
          <w:spacing w:val="-77"/>
        </w:rPr>
        <w:t> </w:t>
      </w:r>
      <w:r>
        <w:rPr/>
        <w:t>股份限制减持情况说明</w:t>
      </w:r>
      <w:r>
        <w:rPr>
          <w:b w:val="0"/>
          <w:bCs w:val="0"/>
        </w:rPr>
      </w:r>
    </w:p>
    <w:p>
      <w:pPr>
        <w:pStyle w:val="BodyText"/>
        <w:spacing w:line="240" w:lineRule="auto" w:before="58"/>
        <w:ind w:left="138" w:right="0"/>
        <w:jc w:val="left"/>
      </w:pPr>
      <w:r>
        <w:rPr/>
        <w:t>□适用</w:t>
      </w:r>
      <w:r>
        <w:rPr>
          <w:spacing w:val="-1"/>
        </w:rPr>
        <w:t> </w:t>
      </w:r>
      <w:r>
        <w:rPr/>
        <w:t>√不适用</w:t>
      </w:r>
    </w:p>
    <w:p>
      <w:pPr>
        <w:spacing w:line="240" w:lineRule="auto" w:before="10"/>
        <w:rPr>
          <w:rFonts w:ascii="宋体" w:hAnsi="宋体" w:cs="宋体" w:eastAsia="宋体" w:hint="default"/>
          <w:sz w:val="21"/>
          <w:szCs w:val="21"/>
        </w:rPr>
      </w:pPr>
    </w:p>
    <w:p>
      <w:pPr>
        <w:pStyle w:val="Heading1"/>
        <w:tabs>
          <w:tab w:pos="4199" w:val="left" w:leader="none"/>
        </w:tabs>
        <w:spacing w:line="240" w:lineRule="auto"/>
        <w:ind w:left="2939" w:right="0"/>
        <w:jc w:val="left"/>
        <w:rPr>
          <w:b w:val="0"/>
          <w:bCs w:val="0"/>
        </w:rPr>
      </w:pPr>
      <w:bookmarkStart w:name="_TOC_250005" w:id="7"/>
      <w:r>
        <w:rPr>
          <w:w w:val="95"/>
        </w:rPr>
        <w:t>第七节</w:t>
        <w:tab/>
      </w:r>
      <w:r>
        <w:rPr/>
        <w:t>优先股相关情况</w:t>
      </w:r>
      <w:bookmarkEnd w:id="7"/>
      <w:r>
        <w:rPr>
          <w:b w:val="0"/>
          <w:bCs w:val="0"/>
        </w:rPr>
      </w:r>
    </w:p>
    <w:p>
      <w:pPr>
        <w:spacing w:line="240" w:lineRule="auto" w:before="7"/>
        <w:rPr>
          <w:rFonts w:ascii="黑体" w:hAnsi="黑体" w:cs="黑体" w:eastAsia="黑体" w:hint="default"/>
          <w:b/>
          <w:bCs/>
          <w:sz w:val="16"/>
          <w:szCs w:val="16"/>
        </w:rPr>
      </w:pPr>
    </w:p>
    <w:p>
      <w:pPr>
        <w:pStyle w:val="BodyText"/>
        <w:spacing w:line="240" w:lineRule="auto" w:before="36"/>
        <w:ind w:left="138" w:right="0"/>
        <w:jc w:val="left"/>
      </w:pPr>
      <w:r>
        <w:rPr/>
        <w:t>□适用</w:t>
      </w:r>
      <w:r>
        <w:rPr>
          <w:spacing w:val="-1"/>
        </w:rPr>
        <w:t> </w:t>
      </w:r>
      <w:r>
        <w:rPr/>
        <w:t>√不适用</w:t>
      </w:r>
    </w:p>
    <w:p>
      <w:pPr>
        <w:spacing w:after="0" w:line="240" w:lineRule="auto"/>
        <w:jc w:val="left"/>
        <w:sectPr>
          <w:footerReference w:type="default" r:id="rId45"/>
          <w:pgSz w:w="11910" w:h="16840"/>
          <w:pgMar w:footer="1195" w:header="855" w:top="1320" w:bottom="1380" w:left="1660" w:right="1120"/>
        </w:sectPr>
      </w:pPr>
    </w:p>
    <w:p>
      <w:pPr>
        <w:spacing w:line="240" w:lineRule="auto" w:before="1"/>
        <w:rPr>
          <w:rFonts w:ascii="宋体" w:hAnsi="宋体" w:cs="宋体" w:eastAsia="宋体" w:hint="default"/>
          <w:sz w:val="2"/>
          <w:szCs w:val="2"/>
        </w:rPr>
      </w:pPr>
    </w:p>
    <w:p>
      <w:pPr>
        <w:spacing w:line="20" w:lineRule="exact"/>
        <w:ind w:left="188" w:right="0" w:firstLine="0"/>
        <w:rPr>
          <w:rFonts w:ascii="宋体" w:hAnsi="宋体" w:cs="宋体" w:eastAsia="宋体" w:hint="default"/>
          <w:sz w:val="2"/>
          <w:szCs w:val="2"/>
        </w:rPr>
      </w:pPr>
      <w:r>
        <w:rPr>
          <w:rFonts w:ascii="宋体" w:hAnsi="宋体" w:cs="宋体" w:eastAsia="宋体" w:hint="default"/>
          <w:sz w:val="2"/>
          <w:szCs w:val="2"/>
        </w:rPr>
        <w:pict>
          <v:group style="width:697.35pt;height:.75pt;mso-position-horizontal-relative:char;mso-position-vertical-relative:line" coordorigin="0,0" coordsize="13947,15">
            <v:group style="position:absolute;left:7;top:7;width:13932;height:2" coordorigin="7,7" coordsize="13932,2">
              <v:shape style="position:absolute;left:7;top:7;width:13932;height:2" coordorigin="7,7" coordsize="13932,0" path="m7,7l13939,7e" filled="false" stroked="true" strokeweight=".72pt" strokecolor="#000000">
                <v:path arrowok="t"/>
              </v:shape>
            </v:group>
          </v:group>
        </w:pict>
      </w:r>
      <w:r>
        <w:rPr>
          <w:rFonts w:ascii="宋体" w:hAnsi="宋体" w:cs="宋体" w:eastAsia="宋体" w:hint="default"/>
          <w:sz w:val="2"/>
          <w:szCs w:val="2"/>
        </w:rPr>
      </w:r>
    </w:p>
    <w:p>
      <w:pPr>
        <w:pStyle w:val="Heading1"/>
        <w:tabs>
          <w:tab w:pos="5401" w:val="left" w:leader="none"/>
        </w:tabs>
        <w:spacing w:line="240" w:lineRule="auto" w:before="5"/>
        <w:ind w:left="4141" w:right="0"/>
        <w:jc w:val="left"/>
        <w:rPr>
          <w:b w:val="0"/>
          <w:bCs w:val="0"/>
        </w:rPr>
      </w:pPr>
      <w:bookmarkStart w:name="_TOC_250004" w:id="8"/>
      <w:r>
        <w:rPr>
          <w:w w:val="95"/>
        </w:rPr>
        <w:t>第八节</w:t>
        <w:tab/>
      </w:r>
      <w:r>
        <w:rPr/>
        <w:t>董事、监事、高级管理人员和员工情况</w:t>
      </w:r>
      <w:bookmarkEnd w:id="8"/>
      <w:r>
        <w:rPr>
          <w:b w:val="0"/>
          <w:bCs w:val="0"/>
        </w:rPr>
      </w:r>
    </w:p>
    <w:p>
      <w:pPr>
        <w:spacing w:line="240" w:lineRule="auto" w:before="7"/>
        <w:rPr>
          <w:rFonts w:ascii="黑体" w:hAnsi="黑体" w:cs="黑体" w:eastAsia="黑体" w:hint="default"/>
          <w:b/>
          <w:bCs/>
          <w:sz w:val="16"/>
          <w:szCs w:val="16"/>
        </w:rPr>
      </w:pPr>
    </w:p>
    <w:p>
      <w:pPr>
        <w:spacing w:after="0" w:line="240" w:lineRule="auto"/>
        <w:rPr>
          <w:rFonts w:ascii="黑体" w:hAnsi="黑体" w:cs="黑体" w:eastAsia="黑体" w:hint="default"/>
          <w:sz w:val="16"/>
          <w:szCs w:val="16"/>
        </w:rPr>
        <w:sectPr>
          <w:headerReference w:type="default" r:id="rId46"/>
          <w:footerReference w:type="default" r:id="rId47"/>
          <w:pgSz w:w="16840" w:h="11910" w:orient="landscape"/>
          <w:pgMar w:header="855" w:footer="1195" w:top="1280" w:bottom="1380" w:left="1300" w:right="1200"/>
          <w:pgNumType w:start="62"/>
        </w:sectPr>
      </w:pPr>
    </w:p>
    <w:p>
      <w:pPr>
        <w:pStyle w:val="Heading3"/>
        <w:spacing w:line="240" w:lineRule="auto" w:before="36"/>
        <w:ind w:left="224" w:right="-15"/>
        <w:jc w:val="left"/>
        <w:rPr>
          <w:b w:val="0"/>
          <w:bCs w:val="0"/>
        </w:rPr>
      </w:pPr>
      <w:r>
        <w:rPr/>
        <w:t>一、持股变动情况及报酬情况</w:t>
      </w:r>
      <w:r>
        <w:rPr>
          <w:b w:val="0"/>
          <w:bCs w:val="0"/>
        </w:rPr>
      </w:r>
    </w:p>
    <w:p>
      <w:pPr>
        <w:pStyle w:val="Heading3"/>
        <w:spacing w:line="240" w:lineRule="auto" w:before="58"/>
        <w:ind w:left="224" w:right="-15"/>
        <w:jc w:val="left"/>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28"/>
        </w:rPr>
        <w:t> </w:t>
      </w:r>
      <w:r>
        <w:rPr/>
        <w:t>现任及报告期内离任董事、监事和高级管理人员持股变动及报酬情况</w:t>
      </w:r>
      <w:r>
        <w:rPr>
          <w:b w:val="0"/>
          <w:bCs w:val="0"/>
        </w:rPr>
      </w:r>
    </w:p>
    <w:p>
      <w:pPr>
        <w:pStyle w:val="BodyText"/>
        <w:spacing w:line="240" w:lineRule="auto" w:before="29"/>
        <w:ind w:left="224" w:right="-15"/>
        <w:jc w:val="left"/>
      </w:pPr>
      <w:r>
        <w:rPr/>
        <w:t>√适用 □不适用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BodyText"/>
        <w:spacing w:line="240" w:lineRule="auto"/>
        <w:ind w:left="224" w:right="0"/>
        <w:jc w:val="left"/>
      </w:pPr>
      <w:r>
        <w:rPr/>
        <w:t>单位：股</w:t>
      </w:r>
    </w:p>
    <w:p>
      <w:pPr>
        <w:spacing w:after="0" w:line="240" w:lineRule="auto"/>
        <w:jc w:val="left"/>
        <w:sectPr>
          <w:type w:val="continuous"/>
          <w:pgSz w:w="16840" w:h="11910" w:orient="landscape"/>
          <w:pgMar w:top="1320" w:bottom="1380" w:left="1300" w:right="1200"/>
          <w:cols w:num="2" w:equalWidth="0">
            <w:col w:w="6972" w:space="6062"/>
            <w:col w:w="1306"/>
          </w:cols>
        </w:sectPr>
      </w:pPr>
    </w:p>
    <w:p>
      <w:pPr>
        <w:spacing w:line="240" w:lineRule="auto" w:before="4"/>
        <w:rPr>
          <w:rFonts w:ascii="宋体" w:hAnsi="宋体" w:cs="宋体" w:eastAsia="宋体" w:hint="default"/>
          <w:sz w:val="2"/>
          <w:szCs w:val="2"/>
        </w:rPr>
      </w:pPr>
    </w:p>
    <w:tbl>
      <w:tblPr>
        <w:tblW w:w="0" w:type="auto"/>
        <w:jc w:val="left"/>
        <w:tblInd w:w="111" w:type="dxa"/>
        <w:tblLayout w:type="fixed"/>
        <w:tblCellMar>
          <w:top w:w="0" w:type="dxa"/>
          <w:left w:w="0" w:type="dxa"/>
          <w:bottom w:w="0" w:type="dxa"/>
          <w:right w:w="0" w:type="dxa"/>
        </w:tblCellMar>
        <w:tblLook w:val="01E0"/>
      </w:tblPr>
      <w:tblGrid>
        <w:gridCol w:w="980"/>
        <w:gridCol w:w="1061"/>
        <w:gridCol w:w="773"/>
        <w:gridCol w:w="773"/>
        <w:gridCol w:w="1210"/>
        <w:gridCol w:w="1063"/>
        <w:gridCol w:w="1896"/>
        <w:gridCol w:w="1162"/>
        <w:gridCol w:w="1321"/>
        <w:gridCol w:w="1032"/>
        <w:gridCol w:w="1579"/>
        <w:gridCol w:w="1248"/>
      </w:tblGrid>
      <w:tr>
        <w:trPr>
          <w:trHeight w:val="1100"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8"/>
                <w:szCs w:val="28"/>
              </w:rPr>
            </w:pPr>
          </w:p>
          <w:p>
            <w:pPr>
              <w:pStyle w:val="TableParagraph"/>
              <w:spacing w:line="240" w:lineRule="auto"/>
              <w:ind w:left="274"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8"/>
                <w:szCs w:val="28"/>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职务</w:t>
            </w:r>
            <w:r>
              <w:rPr>
                <w:rFonts w:ascii="宋体" w:hAnsi="宋体" w:cs="宋体" w:eastAsia="宋体" w:hint="default"/>
                <w:sz w:val="21"/>
                <w:szCs w:val="21"/>
              </w:rPr>
              <w:t>(</w:t>
            </w:r>
            <w:r>
              <w:rPr>
                <w:rFonts w:ascii="宋体" w:hAnsi="宋体" w:cs="宋体" w:eastAsia="宋体" w:hint="default"/>
                <w:sz w:val="21"/>
                <w:szCs w:val="21"/>
              </w:rPr>
              <w:t>注</w:t>
            </w:r>
            <w:r>
              <w:rPr>
                <w:rFonts w:ascii="宋体" w:hAnsi="宋体" w:cs="宋体" w:eastAsia="宋体" w:hint="default"/>
                <w:sz w:val="21"/>
                <w:szCs w:val="21"/>
              </w:rPr>
              <w:t>)</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8"/>
                <w:szCs w:val="28"/>
              </w:rPr>
            </w:pPr>
          </w:p>
          <w:p>
            <w:pPr>
              <w:pStyle w:val="TableParagraph"/>
              <w:spacing w:line="240" w:lineRule="auto"/>
              <w:ind w:left="172" w:right="0"/>
              <w:jc w:val="left"/>
              <w:rPr>
                <w:rFonts w:ascii="宋体" w:hAnsi="宋体" w:cs="宋体" w:eastAsia="宋体" w:hint="default"/>
                <w:sz w:val="21"/>
                <w:szCs w:val="21"/>
              </w:rPr>
            </w:pPr>
            <w:r>
              <w:rPr>
                <w:rFonts w:ascii="宋体" w:hAnsi="宋体" w:cs="宋体" w:eastAsia="宋体" w:hint="default"/>
                <w:sz w:val="21"/>
                <w:szCs w:val="21"/>
              </w:rPr>
              <w:t>性别</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8"/>
                <w:szCs w:val="28"/>
              </w:rPr>
            </w:pPr>
          </w:p>
          <w:p>
            <w:pPr>
              <w:pStyle w:val="TableParagraph"/>
              <w:spacing w:line="240" w:lineRule="auto"/>
              <w:ind w:left="170" w:right="0"/>
              <w:jc w:val="left"/>
              <w:rPr>
                <w:rFonts w:ascii="宋体" w:hAnsi="宋体" w:cs="宋体" w:eastAsia="宋体" w:hint="default"/>
                <w:sz w:val="21"/>
                <w:szCs w:val="21"/>
              </w:rPr>
            </w:pPr>
            <w:r>
              <w:rPr>
                <w:rFonts w:ascii="宋体" w:hAnsi="宋体" w:cs="宋体" w:eastAsia="宋体" w:hint="default"/>
                <w:sz w:val="21"/>
                <w:szCs w:val="21"/>
              </w:rPr>
              <w:t>年龄</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72" w:lineRule="exact"/>
              <w:ind w:left="388" w:right="175" w:hanging="209"/>
              <w:jc w:val="left"/>
              <w:rPr>
                <w:rFonts w:ascii="宋体" w:hAnsi="宋体" w:cs="宋体" w:eastAsia="宋体" w:hint="default"/>
                <w:sz w:val="21"/>
                <w:szCs w:val="21"/>
              </w:rPr>
            </w:pPr>
            <w:r>
              <w:rPr>
                <w:rFonts w:ascii="宋体" w:hAnsi="宋体" w:cs="宋体" w:eastAsia="宋体" w:hint="default"/>
                <w:sz w:val="21"/>
                <w:szCs w:val="21"/>
              </w:rPr>
              <w:t>任期起始</w:t>
            </w:r>
            <w:r>
              <w:rPr>
                <w:rFonts w:ascii="宋体" w:hAnsi="宋体" w:cs="宋体" w:eastAsia="宋体" w:hint="default"/>
                <w:w w:val="100"/>
                <w:sz w:val="21"/>
                <w:szCs w:val="21"/>
              </w:rPr>
              <w:t> </w:t>
            </w:r>
            <w:r>
              <w:rPr>
                <w:rFonts w:ascii="宋体" w:hAnsi="宋体" w:cs="宋体" w:eastAsia="宋体" w:hint="default"/>
                <w:sz w:val="21"/>
                <w:szCs w:val="21"/>
              </w:rPr>
              <w:t>日期</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72" w:lineRule="exact"/>
              <w:ind w:left="316" w:right="103" w:hanging="212"/>
              <w:jc w:val="left"/>
              <w:rPr>
                <w:rFonts w:ascii="宋体" w:hAnsi="宋体" w:cs="宋体" w:eastAsia="宋体" w:hint="default"/>
                <w:sz w:val="21"/>
                <w:szCs w:val="21"/>
              </w:rPr>
            </w:pPr>
            <w:r>
              <w:rPr>
                <w:rFonts w:ascii="宋体" w:hAnsi="宋体" w:cs="宋体" w:eastAsia="宋体" w:hint="default"/>
                <w:sz w:val="21"/>
                <w:szCs w:val="21"/>
              </w:rPr>
              <w:t>任期终止</w:t>
            </w:r>
            <w:r>
              <w:rPr>
                <w:rFonts w:ascii="宋体" w:hAnsi="宋体" w:cs="宋体" w:eastAsia="宋体" w:hint="default"/>
                <w:w w:val="100"/>
                <w:sz w:val="21"/>
                <w:szCs w:val="21"/>
              </w:rPr>
              <w:t> </w:t>
            </w:r>
            <w:r>
              <w:rPr>
                <w:rFonts w:ascii="宋体" w:hAnsi="宋体" w:cs="宋体" w:eastAsia="宋体" w:hint="default"/>
                <w:sz w:val="21"/>
                <w:szCs w:val="21"/>
              </w:rPr>
              <w:t>日期</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8"/>
                <w:szCs w:val="28"/>
              </w:rPr>
            </w:pPr>
          </w:p>
          <w:p>
            <w:pPr>
              <w:pStyle w:val="TableParagraph"/>
              <w:spacing w:line="240" w:lineRule="auto"/>
              <w:ind w:left="417" w:right="0"/>
              <w:jc w:val="left"/>
              <w:rPr>
                <w:rFonts w:ascii="宋体" w:hAnsi="宋体" w:cs="宋体" w:eastAsia="宋体" w:hint="default"/>
                <w:sz w:val="21"/>
                <w:szCs w:val="21"/>
              </w:rPr>
            </w:pPr>
            <w:r>
              <w:rPr>
                <w:rFonts w:ascii="宋体" w:hAnsi="宋体" w:cs="宋体" w:eastAsia="宋体" w:hint="default"/>
                <w:sz w:val="21"/>
                <w:szCs w:val="21"/>
              </w:rPr>
              <w:t>年初持股数</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72" w:lineRule="exact"/>
              <w:ind w:left="470" w:right="151" w:hanging="315"/>
              <w:jc w:val="left"/>
              <w:rPr>
                <w:rFonts w:ascii="宋体" w:hAnsi="宋体" w:cs="宋体" w:eastAsia="宋体" w:hint="default"/>
                <w:sz w:val="21"/>
                <w:szCs w:val="21"/>
              </w:rPr>
            </w:pPr>
            <w:r>
              <w:rPr>
                <w:rFonts w:ascii="宋体" w:hAnsi="宋体" w:cs="宋体" w:eastAsia="宋体" w:hint="default"/>
                <w:sz w:val="21"/>
                <w:szCs w:val="21"/>
              </w:rPr>
              <w:t>年末持股</w:t>
            </w:r>
            <w:r>
              <w:rPr>
                <w:rFonts w:ascii="宋体" w:hAnsi="宋体" w:cs="宋体" w:eastAsia="宋体" w:hint="default"/>
                <w:w w:val="100"/>
                <w:sz w:val="21"/>
                <w:szCs w:val="21"/>
              </w:rPr>
              <w:t> </w:t>
            </w:r>
            <w:r>
              <w:rPr>
                <w:rFonts w:ascii="宋体" w:hAnsi="宋体" w:cs="宋体" w:eastAsia="宋体" w:hint="default"/>
                <w:sz w:val="21"/>
                <w:szCs w:val="21"/>
              </w:rPr>
              <w:t>数</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72" w:lineRule="exact"/>
              <w:ind w:left="129" w:right="125"/>
              <w:jc w:val="left"/>
              <w:rPr>
                <w:rFonts w:ascii="宋体" w:hAnsi="宋体" w:cs="宋体" w:eastAsia="宋体" w:hint="default"/>
                <w:sz w:val="21"/>
                <w:szCs w:val="21"/>
              </w:rPr>
            </w:pPr>
            <w:r>
              <w:rPr>
                <w:rFonts w:ascii="宋体" w:hAnsi="宋体" w:cs="宋体" w:eastAsia="宋体" w:hint="default"/>
                <w:sz w:val="21"/>
                <w:szCs w:val="21"/>
              </w:rPr>
              <w:t>年度内股份</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增减变动量</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72" w:lineRule="exact"/>
              <w:ind w:left="196" w:right="191"/>
              <w:jc w:val="left"/>
              <w:rPr>
                <w:rFonts w:ascii="宋体" w:hAnsi="宋体" w:cs="宋体" w:eastAsia="宋体" w:hint="default"/>
                <w:sz w:val="21"/>
                <w:szCs w:val="21"/>
              </w:rPr>
            </w:pPr>
            <w:r>
              <w:rPr>
                <w:rFonts w:ascii="宋体" w:hAnsi="宋体" w:cs="宋体" w:eastAsia="宋体" w:hint="default"/>
                <w:sz w:val="21"/>
                <w:szCs w:val="21"/>
              </w:rPr>
              <w:t>增减变</w:t>
            </w:r>
            <w:r>
              <w:rPr>
                <w:rFonts w:ascii="宋体" w:hAnsi="宋体" w:cs="宋体" w:eastAsia="宋体" w:hint="default"/>
                <w:spacing w:val="-102"/>
                <w:sz w:val="21"/>
                <w:szCs w:val="21"/>
              </w:rPr>
              <w:t> </w:t>
            </w:r>
            <w:r>
              <w:rPr>
                <w:rFonts w:ascii="宋体" w:hAnsi="宋体" w:cs="宋体" w:eastAsia="宋体" w:hint="default"/>
                <w:sz w:val="21"/>
                <w:szCs w:val="21"/>
              </w:rPr>
              <w:t>动原因</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4" w:right="0"/>
              <w:jc w:val="center"/>
              <w:rPr>
                <w:rFonts w:ascii="宋体" w:hAnsi="宋体" w:cs="宋体" w:eastAsia="宋体" w:hint="default"/>
                <w:sz w:val="21"/>
                <w:szCs w:val="21"/>
              </w:rPr>
            </w:pPr>
            <w:r>
              <w:rPr>
                <w:rFonts w:ascii="宋体" w:hAnsi="宋体" w:cs="宋体" w:eastAsia="宋体" w:hint="default"/>
                <w:sz w:val="21"/>
                <w:szCs w:val="21"/>
              </w:rPr>
              <w:t>报告期内从公</w:t>
            </w:r>
          </w:p>
          <w:p>
            <w:pPr>
              <w:pStyle w:val="TableParagraph"/>
              <w:spacing w:line="237" w:lineRule="auto" w:before="2"/>
              <w:ind w:left="156" w:right="149" w:hanging="3"/>
              <w:jc w:val="center"/>
              <w:rPr>
                <w:rFonts w:ascii="宋体" w:hAnsi="宋体" w:cs="宋体" w:eastAsia="宋体" w:hint="default"/>
                <w:sz w:val="21"/>
                <w:szCs w:val="21"/>
              </w:rPr>
            </w:pPr>
            <w:r>
              <w:rPr>
                <w:rFonts w:ascii="宋体" w:hAnsi="宋体" w:cs="宋体" w:eastAsia="宋体" w:hint="default"/>
                <w:spacing w:val="-2"/>
                <w:sz w:val="21"/>
                <w:szCs w:val="21"/>
              </w:rPr>
              <w:t>司获得的税前</w:t>
            </w:r>
            <w:r>
              <w:rPr>
                <w:rFonts w:ascii="宋体" w:hAnsi="宋体" w:cs="宋体" w:eastAsia="宋体" w:hint="default"/>
                <w:spacing w:val="-3"/>
                <w:w w:val="100"/>
                <w:sz w:val="21"/>
                <w:szCs w:val="21"/>
              </w:rPr>
              <w:t> </w:t>
            </w:r>
            <w:r>
              <w:rPr>
                <w:rFonts w:ascii="宋体" w:hAnsi="宋体" w:cs="宋体" w:eastAsia="宋体" w:hint="default"/>
                <w:spacing w:val="-1"/>
                <w:sz w:val="21"/>
                <w:szCs w:val="21"/>
              </w:rPr>
              <w:t>报酬总额（万</w:t>
            </w:r>
            <w:r>
              <w:rPr>
                <w:rFonts w:ascii="宋体" w:hAnsi="宋体" w:cs="宋体" w:eastAsia="宋体" w:hint="default"/>
                <w:w w:val="100"/>
                <w:sz w:val="21"/>
                <w:szCs w:val="21"/>
              </w:rPr>
              <w:t> </w:t>
            </w:r>
            <w:r>
              <w:rPr>
                <w:rFonts w:ascii="宋体" w:hAnsi="宋体" w:cs="宋体" w:eastAsia="宋体" w:hint="default"/>
                <w:sz w:val="21"/>
                <w:szCs w:val="21"/>
              </w:rPr>
              <w:t>元）</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01" w:right="0"/>
              <w:jc w:val="left"/>
              <w:rPr>
                <w:rFonts w:ascii="宋体" w:hAnsi="宋体" w:cs="宋体" w:eastAsia="宋体" w:hint="default"/>
                <w:sz w:val="21"/>
                <w:szCs w:val="21"/>
              </w:rPr>
            </w:pPr>
            <w:r>
              <w:rPr>
                <w:rFonts w:ascii="宋体" w:hAnsi="宋体" w:cs="宋体" w:eastAsia="宋体" w:hint="default"/>
                <w:sz w:val="21"/>
                <w:szCs w:val="21"/>
              </w:rPr>
              <w:t>是否在公</w:t>
            </w:r>
          </w:p>
          <w:p>
            <w:pPr>
              <w:pStyle w:val="TableParagraph"/>
              <w:spacing w:line="272" w:lineRule="exact" w:before="27"/>
              <w:ind w:left="201" w:right="192"/>
              <w:jc w:val="left"/>
              <w:rPr>
                <w:rFonts w:ascii="宋体" w:hAnsi="宋体" w:cs="宋体" w:eastAsia="宋体" w:hint="default"/>
                <w:sz w:val="21"/>
                <w:szCs w:val="21"/>
              </w:rPr>
            </w:pPr>
            <w:r>
              <w:rPr>
                <w:rFonts w:ascii="宋体" w:hAnsi="宋体" w:cs="宋体" w:eastAsia="宋体" w:hint="default"/>
                <w:sz w:val="21"/>
                <w:szCs w:val="21"/>
              </w:rPr>
              <w:t>司关联方</w:t>
            </w:r>
            <w:r>
              <w:rPr>
                <w:rFonts w:ascii="宋体" w:hAnsi="宋体" w:cs="宋体" w:eastAsia="宋体" w:hint="default"/>
                <w:w w:val="100"/>
                <w:sz w:val="21"/>
                <w:szCs w:val="21"/>
              </w:rPr>
              <w:t> </w:t>
            </w:r>
            <w:r>
              <w:rPr>
                <w:rFonts w:ascii="宋体" w:hAnsi="宋体" w:cs="宋体" w:eastAsia="宋体" w:hint="default"/>
                <w:sz w:val="21"/>
                <w:szCs w:val="21"/>
              </w:rPr>
              <w:t>获取报酬</w:t>
            </w:r>
          </w:p>
        </w:tc>
      </w:tr>
      <w:tr>
        <w:trPr>
          <w:trHeight w:val="554"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董事长兼</w:t>
            </w:r>
          </w:p>
          <w:p>
            <w:pPr>
              <w:pStyle w:val="TableParagraph"/>
              <w:spacing w:line="273" w:lineRule="exact"/>
              <w:ind w:left="105" w:right="0"/>
              <w:jc w:val="left"/>
              <w:rPr>
                <w:rFonts w:ascii="宋体" w:hAnsi="宋体" w:cs="宋体" w:eastAsia="宋体" w:hint="default"/>
                <w:sz w:val="21"/>
                <w:szCs w:val="21"/>
              </w:rPr>
            </w:pPr>
            <w:r>
              <w:rPr>
                <w:rFonts w:ascii="宋体" w:hAnsi="宋体" w:cs="宋体" w:eastAsia="宋体" w:hint="default"/>
                <w:sz w:val="21"/>
                <w:szCs w:val="21"/>
              </w:rPr>
              <w:t>总裁</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sz w:val="21"/>
              </w:rPr>
              <w:t>54</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sz w:val="21"/>
              </w:rPr>
              <w:t>2017/4/7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1</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w w:val="100"/>
                <w:sz w:val="21"/>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w w:val="100"/>
                <w:sz w:val="21"/>
              </w:rPr>
              <w:t>0</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w w:val="100"/>
                <w:sz w:val="21"/>
              </w:rPr>
              <w:t>0</w:t>
            </w:r>
          </w:p>
        </w:tc>
        <w:tc>
          <w:tcPr>
            <w:tcW w:w="1032" w:type="dxa"/>
            <w:tcBorders>
              <w:top w:val="single" w:sz="4" w:space="0" w:color="000000"/>
              <w:left w:val="single" w:sz="4" w:space="0" w:color="000000"/>
              <w:bottom w:val="single" w:sz="4" w:space="0" w:color="000000"/>
              <w:right w:val="single" w:sz="4" w:space="0" w:color="000000"/>
            </w:tcBorders>
          </w:tcPr>
          <w:p>
            <w:pP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231.47</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郭新平</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副董事长</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sz w:val="21"/>
              </w:rPr>
              <w:t>55</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sz w:val="21"/>
              </w:rPr>
              <w:t>2017/4/7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1</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w w:val="100"/>
                <w:sz w:val="21"/>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w w:val="100"/>
                <w:sz w:val="21"/>
              </w:rPr>
              <w:t>0</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w w:val="100"/>
                <w:sz w:val="21"/>
              </w:rPr>
              <w:t>0</w:t>
            </w:r>
          </w:p>
        </w:tc>
        <w:tc>
          <w:tcPr>
            <w:tcW w:w="1032" w:type="dxa"/>
            <w:tcBorders>
              <w:top w:val="single" w:sz="4" w:space="0" w:color="000000"/>
              <w:left w:val="single" w:sz="4" w:space="0" w:color="000000"/>
              <w:bottom w:val="single" w:sz="4" w:space="0" w:color="000000"/>
              <w:right w:val="single" w:sz="4" w:space="0" w:color="000000"/>
            </w:tcBorders>
          </w:tcPr>
          <w:p>
            <w:pP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208.44</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54</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1</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850,000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850,000</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032" w:type="dxa"/>
            <w:tcBorders>
              <w:top w:val="single" w:sz="4" w:space="0" w:color="000000"/>
              <w:left w:val="single" w:sz="4" w:space="0" w:color="000000"/>
              <w:bottom w:val="single" w:sz="4" w:space="0" w:color="000000"/>
              <w:right w:val="single" w:sz="4" w:space="0" w:color="000000"/>
            </w:tcBorders>
          </w:tcPr>
          <w:p>
            <w:pP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214.61</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李绍唐</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5" w:right="0"/>
              <w:jc w:val="left"/>
              <w:rPr>
                <w:rFonts w:ascii="宋体" w:hAnsi="宋体" w:cs="宋体" w:eastAsia="宋体" w:hint="default"/>
                <w:sz w:val="21"/>
                <w:szCs w:val="21"/>
              </w:rPr>
            </w:pPr>
            <w:r>
              <w:rPr>
                <w:rFonts w:ascii="宋体" w:hAnsi="宋体" w:cs="宋体" w:eastAsia="宋体" w:hint="default"/>
                <w:sz w:val="21"/>
                <w:szCs w:val="21"/>
              </w:rPr>
              <w:t>独立董事</w:t>
            </w:r>
          </w:p>
          <w:p>
            <w:pPr>
              <w:pStyle w:val="TableParagraph"/>
              <w:spacing w:line="273" w:lineRule="exact"/>
              <w:ind w:left="105"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z w:val="21"/>
                <w:szCs w:val="21"/>
              </w:rPr>
              <w:t>）</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61</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2014/4/8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1</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032" w:type="dxa"/>
            <w:tcBorders>
              <w:top w:val="single" w:sz="4" w:space="0" w:color="000000"/>
              <w:left w:val="single" w:sz="4" w:space="0" w:color="000000"/>
              <w:bottom w:val="single" w:sz="4" w:space="0" w:color="000000"/>
              <w:right w:val="single" w:sz="4" w:space="0" w:color="000000"/>
            </w:tcBorders>
          </w:tcPr>
          <w:p>
            <w:pP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黄锦辉</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54</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3</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032" w:type="dxa"/>
            <w:tcBorders>
              <w:top w:val="single" w:sz="4" w:space="0" w:color="000000"/>
              <w:left w:val="single" w:sz="4" w:space="0" w:color="000000"/>
              <w:bottom w:val="single" w:sz="4" w:space="0" w:color="000000"/>
              <w:right w:val="single" w:sz="4" w:space="0" w:color="000000"/>
            </w:tcBorders>
          </w:tcPr>
          <w:p>
            <w:pP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8.00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1"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于扬</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50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3</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032" w:type="dxa"/>
            <w:tcBorders>
              <w:top w:val="single" w:sz="4" w:space="0" w:color="000000"/>
              <w:left w:val="single" w:sz="4" w:space="0" w:color="000000"/>
              <w:bottom w:val="single" w:sz="4" w:space="0" w:color="000000"/>
              <w:right w:val="single" w:sz="4" w:space="0" w:color="000000"/>
            </w:tcBorders>
          </w:tcPr>
          <w:p>
            <w:pP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8.00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王贵亚</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53</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3</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032" w:type="dxa"/>
            <w:tcBorders>
              <w:top w:val="single" w:sz="4" w:space="0" w:color="000000"/>
              <w:left w:val="single" w:sz="4" w:space="0" w:color="000000"/>
              <w:bottom w:val="single" w:sz="4" w:space="0" w:color="000000"/>
              <w:right w:val="single" w:sz="4" w:space="0" w:color="000000"/>
            </w:tcBorders>
          </w:tcPr>
          <w:p>
            <w:pP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4.21</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许建钢</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5" w:right="0"/>
              <w:jc w:val="left"/>
              <w:rPr>
                <w:rFonts w:ascii="宋体" w:hAnsi="宋体" w:cs="宋体" w:eastAsia="宋体" w:hint="default"/>
                <w:sz w:val="21"/>
                <w:szCs w:val="21"/>
              </w:rPr>
            </w:pPr>
            <w:r>
              <w:rPr>
                <w:rFonts w:ascii="宋体" w:hAnsi="宋体" w:cs="宋体" w:eastAsia="宋体" w:hint="default"/>
                <w:sz w:val="21"/>
                <w:szCs w:val="21"/>
              </w:rPr>
              <w:t>监事会主</w:t>
            </w:r>
          </w:p>
          <w:p>
            <w:pPr>
              <w:pStyle w:val="TableParagraph"/>
              <w:spacing w:line="273"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席</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58</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3</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221,306</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221,306</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032" w:type="dxa"/>
            <w:tcBorders>
              <w:top w:val="single" w:sz="4" w:space="0" w:color="000000"/>
              <w:left w:val="single" w:sz="4" w:space="0" w:color="000000"/>
              <w:bottom w:val="single" w:sz="4" w:space="0" w:color="000000"/>
              <w:right w:val="single" w:sz="4" w:space="0" w:color="000000"/>
            </w:tcBorders>
          </w:tcPr>
          <w:p>
            <w:pP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80.69</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章珂</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53</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3</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032" w:type="dxa"/>
            <w:tcBorders>
              <w:top w:val="single" w:sz="4" w:space="0" w:color="000000"/>
              <w:left w:val="single" w:sz="4" w:space="0" w:color="000000"/>
              <w:bottom w:val="single" w:sz="4" w:space="0" w:color="000000"/>
              <w:right w:val="single" w:sz="4" w:space="0" w:color="000000"/>
            </w:tcBorders>
          </w:tcPr>
          <w:p>
            <w:pP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1"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高志勇</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55</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3</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032" w:type="dxa"/>
            <w:tcBorders>
              <w:top w:val="single" w:sz="4" w:space="0" w:color="000000"/>
              <w:left w:val="single" w:sz="4" w:space="0" w:color="000000"/>
              <w:bottom w:val="single" w:sz="4" w:space="0" w:color="000000"/>
              <w:right w:val="single" w:sz="4" w:space="0" w:color="000000"/>
            </w:tcBorders>
          </w:tcPr>
          <w:p>
            <w:pP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1100"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章培林</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财务总监</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54</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4</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655,681</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822,351</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166,670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5" w:right="0"/>
              <w:jc w:val="both"/>
              <w:rPr>
                <w:rFonts w:ascii="宋体" w:hAnsi="宋体" w:cs="宋体" w:eastAsia="宋体" w:hint="default"/>
                <w:sz w:val="21"/>
                <w:szCs w:val="21"/>
              </w:rPr>
            </w:pPr>
            <w:r>
              <w:rPr>
                <w:rFonts w:ascii="宋体" w:hAnsi="宋体" w:cs="宋体" w:eastAsia="宋体" w:hint="default"/>
                <w:spacing w:val="91"/>
                <w:w w:val="100"/>
                <w:sz w:val="21"/>
                <w:szCs w:val="21"/>
              </w:rPr>
              <w:t>股权</w:t>
            </w:r>
            <w:r>
              <w:rPr>
                <w:rFonts w:ascii="宋体" w:hAnsi="宋体" w:cs="宋体" w:eastAsia="宋体" w:hint="default"/>
                <w:w w:val="100"/>
                <w:sz w:val="21"/>
                <w:szCs w:val="21"/>
              </w:rPr>
              <w:t>激</w:t>
            </w:r>
            <w:r>
              <w:rPr>
                <w:rFonts w:ascii="宋体" w:hAnsi="宋体" w:cs="宋体" w:eastAsia="宋体" w:hint="default"/>
                <w:spacing w:val="-14"/>
                <w:sz w:val="21"/>
                <w:szCs w:val="21"/>
              </w:rPr>
              <w:t> </w:t>
            </w:r>
            <w:r>
              <w:rPr>
                <w:rFonts w:ascii="宋体" w:hAnsi="宋体" w:cs="宋体" w:eastAsia="宋体" w:hint="default"/>
                <w:sz w:val="21"/>
                <w:szCs w:val="21"/>
              </w:rPr>
            </w:r>
          </w:p>
          <w:p>
            <w:pPr>
              <w:pStyle w:val="TableParagraph"/>
              <w:spacing w:line="237" w:lineRule="auto" w:before="2"/>
              <w:ind w:left="105" w:right="7"/>
              <w:jc w:val="both"/>
              <w:rPr>
                <w:rFonts w:ascii="宋体" w:hAnsi="宋体" w:cs="宋体" w:eastAsia="宋体" w:hint="default"/>
                <w:sz w:val="21"/>
                <w:szCs w:val="21"/>
              </w:rPr>
            </w:pPr>
            <w:r>
              <w:rPr>
                <w:rFonts w:ascii="宋体" w:hAnsi="宋体" w:cs="宋体" w:eastAsia="宋体" w:hint="default"/>
                <w:spacing w:val="60"/>
                <w:w w:val="100"/>
                <w:sz w:val="21"/>
                <w:szCs w:val="21"/>
              </w:rPr>
              <w:t>励授予</w:t>
            </w:r>
            <w:r>
              <w:rPr>
                <w:rFonts w:ascii="宋体" w:hAnsi="宋体" w:cs="宋体" w:eastAsia="宋体" w:hint="default"/>
                <w:spacing w:val="-14"/>
                <w:sz w:val="21"/>
                <w:szCs w:val="21"/>
              </w:rPr>
              <w:t> </w:t>
            </w:r>
            <w:r>
              <w:rPr>
                <w:rFonts w:ascii="宋体" w:hAnsi="宋体" w:cs="宋体" w:eastAsia="宋体" w:hint="default"/>
                <w:spacing w:val="60"/>
                <w:w w:val="100"/>
                <w:sz w:val="21"/>
                <w:szCs w:val="21"/>
              </w:rPr>
              <w:t>限制性</w:t>
            </w:r>
            <w:r>
              <w:rPr>
                <w:rFonts w:ascii="宋体" w:hAnsi="宋体" w:cs="宋体" w:eastAsia="宋体" w:hint="default"/>
                <w:spacing w:val="-14"/>
                <w:sz w:val="21"/>
                <w:szCs w:val="21"/>
              </w:rPr>
              <w:t> </w:t>
            </w:r>
            <w:r>
              <w:rPr>
                <w:rFonts w:ascii="宋体" w:hAnsi="宋体" w:cs="宋体" w:eastAsia="宋体" w:hint="default"/>
                <w:sz w:val="21"/>
                <w:szCs w:val="21"/>
              </w:rPr>
              <w:t>股票</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209.54</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828"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严绍业</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5" w:right="0"/>
              <w:jc w:val="left"/>
              <w:rPr>
                <w:rFonts w:ascii="宋体" w:hAnsi="宋体" w:cs="宋体" w:eastAsia="宋体" w:hint="default"/>
                <w:sz w:val="21"/>
                <w:szCs w:val="21"/>
              </w:rPr>
            </w:pPr>
            <w:r>
              <w:rPr>
                <w:rFonts w:ascii="宋体" w:hAnsi="宋体" w:cs="宋体" w:eastAsia="宋体" w:hint="default"/>
                <w:sz w:val="21"/>
                <w:szCs w:val="21"/>
              </w:rPr>
              <w:t>高级副总</w:t>
            </w:r>
          </w:p>
          <w:p>
            <w:pPr>
              <w:pStyle w:val="TableParagraph"/>
              <w:spacing w:line="274"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裁</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55</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4</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142,416</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259,086</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116,670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5" w:right="0"/>
              <w:jc w:val="left"/>
              <w:rPr>
                <w:rFonts w:ascii="宋体" w:hAnsi="宋体" w:cs="宋体" w:eastAsia="宋体" w:hint="default"/>
                <w:sz w:val="21"/>
                <w:szCs w:val="21"/>
              </w:rPr>
            </w:pPr>
            <w:r>
              <w:rPr>
                <w:rFonts w:ascii="宋体" w:hAnsi="宋体" w:cs="宋体" w:eastAsia="宋体" w:hint="default"/>
                <w:spacing w:val="91"/>
                <w:w w:val="100"/>
                <w:sz w:val="21"/>
                <w:szCs w:val="21"/>
              </w:rPr>
              <w:t>股权</w:t>
            </w:r>
            <w:r>
              <w:rPr>
                <w:rFonts w:ascii="宋体" w:hAnsi="宋体" w:cs="宋体" w:eastAsia="宋体" w:hint="default"/>
                <w:w w:val="100"/>
                <w:sz w:val="21"/>
                <w:szCs w:val="21"/>
              </w:rPr>
              <w:t>激</w:t>
            </w:r>
            <w:r>
              <w:rPr>
                <w:rFonts w:ascii="宋体" w:hAnsi="宋体" w:cs="宋体" w:eastAsia="宋体" w:hint="default"/>
                <w:spacing w:val="-14"/>
                <w:sz w:val="21"/>
                <w:szCs w:val="21"/>
              </w:rPr>
              <w:t> </w:t>
            </w:r>
            <w:r>
              <w:rPr>
                <w:rFonts w:ascii="宋体" w:hAnsi="宋体" w:cs="宋体" w:eastAsia="宋体" w:hint="default"/>
                <w:sz w:val="21"/>
                <w:szCs w:val="21"/>
              </w:rPr>
            </w:r>
          </w:p>
          <w:p>
            <w:pPr>
              <w:pStyle w:val="TableParagraph"/>
              <w:spacing w:line="272" w:lineRule="exact" w:before="27"/>
              <w:ind w:left="105" w:right="7"/>
              <w:jc w:val="left"/>
              <w:rPr>
                <w:rFonts w:ascii="宋体" w:hAnsi="宋体" w:cs="宋体" w:eastAsia="宋体" w:hint="default"/>
                <w:sz w:val="21"/>
                <w:szCs w:val="21"/>
              </w:rPr>
            </w:pPr>
            <w:r>
              <w:rPr>
                <w:rFonts w:ascii="宋体" w:hAnsi="宋体" w:cs="宋体" w:eastAsia="宋体" w:hint="default"/>
                <w:spacing w:val="91"/>
                <w:w w:val="100"/>
                <w:sz w:val="21"/>
                <w:szCs w:val="21"/>
              </w:rPr>
              <w:t>励授</w:t>
            </w:r>
            <w:r>
              <w:rPr>
                <w:rFonts w:ascii="宋体" w:hAnsi="宋体" w:cs="宋体" w:eastAsia="宋体" w:hint="default"/>
                <w:w w:val="100"/>
                <w:sz w:val="21"/>
                <w:szCs w:val="21"/>
              </w:rPr>
              <w:t>予</w:t>
            </w:r>
            <w:r>
              <w:rPr>
                <w:rFonts w:ascii="宋体" w:hAnsi="宋体" w:cs="宋体" w:eastAsia="宋体" w:hint="default"/>
                <w:spacing w:val="-14"/>
                <w:sz w:val="21"/>
                <w:szCs w:val="21"/>
              </w:rPr>
              <w:t> </w:t>
            </w:r>
            <w:r>
              <w:rPr>
                <w:rFonts w:ascii="宋体" w:hAnsi="宋体" w:cs="宋体" w:eastAsia="宋体" w:hint="default"/>
                <w:spacing w:val="91"/>
                <w:w w:val="100"/>
                <w:sz w:val="21"/>
                <w:szCs w:val="21"/>
              </w:rPr>
              <w:t>限制</w:t>
            </w:r>
            <w:r>
              <w:rPr>
                <w:rFonts w:ascii="宋体" w:hAnsi="宋体" w:cs="宋体" w:eastAsia="宋体" w:hint="default"/>
                <w:w w:val="100"/>
                <w:sz w:val="21"/>
                <w:szCs w:val="21"/>
              </w:rPr>
              <w:t>性</w:t>
            </w:r>
            <w:r>
              <w:rPr>
                <w:rFonts w:ascii="宋体" w:hAnsi="宋体" w:cs="宋体" w:eastAsia="宋体" w:hint="default"/>
                <w:spacing w:val="-14"/>
                <w:sz w:val="21"/>
                <w:szCs w:val="21"/>
              </w:rPr>
              <w:t> </w:t>
            </w:r>
            <w:r>
              <w:rPr>
                <w:rFonts w:ascii="宋体" w:hAnsi="宋体" w:cs="宋体" w:eastAsia="宋体" w:hint="default"/>
                <w:sz w:val="21"/>
                <w:szCs w:val="21"/>
              </w:rPr>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161.21</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bl>
    <w:p>
      <w:pPr>
        <w:spacing w:after="0" w:line="241" w:lineRule="exact"/>
        <w:jc w:val="left"/>
        <w:rPr>
          <w:rFonts w:ascii="宋体" w:hAnsi="宋体" w:cs="宋体" w:eastAsia="宋体" w:hint="default"/>
          <w:sz w:val="21"/>
          <w:szCs w:val="21"/>
        </w:rPr>
        <w:sectPr>
          <w:type w:val="continuous"/>
          <w:pgSz w:w="16840" w:h="11910" w:orient="landscape"/>
          <w:pgMar w:top="1320" w:bottom="1380" w:left="1300" w:right="1200"/>
        </w:sectPr>
      </w:pPr>
    </w:p>
    <w:tbl>
      <w:tblPr>
        <w:tblW w:w="0" w:type="auto"/>
        <w:jc w:val="left"/>
        <w:tblInd w:w="111" w:type="dxa"/>
        <w:tblLayout w:type="fixed"/>
        <w:tblCellMar>
          <w:top w:w="0" w:type="dxa"/>
          <w:left w:w="0" w:type="dxa"/>
          <w:bottom w:w="0" w:type="dxa"/>
          <w:right w:w="0" w:type="dxa"/>
        </w:tblCellMar>
        <w:tblLook w:val="01E0"/>
      </w:tblPr>
      <w:tblGrid>
        <w:gridCol w:w="980"/>
        <w:gridCol w:w="1061"/>
        <w:gridCol w:w="773"/>
        <w:gridCol w:w="773"/>
        <w:gridCol w:w="1210"/>
        <w:gridCol w:w="1063"/>
        <w:gridCol w:w="1896"/>
        <w:gridCol w:w="1162"/>
        <w:gridCol w:w="1321"/>
        <w:gridCol w:w="1032"/>
        <w:gridCol w:w="1579"/>
        <w:gridCol w:w="1248"/>
      </w:tblGrid>
      <w:tr>
        <w:trPr>
          <w:trHeight w:val="295" w:hRule="exact"/>
        </w:trPr>
        <w:tc>
          <w:tcPr>
            <w:tcW w:w="980" w:type="dxa"/>
            <w:tcBorders>
              <w:top w:val="single" w:sz="10" w:space="0" w:color="000000"/>
              <w:left w:val="single" w:sz="4" w:space="0" w:color="000000"/>
              <w:bottom w:val="single" w:sz="4" w:space="0" w:color="000000"/>
              <w:right w:val="single" w:sz="4" w:space="0" w:color="000000"/>
            </w:tcBorders>
          </w:tcPr>
          <w:p>
            <w:pPr/>
          </w:p>
        </w:tc>
        <w:tc>
          <w:tcPr>
            <w:tcW w:w="1061" w:type="dxa"/>
            <w:tcBorders>
              <w:top w:val="single" w:sz="10" w:space="0" w:color="000000"/>
              <w:left w:val="single" w:sz="4" w:space="0" w:color="000000"/>
              <w:bottom w:val="single" w:sz="4" w:space="0" w:color="000000"/>
              <w:right w:val="single" w:sz="4" w:space="0" w:color="000000"/>
            </w:tcBorders>
          </w:tcPr>
          <w:p>
            <w:pPr/>
          </w:p>
        </w:tc>
        <w:tc>
          <w:tcPr>
            <w:tcW w:w="773" w:type="dxa"/>
            <w:tcBorders>
              <w:top w:val="single" w:sz="10" w:space="0" w:color="000000"/>
              <w:left w:val="single" w:sz="4" w:space="0" w:color="000000"/>
              <w:bottom w:val="single" w:sz="4" w:space="0" w:color="000000"/>
              <w:right w:val="single" w:sz="4" w:space="0" w:color="000000"/>
            </w:tcBorders>
          </w:tcPr>
          <w:p>
            <w:pPr/>
          </w:p>
        </w:tc>
        <w:tc>
          <w:tcPr>
            <w:tcW w:w="773" w:type="dxa"/>
            <w:tcBorders>
              <w:top w:val="single" w:sz="10" w:space="0" w:color="000000"/>
              <w:left w:val="single" w:sz="4" w:space="0" w:color="000000"/>
              <w:bottom w:val="single" w:sz="4" w:space="0" w:color="000000"/>
              <w:right w:val="single" w:sz="4" w:space="0" w:color="000000"/>
            </w:tcBorders>
          </w:tcPr>
          <w:p>
            <w:pPr/>
          </w:p>
        </w:tc>
        <w:tc>
          <w:tcPr>
            <w:tcW w:w="1210" w:type="dxa"/>
            <w:tcBorders>
              <w:top w:val="single" w:sz="10" w:space="0" w:color="000000"/>
              <w:left w:val="single" w:sz="4" w:space="0" w:color="000000"/>
              <w:bottom w:val="single" w:sz="4" w:space="0" w:color="000000"/>
              <w:right w:val="single" w:sz="4" w:space="0" w:color="000000"/>
            </w:tcBorders>
          </w:tcPr>
          <w:p>
            <w:pPr/>
          </w:p>
        </w:tc>
        <w:tc>
          <w:tcPr>
            <w:tcW w:w="1063" w:type="dxa"/>
            <w:tcBorders>
              <w:top w:val="single" w:sz="10" w:space="0" w:color="000000"/>
              <w:left w:val="single" w:sz="4" w:space="0" w:color="000000"/>
              <w:bottom w:val="single" w:sz="4" w:space="0" w:color="000000"/>
              <w:right w:val="single" w:sz="4" w:space="0" w:color="000000"/>
            </w:tcBorders>
          </w:tcPr>
          <w:p>
            <w:pPr/>
          </w:p>
        </w:tc>
        <w:tc>
          <w:tcPr>
            <w:tcW w:w="1896" w:type="dxa"/>
            <w:tcBorders>
              <w:top w:val="single" w:sz="10" w:space="0" w:color="000000"/>
              <w:left w:val="single" w:sz="4" w:space="0" w:color="000000"/>
              <w:bottom w:val="single" w:sz="4" w:space="0" w:color="000000"/>
              <w:right w:val="single" w:sz="4" w:space="0" w:color="000000"/>
            </w:tcBorders>
          </w:tcPr>
          <w:p>
            <w:pPr/>
          </w:p>
        </w:tc>
        <w:tc>
          <w:tcPr>
            <w:tcW w:w="1162" w:type="dxa"/>
            <w:tcBorders>
              <w:top w:val="single" w:sz="10" w:space="0" w:color="000000"/>
              <w:left w:val="single" w:sz="4" w:space="0" w:color="000000"/>
              <w:bottom w:val="single" w:sz="4" w:space="0" w:color="000000"/>
              <w:right w:val="single" w:sz="4" w:space="0" w:color="000000"/>
            </w:tcBorders>
          </w:tcPr>
          <w:p>
            <w:pPr/>
          </w:p>
        </w:tc>
        <w:tc>
          <w:tcPr>
            <w:tcW w:w="1321" w:type="dxa"/>
            <w:tcBorders>
              <w:top w:val="single" w:sz="10" w:space="0" w:color="000000"/>
              <w:left w:val="single" w:sz="4" w:space="0" w:color="000000"/>
              <w:bottom w:val="single" w:sz="4" w:space="0" w:color="000000"/>
              <w:right w:val="single" w:sz="4" w:space="0" w:color="000000"/>
            </w:tcBorders>
          </w:tcPr>
          <w:p>
            <w:pPr/>
          </w:p>
        </w:tc>
        <w:tc>
          <w:tcPr>
            <w:tcW w:w="1032" w:type="dxa"/>
            <w:tcBorders>
              <w:top w:val="single" w:sz="10"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股票</w:t>
            </w:r>
          </w:p>
        </w:tc>
        <w:tc>
          <w:tcPr>
            <w:tcW w:w="1579" w:type="dxa"/>
            <w:tcBorders>
              <w:top w:val="single" w:sz="10" w:space="0" w:color="000000"/>
              <w:left w:val="single" w:sz="4" w:space="0" w:color="000000"/>
              <w:bottom w:val="single" w:sz="4" w:space="0" w:color="000000"/>
              <w:right w:val="single" w:sz="4" w:space="0" w:color="000000"/>
            </w:tcBorders>
          </w:tcPr>
          <w:p>
            <w:pPr/>
          </w:p>
        </w:tc>
        <w:tc>
          <w:tcPr>
            <w:tcW w:w="1248" w:type="dxa"/>
            <w:tcBorders>
              <w:top w:val="single" w:sz="10" w:space="0" w:color="000000"/>
              <w:left w:val="single" w:sz="4" w:space="0" w:color="000000"/>
              <w:bottom w:val="single" w:sz="4" w:space="0" w:color="000000"/>
              <w:right w:val="single" w:sz="4" w:space="0" w:color="000000"/>
            </w:tcBorders>
          </w:tcPr>
          <w:p>
            <w:pPr/>
          </w:p>
        </w:tc>
      </w:tr>
      <w:tr>
        <w:trPr>
          <w:trHeight w:val="1099"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陈巧红</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05" w:right="0"/>
              <w:jc w:val="left"/>
              <w:rPr>
                <w:rFonts w:ascii="宋体" w:hAnsi="宋体" w:cs="宋体" w:eastAsia="宋体" w:hint="default"/>
                <w:sz w:val="21"/>
                <w:szCs w:val="21"/>
              </w:rPr>
            </w:pPr>
            <w:r>
              <w:rPr>
                <w:rFonts w:ascii="宋体" w:hAnsi="宋体" w:cs="宋体" w:eastAsia="宋体" w:hint="default"/>
                <w:sz w:val="21"/>
                <w:szCs w:val="21"/>
              </w:rPr>
              <w:t>高级副总</w:t>
            </w:r>
          </w:p>
          <w:p>
            <w:pPr>
              <w:pStyle w:val="TableParagraph"/>
              <w:spacing w:line="274"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裁</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女</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54</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2017/4/7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4</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98"/>
              <w:jc w:val="right"/>
              <w:rPr>
                <w:rFonts w:ascii="宋体" w:hAnsi="宋体" w:cs="宋体" w:eastAsia="宋体" w:hint="default"/>
                <w:sz w:val="21"/>
                <w:szCs w:val="21"/>
              </w:rPr>
            </w:pPr>
            <w:r>
              <w:rPr>
                <w:rFonts w:ascii="宋体"/>
                <w:spacing w:val="-1"/>
                <w:sz w:val="21"/>
              </w:rPr>
              <w:t>910,800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98"/>
              <w:jc w:val="right"/>
              <w:rPr>
                <w:rFonts w:ascii="宋体" w:hAnsi="宋体" w:cs="宋体" w:eastAsia="宋体" w:hint="default"/>
                <w:sz w:val="21"/>
                <w:szCs w:val="21"/>
              </w:rPr>
            </w:pPr>
            <w:r>
              <w:rPr>
                <w:rFonts w:ascii="宋体"/>
                <w:spacing w:val="-1"/>
                <w:sz w:val="21"/>
              </w:rPr>
              <w:t>1,027,470</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96"/>
              <w:jc w:val="right"/>
              <w:rPr>
                <w:rFonts w:ascii="宋体" w:hAnsi="宋体" w:cs="宋体" w:eastAsia="宋体" w:hint="default"/>
                <w:sz w:val="21"/>
                <w:szCs w:val="21"/>
              </w:rPr>
            </w:pPr>
            <w:r>
              <w:rPr>
                <w:rFonts w:ascii="宋体"/>
                <w:spacing w:val="-1"/>
                <w:sz w:val="21"/>
              </w:rPr>
              <w:t>116,670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05" w:right="0"/>
              <w:jc w:val="both"/>
              <w:rPr>
                <w:rFonts w:ascii="宋体" w:hAnsi="宋体" w:cs="宋体" w:eastAsia="宋体" w:hint="default"/>
                <w:sz w:val="21"/>
                <w:szCs w:val="21"/>
              </w:rPr>
            </w:pPr>
            <w:r>
              <w:rPr>
                <w:rFonts w:ascii="宋体" w:hAnsi="宋体" w:cs="宋体" w:eastAsia="宋体" w:hint="default"/>
                <w:spacing w:val="91"/>
                <w:w w:val="100"/>
                <w:sz w:val="21"/>
                <w:szCs w:val="21"/>
              </w:rPr>
              <w:t>股权</w:t>
            </w:r>
            <w:r>
              <w:rPr>
                <w:rFonts w:ascii="宋体" w:hAnsi="宋体" w:cs="宋体" w:eastAsia="宋体" w:hint="default"/>
                <w:w w:val="100"/>
                <w:sz w:val="21"/>
                <w:szCs w:val="21"/>
              </w:rPr>
              <w:t>激</w:t>
            </w:r>
            <w:r>
              <w:rPr>
                <w:rFonts w:ascii="宋体" w:hAnsi="宋体" w:cs="宋体" w:eastAsia="宋体" w:hint="default"/>
                <w:spacing w:val="-14"/>
                <w:sz w:val="21"/>
                <w:szCs w:val="21"/>
              </w:rPr>
              <w:t> </w:t>
            </w:r>
            <w:r>
              <w:rPr>
                <w:rFonts w:ascii="宋体" w:hAnsi="宋体" w:cs="宋体" w:eastAsia="宋体" w:hint="default"/>
                <w:sz w:val="21"/>
                <w:szCs w:val="21"/>
              </w:rPr>
            </w:r>
          </w:p>
          <w:p>
            <w:pPr>
              <w:pStyle w:val="TableParagraph"/>
              <w:spacing w:line="237" w:lineRule="auto" w:before="2"/>
              <w:ind w:left="105" w:right="7"/>
              <w:jc w:val="both"/>
              <w:rPr>
                <w:rFonts w:ascii="宋体" w:hAnsi="宋体" w:cs="宋体" w:eastAsia="宋体" w:hint="default"/>
                <w:sz w:val="21"/>
                <w:szCs w:val="21"/>
              </w:rPr>
            </w:pPr>
            <w:r>
              <w:rPr>
                <w:rFonts w:ascii="宋体" w:hAnsi="宋体" w:cs="宋体" w:eastAsia="宋体" w:hint="default"/>
                <w:spacing w:val="60"/>
                <w:w w:val="100"/>
                <w:sz w:val="21"/>
                <w:szCs w:val="21"/>
              </w:rPr>
              <w:t>励授予</w:t>
            </w:r>
            <w:r>
              <w:rPr>
                <w:rFonts w:ascii="宋体" w:hAnsi="宋体" w:cs="宋体" w:eastAsia="宋体" w:hint="default"/>
                <w:spacing w:val="-14"/>
                <w:sz w:val="21"/>
                <w:szCs w:val="21"/>
              </w:rPr>
              <w:t> </w:t>
            </w:r>
            <w:r>
              <w:rPr>
                <w:rFonts w:ascii="宋体" w:hAnsi="宋体" w:cs="宋体" w:eastAsia="宋体" w:hint="default"/>
                <w:spacing w:val="60"/>
                <w:w w:val="100"/>
                <w:sz w:val="21"/>
                <w:szCs w:val="21"/>
              </w:rPr>
              <w:t>限制性</w:t>
            </w:r>
            <w:r>
              <w:rPr>
                <w:rFonts w:ascii="宋体" w:hAnsi="宋体" w:cs="宋体" w:eastAsia="宋体" w:hint="default"/>
                <w:spacing w:val="-14"/>
                <w:sz w:val="21"/>
                <w:szCs w:val="21"/>
              </w:rPr>
              <w:t> </w:t>
            </w:r>
            <w:r>
              <w:rPr>
                <w:rFonts w:ascii="宋体" w:hAnsi="宋体" w:cs="宋体" w:eastAsia="宋体" w:hint="default"/>
                <w:sz w:val="21"/>
                <w:szCs w:val="21"/>
              </w:rPr>
              <w:t>股票</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96"/>
              <w:jc w:val="right"/>
              <w:rPr>
                <w:rFonts w:ascii="宋体" w:hAnsi="宋体" w:cs="宋体" w:eastAsia="宋体" w:hint="default"/>
                <w:sz w:val="21"/>
                <w:szCs w:val="21"/>
              </w:rPr>
            </w:pPr>
            <w:r>
              <w:rPr>
                <w:rFonts w:ascii="宋体"/>
                <w:sz w:val="21"/>
              </w:rPr>
              <w:t>154.73</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1100"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张纪雄</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05" w:right="0"/>
              <w:jc w:val="left"/>
              <w:rPr>
                <w:rFonts w:ascii="宋体" w:hAnsi="宋体" w:cs="宋体" w:eastAsia="宋体" w:hint="default"/>
                <w:sz w:val="21"/>
                <w:szCs w:val="21"/>
              </w:rPr>
            </w:pPr>
            <w:r>
              <w:rPr>
                <w:rFonts w:ascii="宋体" w:hAnsi="宋体" w:cs="宋体" w:eastAsia="宋体" w:hint="default"/>
                <w:sz w:val="21"/>
                <w:szCs w:val="21"/>
              </w:rPr>
              <w:t>高级副总</w:t>
            </w:r>
          </w:p>
          <w:p>
            <w:pPr>
              <w:pStyle w:val="TableParagraph"/>
              <w:spacing w:line="274"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裁</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46</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2017/4/7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4</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101"/>
              <w:jc w:val="right"/>
              <w:rPr>
                <w:rFonts w:ascii="宋体" w:hAnsi="宋体" w:cs="宋体" w:eastAsia="宋体" w:hint="default"/>
                <w:sz w:val="21"/>
                <w:szCs w:val="21"/>
              </w:rPr>
            </w:pPr>
            <w:r>
              <w:rPr>
                <w:rFonts w:ascii="宋体"/>
                <w:w w:val="100"/>
                <w:sz w:val="21"/>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98"/>
              <w:jc w:val="right"/>
              <w:rPr>
                <w:rFonts w:ascii="宋体" w:hAnsi="宋体" w:cs="宋体" w:eastAsia="宋体" w:hint="default"/>
                <w:sz w:val="21"/>
                <w:szCs w:val="21"/>
              </w:rPr>
            </w:pPr>
            <w:r>
              <w:rPr>
                <w:rFonts w:ascii="宋体"/>
                <w:sz w:val="21"/>
              </w:rPr>
              <w:t>33,330</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98"/>
              <w:jc w:val="right"/>
              <w:rPr>
                <w:rFonts w:ascii="宋体" w:hAnsi="宋体" w:cs="宋体" w:eastAsia="宋体" w:hint="default"/>
                <w:sz w:val="21"/>
                <w:szCs w:val="21"/>
              </w:rPr>
            </w:pPr>
            <w:r>
              <w:rPr>
                <w:rFonts w:ascii="宋体"/>
                <w:sz w:val="21"/>
              </w:rPr>
              <w:t>33,330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05" w:right="0"/>
              <w:jc w:val="both"/>
              <w:rPr>
                <w:rFonts w:ascii="宋体" w:hAnsi="宋体" w:cs="宋体" w:eastAsia="宋体" w:hint="default"/>
                <w:sz w:val="21"/>
                <w:szCs w:val="21"/>
              </w:rPr>
            </w:pPr>
            <w:r>
              <w:rPr>
                <w:rFonts w:ascii="宋体" w:hAnsi="宋体" w:cs="宋体" w:eastAsia="宋体" w:hint="default"/>
                <w:spacing w:val="91"/>
                <w:w w:val="100"/>
                <w:sz w:val="21"/>
                <w:szCs w:val="21"/>
              </w:rPr>
              <w:t>股权</w:t>
            </w:r>
            <w:r>
              <w:rPr>
                <w:rFonts w:ascii="宋体" w:hAnsi="宋体" w:cs="宋体" w:eastAsia="宋体" w:hint="default"/>
                <w:w w:val="100"/>
                <w:sz w:val="21"/>
                <w:szCs w:val="21"/>
              </w:rPr>
              <w:t>激</w:t>
            </w:r>
            <w:r>
              <w:rPr>
                <w:rFonts w:ascii="宋体" w:hAnsi="宋体" w:cs="宋体" w:eastAsia="宋体" w:hint="default"/>
                <w:spacing w:val="-14"/>
                <w:sz w:val="21"/>
                <w:szCs w:val="21"/>
              </w:rPr>
              <w:t> </w:t>
            </w:r>
            <w:r>
              <w:rPr>
                <w:rFonts w:ascii="宋体" w:hAnsi="宋体" w:cs="宋体" w:eastAsia="宋体" w:hint="default"/>
                <w:sz w:val="21"/>
                <w:szCs w:val="21"/>
              </w:rPr>
            </w:r>
          </w:p>
          <w:p>
            <w:pPr>
              <w:pStyle w:val="TableParagraph"/>
              <w:spacing w:line="237" w:lineRule="auto" w:before="2"/>
              <w:ind w:left="105" w:right="7"/>
              <w:jc w:val="both"/>
              <w:rPr>
                <w:rFonts w:ascii="宋体" w:hAnsi="宋体" w:cs="宋体" w:eastAsia="宋体" w:hint="default"/>
                <w:sz w:val="21"/>
                <w:szCs w:val="21"/>
              </w:rPr>
            </w:pPr>
            <w:r>
              <w:rPr>
                <w:rFonts w:ascii="宋体" w:hAnsi="宋体" w:cs="宋体" w:eastAsia="宋体" w:hint="default"/>
                <w:spacing w:val="60"/>
                <w:w w:val="100"/>
                <w:sz w:val="21"/>
                <w:szCs w:val="21"/>
              </w:rPr>
              <w:t>励授予</w:t>
            </w:r>
            <w:r>
              <w:rPr>
                <w:rFonts w:ascii="宋体" w:hAnsi="宋体" w:cs="宋体" w:eastAsia="宋体" w:hint="default"/>
                <w:spacing w:val="-14"/>
                <w:sz w:val="21"/>
                <w:szCs w:val="21"/>
              </w:rPr>
              <w:t> </w:t>
            </w:r>
            <w:r>
              <w:rPr>
                <w:rFonts w:ascii="宋体" w:hAnsi="宋体" w:cs="宋体" w:eastAsia="宋体" w:hint="default"/>
                <w:spacing w:val="60"/>
                <w:w w:val="100"/>
                <w:sz w:val="21"/>
                <w:szCs w:val="21"/>
              </w:rPr>
              <w:t>限制性</w:t>
            </w:r>
            <w:r>
              <w:rPr>
                <w:rFonts w:ascii="宋体" w:hAnsi="宋体" w:cs="宋体" w:eastAsia="宋体" w:hint="default"/>
                <w:spacing w:val="-14"/>
                <w:sz w:val="21"/>
                <w:szCs w:val="21"/>
              </w:rPr>
              <w:t> </w:t>
            </w:r>
            <w:r>
              <w:rPr>
                <w:rFonts w:ascii="宋体" w:hAnsi="宋体" w:cs="宋体" w:eastAsia="宋体" w:hint="default"/>
                <w:sz w:val="21"/>
                <w:szCs w:val="21"/>
              </w:rPr>
              <w:t>股票</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96"/>
              <w:jc w:val="right"/>
              <w:rPr>
                <w:rFonts w:ascii="宋体" w:hAnsi="宋体" w:cs="宋体" w:eastAsia="宋体" w:hint="default"/>
                <w:sz w:val="21"/>
                <w:szCs w:val="21"/>
              </w:rPr>
            </w:pPr>
            <w:r>
              <w:rPr>
                <w:rFonts w:ascii="宋体"/>
                <w:sz w:val="21"/>
              </w:rPr>
              <w:t>76.58</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1099"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欧阳青</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05" w:right="0"/>
              <w:jc w:val="left"/>
              <w:rPr>
                <w:rFonts w:ascii="宋体" w:hAnsi="宋体" w:cs="宋体" w:eastAsia="宋体" w:hint="default"/>
                <w:sz w:val="21"/>
                <w:szCs w:val="21"/>
              </w:rPr>
            </w:pPr>
            <w:r>
              <w:rPr>
                <w:rFonts w:ascii="宋体" w:hAnsi="宋体" w:cs="宋体" w:eastAsia="宋体" w:hint="default"/>
                <w:sz w:val="21"/>
                <w:szCs w:val="21"/>
              </w:rPr>
              <w:t>高级副总</w:t>
            </w:r>
          </w:p>
          <w:p>
            <w:pPr>
              <w:pStyle w:val="TableParagraph"/>
              <w:spacing w:line="272" w:lineRule="exact" w:before="27"/>
              <w:ind w:left="105" w:right="96"/>
              <w:jc w:val="left"/>
              <w:rPr>
                <w:rFonts w:ascii="宋体" w:hAnsi="宋体" w:cs="宋体" w:eastAsia="宋体" w:hint="default"/>
                <w:sz w:val="21"/>
                <w:szCs w:val="21"/>
              </w:rPr>
            </w:pPr>
            <w:r>
              <w:rPr>
                <w:rFonts w:ascii="宋体" w:hAnsi="宋体" w:cs="宋体" w:eastAsia="宋体" w:hint="default"/>
                <w:sz w:val="21"/>
                <w:szCs w:val="21"/>
              </w:rPr>
              <w:t>裁兼董事</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会秘书</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53</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2017/4/7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4</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98"/>
              <w:jc w:val="right"/>
              <w:rPr>
                <w:rFonts w:ascii="宋体" w:hAnsi="宋体" w:cs="宋体" w:eastAsia="宋体" w:hint="default"/>
                <w:sz w:val="21"/>
                <w:szCs w:val="21"/>
              </w:rPr>
            </w:pPr>
            <w:r>
              <w:rPr>
                <w:rFonts w:ascii="宋体"/>
                <w:spacing w:val="-1"/>
                <w:sz w:val="21"/>
              </w:rPr>
              <w:t>627,696</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98"/>
              <w:jc w:val="right"/>
              <w:rPr>
                <w:rFonts w:ascii="宋体" w:hAnsi="宋体" w:cs="宋体" w:eastAsia="宋体" w:hint="default"/>
                <w:sz w:val="21"/>
                <w:szCs w:val="21"/>
              </w:rPr>
            </w:pPr>
            <w:r>
              <w:rPr>
                <w:rFonts w:ascii="宋体"/>
                <w:spacing w:val="-1"/>
                <w:sz w:val="21"/>
              </w:rPr>
              <w:t>761,026</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96"/>
              <w:jc w:val="right"/>
              <w:rPr>
                <w:rFonts w:ascii="宋体" w:hAnsi="宋体" w:cs="宋体" w:eastAsia="宋体" w:hint="default"/>
                <w:sz w:val="21"/>
                <w:szCs w:val="21"/>
              </w:rPr>
            </w:pPr>
            <w:r>
              <w:rPr>
                <w:rFonts w:ascii="宋体"/>
                <w:spacing w:val="-1"/>
                <w:sz w:val="21"/>
              </w:rPr>
              <w:t>133,330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05" w:right="0"/>
              <w:jc w:val="both"/>
              <w:rPr>
                <w:rFonts w:ascii="宋体" w:hAnsi="宋体" w:cs="宋体" w:eastAsia="宋体" w:hint="default"/>
                <w:sz w:val="21"/>
                <w:szCs w:val="21"/>
              </w:rPr>
            </w:pPr>
            <w:r>
              <w:rPr>
                <w:rFonts w:ascii="宋体" w:hAnsi="宋体" w:cs="宋体" w:eastAsia="宋体" w:hint="default"/>
                <w:spacing w:val="91"/>
                <w:w w:val="100"/>
                <w:sz w:val="21"/>
                <w:szCs w:val="21"/>
              </w:rPr>
              <w:t>股权</w:t>
            </w:r>
            <w:r>
              <w:rPr>
                <w:rFonts w:ascii="宋体" w:hAnsi="宋体" w:cs="宋体" w:eastAsia="宋体" w:hint="default"/>
                <w:w w:val="100"/>
                <w:sz w:val="21"/>
                <w:szCs w:val="21"/>
              </w:rPr>
              <w:t>激</w:t>
            </w:r>
            <w:r>
              <w:rPr>
                <w:rFonts w:ascii="宋体" w:hAnsi="宋体" w:cs="宋体" w:eastAsia="宋体" w:hint="default"/>
                <w:spacing w:val="-14"/>
                <w:sz w:val="21"/>
                <w:szCs w:val="21"/>
              </w:rPr>
              <w:t> </w:t>
            </w:r>
            <w:r>
              <w:rPr>
                <w:rFonts w:ascii="宋体" w:hAnsi="宋体" w:cs="宋体" w:eastAsia="宋体" w:hint="default"/>
                <w:sz w:val="21"/>
                <w:szCs w:val="21"/>
              </w:rPr>
            </w:r>
          </w:p>
          <w:p>
            <w:pPr>
              <w:pStyle w:val="TableParagraph"/>
              <w:spacing w:line="237" w:lineRule="auto" w:before="2"/>
              <w:ind w:left="105" w:right="7"/>
              <w:jc w:val="both"/>
              <w:rPr>
                <w:rFonts w:ascii="宋体" w:hAnsi="宋体" w:cs="宋体" w:eastAsia="宋体" w:hint="default"/>
                <w:sz w:val="21"/>
                <w:szCs w:val="21"/>
              </w:rPr>
            </w:pPr>
            <w:r>
              <w:rPr>
                <w:rFonts w:ascii="宋体" w:hAnsi="宋体" w:cs="宋体" w:eastAsia="宋体" w:hint="default"/>
                <w:spacing w:val="60"/>
                <w:w w:val="100"/>
                <w:sz w:val="21"/>
                <w:szCs w:val="21"/>
              </w:rPr>
              <w:t>励授予</w:t>
            </w:r>
            <w:r>
              <w:rPr>
                <w:rFonts w:ascii="宋体" w:hAnsi="宋体" w:cs="宋体" w:eastAsia="宋体" w:hint="default"/>
                <w:spacing w:val="-14"/>
                <w:sz w:val="21"/>
                <w:szCs w:val="21"/>
              </w:rPr>
              <w:t> </w:t>
            </w:r>
            <w:r>
              <w:rPr>
                <w:rFonts w:ascii="宋体" w:hAnsi="宋体" w:cs="宋体" w:eastAsia="宋体" w:hint="default"/>
                <w:spacing w:val="60"/>
                <w:w w:val="100"/>
                <w:sz w:val="21"/>
                <w:szCs w:val="21"/>
              </w:rPr>
              <w:t>限制性</w:t>
            </w:r>
            <w:r>
              <w:rPr>
                <w:rFonts w:ascii="宋体" w:hAnsi="宋体" w:cs="宋体" w:eastAsia="宋体" w:hint="default"/>
                <w:spacing w:val="-14"/>
                <w:sz w:val="21"/>
                <w:szCs w:val="21"/>
              </w:rPr>
              <w:t> </w:t>
            </w:r>
            <w:r>
              <w:rPr>
                <w:rFonts w:ascii="宋体" w:hAnsi="宋体" w:cs="宋体" w:eastAsia="宋体" w:hint="default"/>
                <w:sz w:val="21"/>
                <w:szCs w:val="21"/>
              </w:rPr>
              <w:t>股票</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96"/>
              <w:jc w:val="right"/>
              <w:rPr>
                <w:rFonts w:ascii="宋体" w:hAnsi="宋体" w:cs="宋体" w:eastAsia="宋体" w:hint="default"/>
                <w:sz w:val="21"/>
                <w:szCs w:val="21"/>
              </w:rPr>
            </w:pPr>
            <w:r>
              <w:rPr>
                <w:rFonts w:ascii="宋体"/>
                <w:sz w:val="21"/>
              </w:rPr>
              <w:t>179.63</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1099"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任志刚</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05" w:right="0"/>
              <w:jc w:val="left"/>
              <w:rPr>
                <w:rFonts w:ascii="宋体" w:hAnsi="宋体" w:cs="宋体" w:eastAsia="宋体" w:hint="default"/>
                <w:sz w:val="21"/>
                <w:szCs w:val="21"/>
              </w:rPr>
            </w:pPr>
            <w:r>
              <w:rPr>
                <w:rFonts w:ascii="宋体" w:hAnsi="宋体" w:cs="宋体" w:eastAsia="宋体" w:hint="default"/>
                <w:sz w:val="21"/>
                <w:szCs w:val="21"/>
              </w:rPr>
              <w:t>高级副总</w:t>
            </w:r>
          </w:p>
          <w:p>
            <w:pPr>
              <w:pStyle w:val="TableParagraph"/>
              <w:spacing w:line="274"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裁</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47</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2017/4/7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4</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98"/>
              <w:jc w:val="right"/>
              <w:rPr>
                <w:rFonts w:ascii="宋体" w:hAnsi="宋体" w:cs="宋体" w:eastAsia="宋体" w:hint="default"/>
                <w:sz w:val="21"/>
                <w:szCs w:val="21"/>
              </w:rPr>
            </w:pPr>
            <w:r>
              <w:rPr>
                <w:rFonts w:ascii="宋体"/>
                <w:sz w:val="21"/>
              </w:rPr>
              <w:t>81,000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98"/>
              <w:jc w:val="right"/>
              <w:rPr>
                <w:rFonts w:ascii="宋体" w:hAnsi="宋体" w:cs="宋体" w:eastAsia="宋体" w:hint="default"/>
                <w:sz w:val="21"/>
                <w:szCs w:val="21"/>
              </w:rPr>
            </w:pPr>
            <w:r>
              <w:rPr>
                <w:rFonts w:ascii="宋体"/>
                <w:spacing w:val="-1"/>
                <w:sz w:val="21"/>
              </w:rPr>
              <w:t>197,670</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96"/>
              <w:jc w:val="right"/>
              <w:rPr>
                <w:rFonts w:ascii="宋体" w:hAnsi="宋体" w:cs="宋体" w:eastAsia="宋体" w:hint="default"/>
                <w:sz w:val="21"/>
                <w:szCs w:val="21"/>
              </w:rPr>
            </w:pPr>
            <w:r>
              <w:rPr>
                <w:rFonts w:ascii="宋体"/>
                <w:spacing w:val="-1"/>
                <w:sz w:val="21"/>
              </w:rPr>
              <w:t>116,670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05" w:right="0"/>
              <w:jc w:val="both"/>
              <w:rPr>
                <w:rFonts w:ascii="宋体" w:hAnsi="宋体" w:cs="宋体" w:eastAsia="宋体" w:hint="default"/>
                <w:sz w:val="21"/>
                <w:szCs w:val="21"/>
              </w:rPr>
            </w:pPr>
            <w:r>
              <w:rPr>
                <w:rFonts w:ascii="宋体" w:hAnsi="宋体" w:cs="宋体" w:eastAsia="宋体" w:hint="default"/>
                <w:spacing w:val="91"/>
                <w:w w:val="100"/>
                <w:sz w:val="21"/>
                <w:szCs w:val="21"/>
              </w:rPr>
              <w:t>股权</w:t>
            </w:r>
            <w:r>
              <w:rPr>
                <w:rFonts w:ascii="宋体" w:hAnsi="宋体" w:cs="宋体" w:eastAsia="宋体" w:hint="default"/>
                <w:w w:val="100"/>
                <w:sz w:val="21"/>
                <w:szCs w:val="21"/>
              </w:rPr>
              <w:t>激</w:t>
            </w:r>
            <w:r>
              <w:rPr>
                <w:rFonts w:ascii="宋体" w:hAnsi="宋体" w:cs="宋体" w:eastAsia="宋体" w:hint="default"/>
                <w:spacing w:val="-14"/>
                <w:sz w:val="21"/>
                <w:szCs w:val="21"/>
              </w:rPr>
              <w:t> </w:t>
            </w:r>
            <w:r>
              <w:rPr>
                <w:rFonts w:ascii="宋体" w:hAnsi="宋体" w:cs="宋体" w:eastAsia="宋体" w:hint="default"/>
                <w:sz w:val="21"/>
                <w:szCs w:val="21"/>
              </w:rPr>
            </w:r>
          </w:p>
          <w:p>
            <w:pPr>
              <w:pStyle w:val="TableParagraph"/>
              <w:spacing w:line="237" w:lineRule="auto" w:before="2"/>
              <w:ind w:left="105" w:right="7"/>
              <w:jc w:val="both"/>
              <w:rPr>
                <w:rFonts w:ascii="宋体" w:hAnsi="宋体" w:cs="宋体" w:eastAsia="宋体" w:hint="default"/>
                <w:sz w:val="21"/>
                <w:szCs w:val="21"/>
              </w:rPr>
            </w:pPr>
            <w:r>
              <w:rPr>
                <w:rFonts w:ascii="宋体" w:hAnsi="宋体" w:cs="宋体" w:eastAsia="宋体" w:hint="default"/>
                <w:spacing w:val="60"/>
                <w:w w:val="100"/>
                <w:sz w:val="21"/>
                <w:szCs w:val="21"/>
              </w:rPr>
              <w:t>励授予</w:t>
            </w:r>
            <w:r>
              <w:rPr>
                <w:rFonts w:ascii="宋体" w:hAnsi="宋体" w:cs="宋体" w:eastAsia="宋体" w:hint="default"/>
                <w:spacing w:val="-14"/>
                <w:sz w:val="21"/>
                <w:szCs w:val="21"/>
              </w:rPr>
              <w:t> </w:t>
            </w:r>
            <w:r>
              <w:rPr>
                <w:rFonts w:ascii="宋体" w:hAnsi="宋体" w:cs="宋体" w:eastAsia="宋体" w:hint="default"/>
                <w:spacing w:val="60"/>
                <w:w w:val="100"/>
                <w:sz w:val="21"/>
                <w:szCs w:val="21"/>
              </w:rPr>
              <w:t>限制性</w:t>
            </w:r>
            <w:r>
              <w:rPr>
                <w:rFonts w:ascii="宋体" w:hAnsi="宋体" w:cs="宋体" w:eastAsia="宋体" w:hint="default"/>
                <w:spacing w:val="-14"/>
                <w:sz w:val="21"/>
                <w:szCs w:val="21"/>
              </w:rPr>
              <w:t> </w:t>
            </w:r>
            <w:r>
              <w:rPr>
                <w:rFonts w:ascii="宋体" w:hAnsi="宋体" w:cs="宋体" w:eastAsia="宋体" w:hint="default"/>
                <w:sz w:val="21"/>
                <w:szCs w:val="21"/>
              </w:rPr>
              <w:t>股票</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96"/>
              <w:jc w:val="right"/>
              <w:rPr>
                <w:rFonts w:ascii="宋体" w:hAnsi="宋体" w:cs="宋体" w:eastAsia="宋体" w:hint="default"/>
                <w:sz w:val="21"/>
                <w:szCs w:val="21"/>
              </w:rPr>
            </w:pPr>
            <w:r>
              <w:rPr>
                <w:rFonts w:ascii="宋体"/>
                <w:sz w:val="21"/>
              </w:rPr>
              <w:t>150.65</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1100"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陈强兵</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sz w:val="21"/>
                <w:szCs w:val="21"/>
              </w:rPr>
              <w:t>执行总裁</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sz w:val="21"/>
              </w:rPr>
              <w:t>42</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sz w:val="21"/>
              </w:rPr>
              <w:t>2017/4/7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4</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98"/>
              <w:jc w:val="right"/>
              <w:rPr>
                <w:rFonts w:ascii="宋体" w:hAnsi="宋体" w:cs="宋体" w:eastAsia="宋体" w:hint="default"/>
                <w:sz w:val="21"/>
                <w:szCs w:val="21"/>
              </w:rPr>
            </w:pPr>
            <w:r>
              <w:rPr>
                <w:rFonts w:ascii="宋体"/>
                <w:sz w:val="21"/>
              </w:rPr>
              <w:t>45,360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98"/>
              <w:jc w:val="right"/>
              <w:rPr>
                <w:rFonts w:ascii="宋体" w:hAnsi="宋体" w:cs="宋体" w:eastAsia="宋体" w:hint="default"/>
                <w:sz w:val="21"/>
                <w:szCs w:val="21"/>
              </w:rPr>
            </w:pPr>
            <w:r>
              <w:rPr>
                <w:rFonts w:ascii="宋体"/>
                <w:spacing w:val="-1"/>
                <w:sz w:val="21"/>
              </w:rPr>
              <w:t>378,690</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96"/>
              <w:jc w:val="right"/>
              <w:rPr>
                <w:rFonts w:ascii="宋体" w:hAnsi="宋体" w:cs="宋体" w:eastAsia="宋体" w:hint="default"/>
                <w:sz w:val="21"/>
                <w:szCs w:val="21"/>
              </w:rPr>
            </w:pPr>
            <w:r>
              <w:rPr>
                <w:rFonts w:ascii="宋体"/>
                <w:spacing w:val="-1"/>
                <w:sz w:val="21"/>
              </w:rPr>
              <w:t>333,330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5" w:right="0"/>
              <w:jc w:val="both"/>
              <w:rPr>
                <w:rFonts w:ascii="宋体" w:hAnsi="宋体" w:cs="宋体" w:eastAsia="宋体" w:hint="default"/>
                <w:sz w:val="21"/>
                <w:szCs w:val="21"/>
              </w:rPr>
            </w:pPr>
            <w:r>
              <w:rPr>
                <w:rFonts w:ascii="宋体" w:hAnsi="宋体" w:cs="宋体" w:eastAsia="宋体" w:hint="default"/>
                <w:spacing w:val="91"/>
                <w:w w:val="100"/>
                <w:sz w:val="21"/>
                <w:szCs w:val="21"/>
              </w:rPr>
              <w:t>股权</w:t>
            </w:r>
            <w:r>
              <w:rPr>
                <w:rFonts w:ascii="宋体" w:hAnsi="宋体" w:cs="宋体" w:eastAsia="宋体" w:hint="default"/>
                <w:w w:val="100"/>
                <w:sz w:val="21"/>
                <w:szCs w:val="21"/>
              </w:rPr>
              <w:t>激</w:t>
            </w:r>
            <w:r>
              <w:rPr>
                <w:rFonts w:ascii="宋体" w:hAnsi="宋体" w:cs="宋体" w:eastAsia="宋体" w:hint="default"/>
                <w:spacing w:val="-14"/>
                <w:sz w:val="21"/>
                <w:szCs w:val="21"/>
              </w:rPr>
              <w:t> </w:t>
            </w:r>
            <w:r>
              <w:rPr>
                <w:rFonts w:ascii="宋体" w:hAnsi="宋体" w:cs="宋体" w:eastAsia="宋体" w:hint="default"/>
                <w:sz w:val="21"/>
                <w:szCs w:val="21"/>
              </w:rPr>
            </w:r>
          </w:p>
          <w:p>
            <w:pPr>
              <w:pStyle w:val="TableParagraph"/>
              <w:spacing w:line="237" w:lineRule="auto" w:before="1"/>
              <w:ind w:left="105" w:right="7"/>
              <w:jc w:val="both"/>
              <w:rPr>
                <w:rFonts w:ascii="宋体" w:hAnsi="宋体" w:cs="宋体" w:eastAsia="宋体" w:hint="default"/>
                <w:sz w:val="21"/>
                <w:szCs w:val="21"/>
              </w:rPr>
            </w:pPr>
            <w:r>
              <w:rPr>
                <w:rFonts w:ascii="宋体" w:hAnsi="宋体" w:cs="宋体" w:eastAsia="宋体" w:hint="default"/>
                <w:spacing w:val="60"/>
                <w:w w:val="100"/>
                <w:sz w:val="21"/>
                <w:szCs w:val="21"/>
              </w:rPr>
              <w:t>励授予</w:t>
            </w:r>
            <w:r>
              <w:rPr>
                <w:rFonts w:ascii="宋体" w:hAnsi="宋体" w:cs="宋体" w:eastAsia="宋体" w:hint="default"/>
                <w:spacing w:val="-14"/>
                <w:sz w:val="21"/>
                <w:szCs w:val="21"/>
              </w:rPr>
              <w:t> </w:t>
            </w:r>
            <w:r>
              <w:rPr>
                <w:rFonts w:ascii="宋体" w:hAnsi="宋体" w:cs="宋体" w:eastAsia="宋体" w:hint="default"/>
                <w:spacing w:val="60"/>
                <w:w w:val="100"/>
                <w:sz w:val="21"/>
                <w:szCs w:val="21"/>
              </w:rPr>
              <w:t>限制性</w:t>
            </w:r>
            <w:r>
              <w:rPr>
                <w:rFonts w:ascii="宋体" w:hAnsi="宋体" w:cs="宋体" w:eastAsia="宋体" w:hint="default"/>
                <w:spacing w:val="-14"/>
                <w:sz w:val="21"/>
                <w:szCs w:val="21"/>
              </w:rPr>
              <w:t> </w:t>
            </w:r>
            <w:r>
              <w:rPr>
                <w:rFonts w:ascii="宋体" w:hAnsi="宋体" w:cs="宋体" w:eastAsia="宋体" w:hint="default"/>
                <w:sz w:val="21"/>
                <w:szCs w:val="21"/>
              </w:rPr>
              <w:t>股票</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96"/>
              <w:jc w:val="right"/>
              <w:rPr>
                <w:rFonts w:ascii="宋体" w:hAnsi="宋体" w:cs="宋体" w:eastAsia="宋体" w:hint="default"/>
                <w:sz w:val="21"/>
                <w:szCs w:val="21"/>
              </w:rPr>
            </w:pPr>
            <w:r>
              <w:rPr>
                <w:rFonts w:ascii="宋体"/>
                <w:sz w:val="21"/>
              </w:rPr>
              <w:t>214.27</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1102"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谢志华</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5" w:right="0"/>
              <w:jc w:val="left"/>
              <w:rPr>
                <w:rFonts w:ascii="宋体" w:hAnsi="宋体" w:cs="宋体" w:eastAsia="宋体" w:hint="default"/>
                <w:sz w:val="21"/>
                <w:szCs w:val="21"/>
              </w:rPr>
            </w:pPr>
            <w:r>
              <w:rPr>
                <w:rFonts w:ascii="宋体" w:hAnsi="宋体" w:cs="宋体" w:eastAsia="宋体" w:hint="default"/>
                <w:sz w:val="21"/>
                <w:szCs w:val="21"/>
              </w:rPr>
              <w:t>执行副总</w:t>
            </w:r>
          </w:p>
          <w:p>
            <w:pPr>
              <w:pStyle w:val="TableParagraph"/>
              <w:spacing w:line="273"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裁</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sz w:val="21"/>
              </w:rPr>
              <w:t>42</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sz w:val="21"/>
              </w:rPr>
              <w:t>2017/4/7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4</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98"/>
              <w:jc w:val="right"/>
              <w:rPr>
                <w:rFonts w:ascii="宋体" w:hAnsi="宋体" w:cs="宋体" w:eastAsia="宋体" w:hint="default"/>
                <w:sz w:val="21"/>
                <w:szCs w:val="21"/>
              </w:rPr>
            </w:pPr>
            <w:r>
              <w:rPr>
                <w:rFonts w:ascii="宋体"/>
                <w:spacing w:val="-1"/>
                <w:sz w:val="21"/>
              </w:rPr>
              <w:t>321,760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98"/>
              <w:jc w:val="right"/>
              <w:rPr>
                <w:rFonts w:ascii="宋体" w:hAnsi="宋体" w:cs="宋体" w:eastAsia="宋体" w:hint="default"/>
                <w:sz w:val="21"/>
                <w:szCs w:val="21"/>
              </w:rPr>
            </w:pPr>
            <w:r>
              <w:rPr>
                <w:rFonts w:ascii="宋体"/>
                <w:spacing w:val="-1"/>
                <w:sz w:val="21"/>
              </w:rPr>
              <w:t>488,430</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96"/>
              <w:jc w:val="right"/>
              <w:rPr>
                <w:rFonts w:ascii="宋体" w:hAnsi="宋体" w:cs="宋体" w:eastAsia="宋体" w:hint="default"/>
                <w:sz w:val="21"/>
                <w:szCs w:val="21"/>
              </w:rPr>
            </w:pPr>
            <w:r>
              <w:rPr>
                <w:rFonts w:ascii="宋体"/>
                <w:spacing w:val="-1"/>
                <w:sz w:val="21"/>
              </w:rPr>
              <w:t>166,670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5" w:right="0"/>
              <w:jc w:val="both"/>
              <w:rPr>
                <w:rFonts w:ascii="宋体" w:hAnsi="宋体" w:cs="宋体" w:eastAsia="宋体" w:hint="default"/>
                <w:sz w:val="21"/>
                <w:szCs w:val="21"/>
              </w:rPr>
            </w:pPr>
            <w:r>
              <w:rPr>
                <w:rFonts w:ascii="宋体" w:hAnsi="宋体" w:cs="宋体" w:eastAsia="宋体" w:hint="default"/>
                <w:spacing w:val="91"/>
                <w:w w:val="100"/>
                <w:sz w:val="21"/>
                <w:szCs w:val="21"/>
              </w:rPr>
              <w:t>股权</w:t>
            </w:r>
            <w:r>
              <w:rPr>
                <w:rFonts w:ascii="宋体" w:hAnsi="宋体" w:cs="宋体" w:eastAsia="宋体" w:hint="default"/>
                <w:w w:val="100"/>
                <w:sz w:val="21"/>
                <w:szCs w:val="21"/>
              </w:rPr>
              <w:t>激</w:t>
            </w:r>
            <w:r>
              <w:rPr>
                <w:rFonts w:ascii="宋体" w:hAnsi="宋体" w:cs="宋体" w:eastAsia="宋体" w:hint="default"/>
                <w:spacing w:val="-14"/>
                <w:sz w:val="21"/>
                <w:szCs w:val="21"/>
              </w:rPr>
              <w:t> </w:t>
            </w:r>
            <w:r>
              <w:rPr>
                <w:rFonts w:ascii="宋体" w:hAnsi="宋体" w:cs="宋体" w:eastAsia="宋体" w:hint="default"/>
                <w:sz w:val="21"/>
                <w:szCs w:val="21"/>
              </w:rPr>
            </w:r>
          </w:p>
          <w:p>
            <w:pPr>
              <w:pStyle w:val="TableParagraph"/>
              <w:spacing w:line="237" w:lineRule="auto"/>
              <w:ind w:left="105" w:right="7"/>
              <w:jc w:val="both"/>
              <w:rPr>
                <w:rFonts w:ascii="宋体" w:hAnsi="宋体" w:cs="宋体" w:eastAsia="宋体" w:hint="default"/>
                <w:sz w:val="21"/>
                <w:szCs w:val="21"/>
              </w:rPr>
            </w:pPr>
            <w:r>
              <w:rPr>
                <w:rFonts w:ascii="宋体" w:hAnsi="宋体" w:cs="宋体" w:eastAsia="宋体" w:hint="default"/>
                <w:spacing w:val="60"/>
                <w:w w:val="100"/>
                <w:sz w:val="21"/>
                <w:szCs w:val="21"/>
              </w:rPr>
              <w:t>励授予</w:t>
            </w:r>
            <w:r>
              <w:rPr>
                <w:rFonts w:ascii="宋体" w:hAnsi="宋体" w:cs="宋体" w:eastAsia="宋体" w:hint="default"/>
                <w:spacing w:val="-14"/>
                <w:sz w:val="21"/>
                <w:szCs w:val="21"/>
              </w:rPr>
              <w:t> </w:t>
            </w:r>
            <w:r>
              <w:rPr>
                <w:rFonts w:ascii="宋体" w:hAnsi="宋体" w:cs="宋体" w:eastAsia="宋体" w:hint="default"/>
                <w:spacing w:val="60"/>
                <w:w w:val="100"/>
                <w:sz w:val="21"/>
                <w:szCs w:val="21"/>
              </w:rPr>
              <w:t>限制性</w:t>
            </w:r>
            <w:r>
              <w:rPr>
                <w:rFonts w:ascii="宋体" w:hAnsi="宋体" w:cs="宋体" w:eastAsia="宋体" w:hint="default"/>
                <w:spacing w:val="-14"/>
                <w:sz w:val="21"/>
                <w:szCs w:val="21"/>
              </w:rPr>
              <w:t> </w:t>
            </w:r>
            <w:r>
              <w:rPr>
                <w:rFonts w:ascii="宋体" w:hAnsi="宋体" w:cs="宋体" w:eastAsia="宋体" w:hint="default"/>
                <w:sz w:val="21"/>
                <w:szCs w:val="21"/>
              </w:rPr>
              <w:t>股票</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96"/>
              <w:jc w:val="right"/>
              <w:rPr>
                <w:rFonts w:ascii="宋体" w:hAnsi="宋体" w:cs="宋体" w:eastAsia="宋体" w:hint="default"/>
                <w:sz w:val="21"/>
                <w:szCs w:val="21"/>
              </w:rPr>
            </w:pPr>
            <w:r>
              <w:rPr>
                <w:rFonts w:ascii="宋体"/>
                <w:sz w:val="21"/>
              </w:rPr>
              <w:t>217.08</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1100"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王健</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5" w:right="0"/>
              <w:jc w:val="left"/>
              <w:rPr>
                <w:rFonts w:ascii="宋体" w:hAnsi="宋体" w:cs="宋体" w:eastAsia="宋体" w:hint="default"/>
                <w:sz w:val="21"/>
                <w:szCs w:val="21"/>
              </w:rPr>
            </w:pPr>
            <w:r>
              <w:rPr>
                <w:rFonts w:ascii="宋体" w:hAnsi="宋体" w:cs="宋体" w:eastAsia="宋体" w:hint="default"/>
                <w:sz w:val="21"/>
                <w:szCs w:val="21"/>
              </w:rPr>
              <w:t>高级副总</w:t>
            </w:r>
          </w:p>
          <w:p>
            <w:pPr>
              <w:pStyle w:val="TableParagraph"/>
              <w:spacing w:line="273"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裁</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52</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2017/4/7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4</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98"/>
              <w:jc w:val="right"/>
              <w:rPr>
                <w:rFonts w:ascii="宋体" w:hAnsi="宋体" w:cs="宋体" w:eastAsia="宋体" w:hint="default"/>
                <w:sz w:val="21"/>
                <w:szCs w:val="21"/>
              </w:rPr>
            </w:pPr>
            <w:r>
              <w:rPr>
                <w:rFonts w:ascii="宋体"/>
                <w:sz w:val="21"/>
              </w:rPr>
              <w:t>44,064</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98"/>
              <w:jc w:val="right"/>
              <w:rPr>
                <w:rFonts w:ascii="宋体" w:hAnsi="宋体" w:cs="宋体" w:eastAsia="宋体" w:hint="default"/>
                <w:sz w:val="21"/>
                <w:szCs w:val="21"/>
              </w:rPr>
            </w:pPr>
            <w:r>
              <w:rPr>
                <w:rFonts w:ascii="宋体"/>
                <w:spacing w:val="-1"/>
                <w:sz w:val="21"/>
              </w:rPr>
              <w:t>160,734</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96"/>
              <w:jc w:val="right"/>
              <w:rPr>
                <w:rFonts w:ascii="宋体" w:hAnsi="宋体" w:cs="宋体" w:eastAsia="宋体" w:hint="default"/>
                <w:sz w:val="21"/>
                <w:szCs w:val="21"/>
              </w:rPr>
            </w:pPr>
            <w:r>
              <w:rPr>
                <w:rFonts w:ascii="宋体"/>
                <w:spacing w:val="-1"/>
                <w:sz w:val="21"/>
              </w:rPr>
              <w:t>116,670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5" w:right="0"/>
              <w:jc w:val="both"/>
              <w:rPr>
                <w:rFonts w:ascii="宋体" w:hAnsi="宋体" w:cs="宋体" w:eastAsia="宋体" w:hint="default"/>
                <w:sz w:val="21"/>
                <w:szCs w:val="21"/>
              </w:rPr>
            </w:pPr>
            <w:r>
              <w:rPr>
                <w:rFonts w:ascii="宋体" w:hAnsi="宋体" w:cs="宋体" w:eastAsia="宋体" w:hint="default"/>
                <w:spacing w:val="91"/>
                <w:w w:val="100"/>
                <w:sz w:val="21"/>
                <w:szCs w:val="21"/>
              </w:rPr>
              <w:t>股权</w:t>
            </w:r>
            <w:r>
              <w:rPr>
                <w:rFonts w:ascii="宋体" w:hAnsi="宋体" w:cs="宋体" w:eastAsia="宋体" w:hint="default"/>
                <w:w w:val="100"/>
                <w:sz w:val="21"/>
                <w:szCs w:val="21"/>
              </w:rPr>
              <w:t>激</w:t>
            </w:r>
            <w:r>
              <w:rPr>
                <w:rFonts w:ascii="宋体" w:hAnsi="宋体" w:cs="宋体" w:eastAsia="宋体" w:hint="default"/>
                <w:spacing w:val="-14"/>
                <w:sz w:val="21"/>
                <w:szCs w:val="21"/>
              </w:rPr>
              <w:t> </w:t>
            </w:r>
            <w:r>
              <w:rPr>
                <w:rFonts w:ascii="宋体" w:hAnsi="宋体" w:cs="宋体" w:eastAsia="宋体" w:hint="default"/>
                <w:sz w:val="21"/>
                <w:szCs w:val="21"/>
              </w:rPr>
            </w:r>
          </w:p>
          <w:p>
            <w:pPr>
              <w:pStyle w:val="TableParagraph"/>
              <w:spacing w:line="237" w:lineRule="auto"/>
              <w:ind w:left="105" w:right="7"/>
              <w:jc w:val="both"/>
              <w:rPr>
                <w:rFonts w:ascii="宋体" w:hAnsi="宋体" w:cs="宋体" w:eastAsia="宋体" w:hint="default"/>
                <w:sz w:val="21"/>
                <w:szCs w:val="21"/>
              </w:rPr>
            </w:pPr>
            <w:r>
              <w:rPr>
                <w:rFonts w:ascii="宋体" w:hAnsi="宋体" w:cs="宋体" w:eastAsia="宋体" w:hint="default"/>
                <w:spacing w:val="60"/>
                <w:w w:val="100"/>
                <w:sz w:val="21"/>
                <w:szCs w:val="21"/>
              </w:rPr>
              <w:t>励授予</w:t>
            </w:r>
            <w:r>
              <w:rPr>
                <w:rFonts w:ascii="宋体" w:hAnsi="宋体" w:cs="宋体" w:eastAsia="宋体" w:hint="default"/>
                <w:spacing w:val="-14"/>
                <w:sz w:val="21"/>
                <w:szCs w:val="21"/>
              </w:rPr>
              <w:t> </w:t>
            </w:r>
            <w:r>
              <w:rPr>
                <w:rFonts w:ascii="宋体" w:hAnsi="宋体" w:cs="宋体" w:eastAsia="宋体" w:hint="default"/>
                <w:spacing w:val="60"/>
                <w:w w:val="100"/>
                <w:sz w:val="21"/>
                <w:szCs w:val="21"/>
              </w:rPr>
              <w:t>限制性</w:t>
            </w:r>
            <w:r>
              <w:rPr>
                <w:rFonts w:ascii="宋体" w:hAnsi="宋体" w:cs="宋体" w:eastAsia="宋体" w:hint="default"/>
                <w:spacing w:val="-14"/>
                <w:sz w:val="21"/>
                <w:szCs w:val="21"/>
              </w:rPr>
              <w:t> </w:t>
            </w:r>
            <w:r>
              <w:rPr>
                <w:rFonts w:ascii="宋体" w:hAnsi="宋体" w:cs="宋体" w:eastAsia="宋体" w:hint="default"/>
                <w:sz w:val="21"/>
                <w:szCs w:val="21"/>
              </w:rPr>
              <w:t>股票</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96"/>
              <w:jc w:val="right"/>
              <w:rPr>
                <w:rFonts w:ascii="宋体" w:hAnsi="宋体" w:cs="宋体" w:eastAsia="宋体" w:hint="default"/>
                <w:sz w:val="21"/>
                <w:szCs w:val="21"/>
              </w:rPr>
            </w:pPr>
            <w:r>
              <w:rPr>
                <w:rFonts w:ascii="宋体"/>
                <w:sz w:val="21"/>
              </w:rPr>
              <w:t>158.26</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徐洋</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5" w:right="0"/>
              <w:jc w:val="left"/>
              <w:rPr>
                <w:rFonts w:ascii="宋体" w:hAnsi="宋体" w:cs="宋体" w:eastAsia="宋体" w:hint="default"/>
                <w:sz w:val="21"/>
                <w:szCs w:val="21"/>
              </w:rPr>
            </w:pPr>
            <w:r>
              <w:rPr>
                <w:rFonts w:ascii="宋体" w:hAnsi="宋体" w:cs="宋体" w:eastAsia="宋体" w:hint="default"/>
                <w:sz w:val="21"/>
                <w:szCs w:val="21"/>
              </w:rPr>
              <w:t>高级副总</w:t>
            </w:r>
          </w:p>
          <w:p>
            <w:pPr>
              <w:pStyle w:val="TableParagraph"/>
              <w:spacing w:line="273"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裁</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42</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2017/4/7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4</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98"/>
              <w:jc w:val="right"/>
              <w:rPr>
                <w:rFonts w:ascii="宋体" w:hAnsi="宋体" w:cs="宋体" w:eastAsia="宋体" w:hint="default"/>
                <w:sz w:val="21"/>
                <w:szCs w:val="21"/>
              </w:rPr>
            </w:pPr>
            <w:r>
              <w:rPr>
                <w:rFonts w:ascii="宋体"/>
                <w:sz w:val="21"/>
              </w:rPr>
              <w:t>16,800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98"/>
              <w:jc w:val="right"/>
              <w:rPr>
                <w:rFonts w:ascii="宋体" w:hAnsi="宋体" w:cs="宋体" w:eastAsia="宋体" w:hint="default"/>
                <w:sz w:val="21"/>
                <w:szCs w:val="21"/>
              </w:rPr>
            </w:pPr>
            <w:r>
              <w:rPr>
                <w:rFonts w:ascii="宋体"/>
                <w:spacing w:val="-1"/>
                <w:sz w:val="21"/>
              </w:rPr>
              <w:t>133,470</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96"/>
              <w:jc w:val="right"/>
              <w:rPr>
                <w:rFonts w:ascii="宋体" w:hAnsi="宋体" w:cs="宋体" w:eastAsia="宋体" w:hint="default"/>
                <w:sz w:val="21"/>
                <w:szCs w:val="21"/>
              </w:rPr>
            </w:pPr>
            <w:r>
              <w:rPr>
                <w:rFonts w:ascii="宋体"/>
                <w:spacing w:val="-1"/>
                <w:sz w:val="21"/>
              </w:rPr>
              <w:t>116,670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5" w:right="0"/>
              <w:jc w:val="left"/>
              <w:rPr>
                <w:rFonts w:ascii="宋体" w:hAnsi="宋体" w:cs="宋体" w:eastAsia="宋体" w:hint="default"/>
                <w:sz w:val="21"/>
                <w:szCs w:val="21"/>
              </w:rPr>
            </w:pPr>
            <w:r>
              <w:rPr>
                <w:rFonts w:ascii="宋体" w:hAnsi="宋体" w:cs="宋体" w:eastAsia="宋体" w:hint="default"/>
                <w:spacing w:val="91"/>
                <w:w w:val="100"/>
                <w:sz w:val="21"/>
                <w:szCs w:val="21"/>
              </w:rPr>
              <w:t>股权</w:t>
            </w:r>
            <w:r>
              <w:rPr>
                <w:rFonts w:ascii="宋体" w:hAnsi="宋体" w:cs="宋体" w:eastAsia="宋体" w:hint="default"/>
                <w:w w:val="100"/>
                <w:sz w:val="21"/>
                <w:szCs w:val="21"/>
              </w:rPr>
              <w:t>激</w:t>
            </w:r>
            <w:r>
              <w:rPr>
                <w:rFonts w:ascii="宋体" w:hAnsi="宋体" w:cs="宋体" w:eastAsia="宋体" w:hint="default"/>
                <w:spacing w:val="-14"/>
                <w:sz w:val="21"/>
                <w:szCs w:val="21"/>
              </w:rPr>
              <w:t> </w:t>
            </w:r>
            <w:r>
              <w:rPr>
                <w:rFonts w:ascii="宋体" w:hAnsi="宋体" w:cs="宋体" w:eastAsia="宋体" w:hint="default"/>
                <w:sz w:val="21"/>
                <w:szCs w:val="21"/>
              </w:rPr>
            </w:r>
          </w:p>
          <w:p>
            <w:pPr>
              <w:pStyle w:val="TableParagraph"/>
              <w:spacing w:line="273" w:lineRule="exact"/>
              <w:ind w:left="105" w:right="0"/>
              <w:jc w:val="left"/>
              <w:rPr>
                <w:rFonts w:ascii="宋体" w:hAnsi="宋体" w:cs="宋体" w:eastAsia="宋体" w:hint="default"/>
                <w:sz w:val="21"/>
                <w:szCs w:val="21"/>
              </w:rPr>
            </w:pPr>
            <w:r>
              <w:rPr>
                <w:rFonts w:ascii="宋体" w:hAnsi="宋体" w:cs="宋体" w:eastAsia="宋体" w:hint="default"/>
                <w:spacing w:val="91"/>
                <w:w w:val="100"/>
                <w:sz w:val="21"/>
                <w:szCs w:val="21"/>
              </w:rPr>
              <w:t>励授</w:t>
            </w:r>
            <w:r>
              <w:rPr>
                <w:rFonts w:ascii="宋体" w:hAnsi="宋体" w:cs="宋体" w:eastAsia="宋体" w:hint="default"/>
                <w:w w:val="100"/>
                <w:sz w:val="21"/>
                <w:szCs w:val="21"/>
              </w:rPr>
              <w:t>予</w:t>
            </w:r>
            <w:r>
              <w:rPr>
                <w:rFonts w:ascii="宋体" w:hAnsi="宋体" w:cs="宋体" w:eastAsia="宋体" w:hint="default"/>
                <w:spacing w:val="-14"/>
                <w:sz w:val="21"/>
                <w:szCs w:val="21"/>
              </w:rPr>
              <w:t> </w:t>
            </w:r>
            <w:r>
              <w:rPr>
                <w:rFonts w:ascii="宋体" w:hAnsi="宋体" w:cs="宋体" w:eastAsia="宋体" w:hint="default"/>
                <w:sz w:val="21"/>
                <w:szCs w:val="21"/>
              </w:rPr>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96"/>
              <w:jc w:val="right"/>
              <w:rPr>
                <w:rFonts w:ascii="宋体" w:hAnsi="宋体" w:cs="宋体" w:eastAsia="宋体" w:hint="default"/>
                <w:sz w:val="21"/>
                <w:szCs w:val="21"/>
              </w:rPr>
            </w:pPr>
            <w:r>
              <w:rPr>
                <w:rFonts w:ascii="宋体"/>
                <w:sz w:val="21"/>
              </w:rPr>
              <w:t>63.84</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bl>
    <w:p>
      <w:pPr>
        <w:spacing w:after="0" w:line="236" w:lineRule="exact"/>
        <w:jc w:val="left"/>
        <w:rPr>
          <w:rFonts w:ascii="宋体" w:hAnsi="宋体" w:cs="宋体" w:eastAsia="宋体" w:hint="default"/>
          <w:sz w:val="21"/>
          <w:szCs w:val="21"/>
        </w:rPr>
        <w:sectPr>
          <w:pgSz w:w="16840" w:h="11910" w:orient="landscape"/>
          <w:pgMar w:header="855" w:footer="1195" w:top="1300" w:bottom="1380" w:left="1300" w:right="1200"/>
        </w:sectPr>
      </w:pPr>
    </w:p>
    <w:tbl>
      <w:tblPr>
        <w:tblW w:w="0" w:type="auto"/>
        <w:jc w:val="left"/>
        <w:tblInd w:w="111" w:type="dxa"/>
        <w:tblLayout w:type="fixed"/>
        <w:tblCellMar>
          <w:top w:w="0" w:type="dxa"/>
          <w:left w:w="0" w:type="dxa"/>
          <w:bottom w:w="0" w:type="dxa"/>
          <w:right w:w="0" w:type="dxa"/>
        </w:tblCellMar>
        <w:tblLook w:val="01E0"/>
      </w:tblPr>
      <w:tblGrid>
        <w:gridCol w:w="980"/>
        <w:gridCol w:w="1061"/>
        <w:gridCol w:w="773"/>
        <w:gridCol w:w="773"/>
        <w:gridCol w:w="1210"/>
        <w:gridCol w:w="1063"/>
        <w:gridCol w:w="1896"/>
        <w:gridCol w:w="1162"/>
        <w:gridCol w:w="1321"/>
        <w:gridCol w:w="1032"/>
        <w:gridCol w:w="1579"/>
        <w:gridCol w:w="1248"/>
      </w:tblGrid>
      <w:tr>
        <w:trPr>
          <w:trHeight w:val="569" w:hRule="exact"/>
        </w:trPr>
        <w:tc>
          <w:tcPr>
            <w:tcW w:w="980" w:type="dxa"/>
            <w:tcBorders>
              <w:top w:val="single" w:sz="10" w:space="0" w:color="000000"/>
              <w:left w:val="single" w:sz="4" w:space="0" w:color="000000"/>
              <w:bottom w:val="single" w:sz="4" w:space="0" w:color="000000"/>
              <w:right w:val="single" w:sz="4" w:space="0" w:color="000000"/>
            </w:tcBorders>
          </w:tcPr>
          <w:p>
            <w:pPr/>
          </w:p>
        </w:tc>
        <w:tc>
          <w:tcPr>
            <w:tcW w:w="1061" w:type="dxa"/>
            <w:tcBorders>
              <w:top w:val="single" w:sz="10" w:space="0" w:color="000000"/>
              <w:left w:val="single" w:sz="4" w:space="0" w:color="000000"/>
              <w:bottom w:val="single" w:sz="4" w:space="0" w:color="000000"/>
              <w:right w:val="single" w:sz="4" w:space="0" w:color="000000"/>
            </w:tcBorders>
          </w:tcPr>
          <w:p>
            <w:pPr/>
          </w:p>
        </w:tc>
        <w:tc>
          <w:tcPr>
            <w:tcW w:w="773" w:type="dxa"/>
            <w:tcBorders>
              <w:top w:val="single" w:sz="10" w:space="0" w:color="000000"/>
              <w:left w:val="single" w:sz="4" w:space="0" w:color="000000"/>
              <w:bottom w:val="single" w:sz="4" w:space="0" w:color="000000"/>
              <w:right w:val="single" w:sz="4" w:space="0" w:color="000000"/>
            </w:tcBorders>
          </w:tcPr>
          <w:p>
            <w:pPr/>
          </w:p>
        </w:tc>
        <w:tc>
          <w:tcPr>
            <w:tcW w:w="773" w:type="dxa"/>
            <w:tcBorders>
              <w:top w:val="single" w:sz="10" w:space="0" w:color="000000"/>
              <w:left w:val="single" w:sz="4" w:space="0" w:color="000000"/>
              <w:bottom w:val="single" w:sz="4" w:space="0" w:color="000000"/>
              <w:right w:val="single" w:sz="4" w:space="0" w:color="000000"/>
            </w:tcBorders>
          </w:tcPr>
          <w:p>
            <w:pPr/>
          </w:p>
        </w:tc>
        <w:tc>
          <w:tcPr>
            <w:tcW w:w="1210" w:type="dxa"/>
            <w:tcBorders>
              <w:top w:val="single" w:sz="10" w:space="0" w:color="000000"/>
              <w:left w:val="single" w:sz="4" w:space="0" w:color="000000"/>
              <w:bottom w:val="single" w:sz="4" w:space="0" w:color="000000"/>
              <w:right w:val="single" w:sz="4" w:space="0" w:color="000000"/>
            </w:tcBorders>
          </w:tcPr>
          <w:p>
            <w:pPr/>
          </w:p>
        </w:tc>
        <w:tc>
          <w:tcPr>
            <w:tcW w:w="1063" w:type="dxa"/>
            <w:tcBorders>
              <w:top w:val="single" w:sz="10" w:space="0" w:color="000000"/>
              <w:left w:val="single" w:sz="4" w:space="0" w:color="000000"/>
              <w:bottom w:val="single" w:sz="4" w:space="0" w:color="000000"/>
              <w:right w:val="single" w:sz="4" w:space="0" w:color="000000"/>
            </w:tcBorders>
          </w:tcPr>
          <w:p>
            <w:pPr/>
          </w:p>
        </w:tc>
        <w:tc>
          <w:tcPr>
            <w:tcW w:w="1896" w:type="dxa"/>
            <w:tcBorders>
              <w:top w:val="single" w:sz="10" w:space="0" w:color="000000"/>
              <w:left w:val="single" w:sz="4" w:space="0" w:color="000000"/>
              <w:bottom w:val="single" w:sz="4" w:space="0" w:color="000000"/>
              <w:right w:val="single" w:sz="4" w:space="0" w:color="000000"/>
            </w:tcBorders>
          </w:tcPr>
          <w:p>
            <w:pPr/>
          </w:p>
        </w:tc>
        <w:tc>
          <w:tcPr>
            <w:tcW w:w="1162" w:type="dxa"/>
            <w:tcBorders>
              <w:top w:val="single" w:sz="10" w:space="0" w:color="000000"/>
              <w:left w:val="single" w:sz="4" w:space="0" w:color="000000"/>
              <w:bottom w:val="single" w:sz="4" w:space="0" w:color="000000"/>
              <w:right w:val="single" w:sz="4" w:space="0" w:color="000000"/>
            </w:tcBorders>
          </w:tcPr>
          <w:p>
            <w:pPr/>
          </w:p>
        </w:tc>
        <w:tc>
          <w:tcPr>
            <w:tcW w:w="1321" w:type="dxa"/>
            <w:tcBorders>
              <w:top w:val="single" w:sz="10" w:space="0" w:color="000000"/>
              <w:left w:val="single" w:sz="4" w:space="0" w:color="000000"/>
              <w:bottom w:val="single" w:sz="4" w:space="0" w:color="000000"/>
              <w:right w:val="single" w:sz="4" w:space="0" w:color="000000"/>
            </w:tcBorders>
          </w:tcPr>
          <w:p>
            <w:pPr/>
          </w:p>
        </w:tc>
        <w:tc>
          <w:tcPr>
            <w:tcW w:w="1032" w:type="dxa"/>
            <w:tcBorders>
              <w:top w:val="single" w:sz="10" w:space="0" w:color="000000"/>
              <w:left w:val="single" w:sz="4" w:space="0" w:color="000000"/>
              <w:bottom w:val="single" w:sz="4" w:space="0" w:color="000000"/>
              <w:right w:val="single" w:sz="4" w:space="0" w:color="000000"/>
            </w:tcBorders>
          </w:tcPr>
          <w:p>
            <w:pPr>
              <w:pStyle w:val="TableParagraph"/>
              <w:spacing w:line="272" w:lineRule="exact" w:before="1"/>
              <w:ind w:left="105" w:right="7"/>
              <w:jc w:val="left"/>
              <w:rPr>
                <w:rFonts w:ascii="宋体" w:hAnsi="宋体" w:cs="宋体" w:eastAsia="宋体" w:hint="default"/>
                <w:sz w:val="21"/>
                <w:szCs w:val="21"/>
              </w:rPr>
            </w:pPr>
            <w:r>
              <w:rPr>
                <w:rFonts w:ascii="宋体" w:hAnsi="宋体" w:cs="宋体" w:eastAsia="宋体" w:hint="default"/>
                <w:spacing w:val="60"/>
                <w:w w:val="100"/>
                <w:sz w:val="21"/>
                <w:szCs w:val="21"/>
              </w:rPr>
              <w:t>限制性</w:t>
            </w:r>
            <w:r>
              <w:rPr>
                <w:rFonts w:ascii="宋体" w:hAnsi="宋体" w:cs="宋体" w:eastAsia="宋体" w:hint="default"/>
                <w:spacing w:val="-14"/>
                <w:sz w:val="21"/>
                <w:szCs w:val="21"/>
              </w:rPr>
              <w:t> </w:t>
            </w:r>
            <w:r>
              <w:rPr>
                <w:rFonts w:ascii="宋体" w:hAnsi="宋体" w:cs="宋体" w:eastAsia="宋体" w:hint="default"/>
                <w:sz w:val="21"/>
                <w:szCs w:val="21"/>
              </w:rPr>
              <w:t>股票</w:t>
            </w:r>
          </w:p>
        </w:tc>
        <w:tc>
          <w:tcPr>
            <w:tcW w:w="1579" w:type="dxa"/>
            <w:tcBorders>
              <w:top w:val="single" w:sz="10" w:space="0" w:color="000000"/>
              <w:left w:val="single" w:sz="4" w:space="0" w:color="000000"/>
              <w:bottom w:val="single" w:sz="4" w:space="0" w:color="000000"/>
              <w:right w:val="single" w:sz="4" w:space="0" w:color="000000"/>
            </w:tcBorders>
          </w:tcPr>
          <w:p>
            <w:pPr/>
          </w:p>
        </w:tc>
        <w:tc>
          <w:tcPr>
            <w:tcW w:w="1248" w:type="dxa"/>
            <w:tcBorders>
              <w:top w:val="single" w:sz="10" w:space="0" w:color="000000"/>
              <w:left w:val="single" w:sz="4" w:space="0" w:color="000000"/>
              <w:bottom w:val="single" w:sz="4" w:space="0" w:color="000000"/>
              <w:right w:val="single" w:sz="4" w:space="0" w:color="000000"/>
            </w:tcBorders>
          </w:tcPr>
          <w:p>
            <w:pPr/>
          </w:p>
        </w:tc>
      </w:tr>
      <w:tr>
        <w:trPr>
          <w:trHeight w:val="1099"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胡彬</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5" w:right="0"/>
              <w:jc w:val="left"/>
              <w:rPr>
                <w:rFonts w:ascii="宋体" w:hAnsi="宋体" w:cs="宋体" w:eastAsia="宋体" w:hint="default"/>
                <w:sz w:val="21"/>
                <w:szCs w:val="21"/>
              </w:rPr>
            </w:pPr>
            <w:r>
              <w:rPr>
                <w:rFonts w:ascii="宋体" w:hAnsi="宋体" w:cs="宋体" w:eastAsia="宋体" w:hint="default"/>
                <w:sz w:val="21"/>
                <w:szCs w:val="21"/>
              </w:rPr>
              <w:t>高级副总</w:t>
            </w:r>
          </w:p>
          <w:p>
            <w:pPr>
              <w:pStyle w:val="TableParagraph"/>
              <w:spacing w:line="273"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裁</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55</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4</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142,760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259,430</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116,670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5" w:right="0"/>
              <w:jc w:val="both"/>
              <w:rPr>
                <w:rFonts w:ascii="宋体" w:hAnsi="宋体" w:cs="宋体" w:eastAsia="宋体" w:hint="default"/>
                <w:sz w:val="21"/>
                <w:szCs w:val="21"/>
              </w:rPr>
            </w:pPr>
            <w:r>
              <w:rPr>
                <w:rFonts w:ascii="宋体" w:hAnsi="宋体" w:cs="宋体" w:eastAsia="宋体" w:hint="default"/>
                <w:spacing w:val="91"/>
                <w:w w:val="100"/>
                <w:sz w:val="21"/>
                <w:szCs w:val="21"/>
              </w:rPr>
              <w:t>股权</w:t>
            </w:r>
            <w:r>
              <w:rPr>
                <w:rFonts w:ascii="宋体" w:hAnsi="宋体" w:cs="宋体" w:eastAsia="宋体" w:hint="default"/>
                <w:w w:val="100"/>
                <w:sz w:val="21"/>
                <w:szCs w:val="21"/>
              </w:rPr>
              <w:t>激</w:t>
            </w:r>
            <w:r>
              <w:rPr>
                <w:rFonts w:ascii="宋体" w:hAnsi="宋体" w:cs="宋体" w:eastAsia="宋体" w:hint="default"/>
                <w:spacing w:val="-14"/>
                <w:sz w:val="21"/>
                <w:szCs w:val="21"/>
              </w:rPr>
              <w:t> </w:t>
            </w:r>
            <w:r>
              <w:rPr>
                <w:rFonts w:ascii="宋体" w:hAnsi="宋体" w:cs="宋体" w:eastAsia="宋体" w:hint="default"/>
                <w:sz w:val="21"/>
                <w:szCs w:val="21"/>
              </w:rPr>
            </w:r>
          </w:p>
          <w:p>
            <w:pPr>
              <w:pStyle w:val="TableParagraph"/>
              <w:spacing w:line="237" w:lineRule="auto"/>
              <w:ind w:left="105" w:right="7"/>
              <w:jc w:val="both"/>
              <w:rPr>
                <w:rFonts w:ascii="宋体" w:hAnsi="宋体" w:cs="宋体" w:eastAsia="宋体" w:hint="default"/>
                <w:sz w:val="21"/>
                <w:szCs w:val="21"/>
              </w:rPr>
            </w:pPr>
            <w:r>
              <w:rPr>
                <w:rFonts w:ascii="宋体" w:hAnsi="宋体" w:cs="宋体" w:eastAsia="宋体" w:hint="default"/>
                <w:spacing w:val="60"/>
                <w:w w:val="100"/>
                <w:sz w:val="21"/>
                <w:szCs w:val="21"/>
              </w:rPr>
              <w:t>励授予</w:t>
            </w:r>
            <w:r>
              <w:rPr>
                <w:rFonts w:ascii="宋体" w:hAnsi="宋体" w:cs="宋体" w:eastAsia="宋体" w:hint="default"/>
                <w:spacing w:val="-14"/>
                <w:sz w:val="21"/>
                <w:szCs w:val="21"/>
              </w:rPr>
              <w:t> </w:t>
            </w:r>
            <w:r>
              <w:rPr>
                <w:rFonts w:ascii="宋体" w:hAnsi="宋体" w:cs="宋体" w:eastAsia="宋体" w:hint="default"/>
                <w:spacing w:val="60"/>
                <w:w w:val="100"/>
                <w:sz w:val="21"/>
                <w:szCs w:val="21"/>
              </w:rPr>
              <w:t>限制性</w:t>
            </w:r>
            <w:r>
              <w:rPr>
                <w:rFonts w:ascii="宋体" w:hAnsi="宋体" w:cs="宋体" w:eastAsia="宋体" w:hint="default"/>
                <w:spacing w:val="-14"/>
                <w:sz w:val="21"/>
                <w:szCs w:val="21"/>
              </w:rPr>
              <w:t> </w:t>
            </w:r>
            <w:r>
              <w:rPr>
                <w:rFonts w:ascii="宋体" w:hAnsi="宋体" w:cs="宋体" w:eastAsia="宋体" w:hint="default"/>
                <w:sz w:val="21"/>
                <w:szCs w:val="21"/>
              </w:rPr>
              <w:t>股票</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120.19</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1100"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徐宝东</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5" w:right="0"/>
              <w:jc w:val="left"/>
              <w:rPr>
                <w:rFonts w:ascii="宋体" w:hAnsi="宋体" w:cs="宋体" w:eastAsia="宋体" w:hint="default"/>
                <w:sz w:val="21"/>
                <w:szCs w:val="21"/>
              </w:rPr>
            </w:pPr>
            <w:r>
              <w:rPr>
                <w:rFonts w:ascii="宋体" w:hAnsi="宋体" w:cs="宋体" w:eastAsia="宋体" w:hint="default"/>
                <w:sz w:val="21"/>
                <w:szCs w:val="21"/>
              </w:rPr>
              <w:t>高级副总</w:t>
            </w:r>
          </w:p>
          <w:p>
            <w:pPr>
              <w:pStyle w:val="TableParagraph"/>
              <w:spacing w:line="273"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裁</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55</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4</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280,116</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396,786</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116,670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5" w:right="0"/>
              <w:jc w:val="both"/>
              <w:rPr>
                <w:rFonts w:ascii="宋体" w:hAnsi="宋体" w:cs="宋体" w:eastAsia="宋体" w:hint="default"/>
                <w:sz w:val="21"/>
                <w:szCs w:val="21"/>
              </w:rPr>
            </w:pPr>
            <w:r>
              <w:rPr>
                <w:rFonts w:ascii="宋体" w:hAnsi="宋体" w:cs="宋体" w:eastAsia="宋体" w:hint="default"/>
                <w:spacing w:val="91"/>
                <w:w w:val="100"/>
                <w:sz w:val="21"/>
                <w:szCs w:val="21"/>
              </w:rPr>
              <w:t>股权</w:t>
            </w:r>
            <w:r>
              <w:rPr>
                <w:rFonts w:ascii="宋体" w:hAnsi="宋体" w:cs="宋体" w:eastAsia="宋体" w:hint="default"/>
                <w:w w:val="100"/>
                <w:sz w:val="21"/>
                <w:szCs w:val="21"/>
              </w:rPr>
              <w:t>激</w:t>
            </w:r>
            <w:r>
              <w:rPr>
                <w:rFonts w:ascii="宋体" w:hAnsi="宋体" w:cs="宋体" w:eastAsia="宋体" w:hint="default"/>
                <w:spacing w:val="-14"/>
                <w:sz w:val="21"/>
                <w:szCs w:val="21"/>
              </w:rPr>
              <w:t> </w:t>
            </w:r>
            <w:r>
              <w:rPr>
                <w:rFonts w:ascii="宋体" w:hAnsi="宋体" w:cs="宋体" w:eastAsia="宋体" w:hint="default"/>
                <w:sz w:val="21"/>
                <w:szCs w:val="21"/>
              </w:rPr>
            </w:r>
          </w:p>
          <w:p>
            <w:pPr>
              <w:pStyle w:val="TableParagraph"/>
              <w:spacing w:line="237" w:lineRule="auto"/>
              <w:ind w:left="105" w:right="7"/>
              <w:jc w:val="both"/>
              <w:rPr>
                <w:rFonts w:ascii="宋体" w:hAnsi="宋体" w:cs="宋体" w:eastAsia="宋体" w:hint="default"/>
                <w:sz w:val="21"/>
                <w:szCs w:val="21"/>
              </w:rPr>
            </w:pPr>
            <w:r>
              <w:rPr>
                <w:rFonts w:ascii="宋体" w:hAnsi="宋体" w:cs="宋体" w:eastAsia="宋体" w:hint="default"/>
                <w:spacing w:val="60"/>
                <w:w w:val="100"/>
                <w:sz w:val="21"/>
                <w:szCs w:val="21"/>
              </w:rPr>
              <w:t>励授予</w:t>
            </w:r>
            <w:r>
              <w:rPr>
                <w:rFonts w:ascii="宋体" w:hAnsi="宋体" w:cs="宋体" w:eastAsia="宋体" w:hint="default"/>
                <w:spacing w:val="-14"/>
                <w:sz w:val="21"/>
                <w:szCs w:val="21"/>
              </w:rPr>
              <w:t> </w:t>
            </w:r>
            <w:r>
              <w:rPr>
                <w:rFonts w:ascii="宋体" w:hAnsi="宋体" w:cs="宋体" w:eastAsia="宋体" w:hint="default"/>
                <w:spacing w:val="60"/>
                <w:w w:val="100"/>
                <w:sz w:val="21"/>
                <w:szCs w:val="21"/>
              </w:rPr>
              <w:t>限制性</w:t>
            </w:r>
            <w:r>
              <w:rPr>
                <w:rFonts w:ascii="宋体" w:hAnsi="宋体" w:cs="宋体" w:eastAsia="宋体" w:hint="default"/>
                <w:spacing w:val="-14"/>
                <w:sz w:val="21"/>
                <w:szCs w:val="21"/>
              </w:rPr>
              <w:t> </w:t>
            </w:r>
            <w:r>
              <w:rPr>
                <w:rFonts w:ascii="宋体" w:hAnsi="宋体" w:cs="宋体" w:eastAsia="宋体" w:hint="default"/>
                <w:sz w:val="21"/>
                <w:szCs w:val="21"/>
              </w:rPr>
              <w:t>股票</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221.80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1099"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杨晓柏</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5" w:right="0"/>
              <w:jc w:val="left"/>
              <w:rPr>
                <w:rFonts w:ascii="宋体" w:hAnsi="宋体" w:cs="宋体" w:eastAsia="宋体" w:hint="default"/>
                <w:sz w:val="21"/>
                <w:szCs w:val="21"/>
              </w:rPr>
            </w:pPr>
            <w:r>
              <w:rPr>
                <w:rFonts w:ascii="宋体" w:hAnsi="宋体" w:cs="宋体" w:eastAsia="宋体" w:hint="default"/>
                <w:sz w:val="21"/>
                <w:szCs w:val="21"/>
              </w:rPr>
              <w:t>高级副总</w:t>
            </w:r>
          </w:p>
          <w:p>
            <w:pPr>
              <w:pStyle w:val="TableParagraph"/>
              <w:spacing w:line="273"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裁</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48</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4</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23,760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140,430</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116,670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5" w:right="0"/>
              <w:jc w:val="both"/>
              <w:rPr>
                <w:rFonts w:ascii="宋体" w:hAnsi="宋体" w:cs="宋体" w:eastAsia="宋体" w:hint="default"/>
                <w:sz w:val="21"/>
                <w:szCs w:val="21"/>
              </w:rPr>
            </w:pPr>
            <w:r>
              <w:rPr>
                <w:rFonts w:ascii="宋体" w:hAnsi="宋体" w:cs="宋体" w:eastAsia="宋体" w:hint="default"/>
                <w:spacing w:val="91"/>
                <w:w w:val="100"/>
                <w:sz w:val="21"/>
                <w:szCs w:val="21"/>
              </w:rPr>
              <w:t>股权</w:t>
            </w:r>
            <w:r>
              <w:rPr>
                <w:rFonts w:ascii="宋体" w:hAnsi="宋体" w:cs="宋体" w:eastAsia="宋体" w:hint="default"/>
                <w:w w:val="100"/>
                <w:sz w:val="21"/>
                <w:szCs w:val="21"/>
              </w:rPr>
              <w:t>激</w:t>
            </w:r>
            <w:r>
              <w:rPr>
                <w:rFonts w:ascii="宋体" w:hAnsi="宋体" w:cs="宋体" w:eastAsia="宋体" w:hint="default"/>
                <w:spacing w:val="-14"/>
                <w:sz w:val="21"/>
                <w:szCs w:val="21"/>
              </w:rPr>
              <w:t> </w:t>
            </w:r>
            <w:r>
              <w:rPr>
                <w:rFonts w:ascii="宋体" w:hAnsi="宋体" w:cs="宋体" w:eastAsia="宋体" w:hint="default"/>
                <w:sz w:val="21"/>
                <w:szCs w:val="21"/>
              </w:rPr>
            </w:r>
          </w:p>
          <w:p>
            <w:pPr>
              <w:pStyle w:val="TableParagraph"/>
              <w:spacing w:line="237" w:lineRule="auto"/>
              <w:ind w:left="105" w:right="7"/>
              <w:jc w:val="both"/>
              <w:rPr>
                <w:rFonts w:ascii="宋体" w:hAnsi="宋体" w:cs="宋体" w:eastAsia="宋体" w:hint="default"/>
                <w:sz w:val="21"/>
                <w:szCs w:val="21"/>
              </w:rPr>
            </w:pPr>
            <w:r>
              <w:rPr>
                <w:rFonts w:ascii="宋体" w:hAnsi="宋体" w:cs="宋体" w:eastAsia="宋体" w:hint="default"/>
                <w:spacing w:val="60"/>
                <w:w w:val="100"/>
                <w:sz w:val="21"/>
                <w:szCs w:val="21"/>
              </w:rPr>
              <w:t>励授予</w:t>
            </w:r>
            <w:r>
              <w:rPr>
                <w:rFonts w:ascii="宋体" w:hAnsi="宋体" w:cs="宋体" w:eastAsia="宋体" w:hint="default"/>
                <w:spacing w:val="-14"/>
                <w:sz w:val="21"/>
                <w:szCs w:val="21"/>
              </w:rPr>
              <w:t> </w:t>
            </w:r>
            <w:r>
              <w:rPr>
                <w:rFonts w:ascii="宋体" w:hAnsi="宋体" w:cs="宋体" w:eastAsia="宋体" w:hint="default"/>
                <w:spacing w:val="60"/>
                <w:w w:val="100"/>
                <w:sz w:val="21"/>
                <w:szCs w:val="21"/>
              </w:rPr>
              <w:t>限制性</w:t>
            </w:r>
            <w:r>
              <w:rPr>
                <w:rFonts w:ascii="宋体" w:hAnsi="宋体" w:cs="宋体" w:eastAsia="宋体" w:hint="default"/>
                <w:spacing w:val="-14"/>
                <w:sz w:val="21"/>
                <w:szCs w:val="21"/>
              </w:rPr>
              <w:t> </w:t>
            </w:r>
            <w:r>
              <w:rPr>
                <w:rFonts w:ascii="宋体" w:hAnsi="宋体" w:cs="宋体" w:eastAsia="宋体" w:hint="default"/>
                <w:sz w:val="21"/>
                <w:szCs w:val="21"/>
              </w:rPr>
              <w:t>股票</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185.43</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1099"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左骏</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5" w:right="0"/>
              <w:jc w:val="left"/>
              <w:rPr>
                <w:rFonts w:ascii="宋体" w:hAnsi="宋体" w:cs="宋体" w:eastAsia="宋体" w:hint="default"/>
                <w:sz w:val="21"/>
                <w:szCs w:val="21"/>
              </w:rPr>
            </w:pPr>
            <w:r>
              <w:rPr>
                <w:rFonts w:ascii="宋体" w:hAnsi="宋体" w:cs="宋体" w:eastAsia="宋体" w:hint="default"/>
                <w:sz w:val="21"/>
                <w:szCs w:val="21"/>
              </w:rPr>
              <w:t>高级副总</w:t>
            </w:r>
          </w:p>
          <w:p>
            <w:pPr>
              <w:pStyle w:val="TableParagraph"/>
              <w:spacing w:line="273"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裁</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40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4</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25,200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141,870</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116,670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5" w:right="0"/>
              <w:jc w:val="both"/>
              <w:rPr>
                <w:rFonts w:ascii="宋体" w:hAnsi="宋体" w:cs="宋体" w:eastAsia="宋体" w:hint="default"/>
                <w:sz w:val="21"/>
                <w:szCs w:val="21"/>
              </w:rPr>
            </w:pPr>
            <w:r>
              <w:rPr>
                <w:rFonts w:ascii="宋体" w:hAnsi="宋体" w:cs="宋体" w:eastAsia="宋体" w:hint="default"/>
                <w:spacing w:val="91"/>
                <w:w w:val="100"/>
                <w:sz w:val="21"/>
                <w:szCs w:val="21"/>
              </w:rPr>
              <w:t>股权</w:t>
            </w:r>
            <w:r>
              <w:rPr>
                <w:rFonts w:ascii="宋体" w:hAnsi="宋体" w:cs="宋体" w:eastAsia="宋体" w:hint="default"/>
                <w:w w:val="100"/>
                <w:sz w:val="21"/>
                <w:szCs w:val="21"/>
              </w:rPr>
              <w:t>激</w:t>
            </w:r>
            <w:r>
              <w:rPr>
                <w:rFonts w:ascii="宋体" w:hAnsi="宋体" w:cs="宋体" w:eastAsia="宋体" w:hint="default"/>
                <w:spacing w:val="-14"/>
                <w:sz w:val="21"/>
                <w:szCs w:val="21"/>
              </w:rPr>
              <w:t> </w:t>
            </w:r>
            <w:r>
              <w:rPr>
                <w:rFonts w:ascii="宋体" w:hAnsi="宋体" w:cs="宋体" w:eastAsia="宋体" w:hint="default"/>
                <w:sz w:val="21"/>
                <w:szCs w:val="21"/>
              </w:rPr>
            </w:r>
          </w:p>
          <w:p>
            <w:pPr>
              <w:pStyle w:val="TableParagraph"/>
              <w:spacing w:line="237" w:lineRule="auto"/>
              <w:ind w:left="105" w:right="7"/>
              <w:jc w:val="both"/>
              <w:rPr>
                <w:rFonts w:ascii="宋体" w:hAnsi="宋体" w:cs="宋体" w:eastAsia="宋体" w:hint="default"/>
                <w:sz w:val="21"/>
                <w:szCs w:val="21"/>
              </w:rPr>
            </w:pPr>
            <w:r>
              <w:rPr>
                <w:rFonts w:ascii="宋体" w:hAnsi="宋体" w:cs="宋体" w:eastAsia="宋体" w:hint="default"/>
                <w:spacing w:val="60"/>
                <w:w w:val="100"/>
                <w:sz w:val="21"/>
                <w:szCs w:val="21"/>
              </w:rPr>
              <w:t>励授予</w:t>
            </w:r>
            <w:r>
              <w:rPr>
                <w:rFonts w:ascii="宋体" w:hAnsi="宋体" w:cs="宋体" w:eastAsia="宋体" w:hint="default"/>
                <w:spacing w:val="-14"/>
                <w:sz w:val="21"/>
                <w:szCs w:val="21"/>
              </w:rPr>
              <w:t> </w:t>
            </w:r>
            <w:r>
              <w:rPr>
                <w:rFonts w:ascii="宋体" w:hAnsi="宋体" w:cs="宋体" w:eastAsia="宋体" w:hint="default"/>
                <w:spacing w:val="60"/>
                <w:w w:val="100"/>
                <w:sz w:val="21"/>
                <w:szCs w:val="21"/>
              </w:rPr>
              <w:t>限制性</w:t>
            </w:r>
            <w:r>
              <w:rPr>
                <w:rFonts w:ascii="宋体" w:hAnsi="宋体" w:cs="宋体" w:eastAsia="宋体" w:hint="default"/>
                <w:spacing w:val="-14"/>
                <w:sz w:val="21"/>
                <w:szCs w:val="21"/>
              </w:rPr>
              <w:t> </w:t>
            </w:r>
            <w:r>
              <w:rPr>
                <w:rFonts w:ascii="宋体" w:hAnsi="宋体" w:cs="宋体" w:eastAsia="宋体" w:hint="default"/>
                <w:sz w:val="21"/>
                <w:szCs w:val="21"/>
              </w:rPr>
              <w:t>股票</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163.74</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5"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季学庆</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5" w:right="-8"/>
              <w:jc w:val="left"/>
              <w:rPr>
                <w:rFonts w:ascii="宋体" w:hAnsi="宋体" w:cs="宋体" w:eastAsia="宋体" w:hint="default"/>
                <w:sz w:val="21"/>
                <w:szCs w:val="21"/>
              </w:rPr>
            </w:pPr>
            <w:r>
              <w:rPr>
                <w:rFonts w:ascii="宋体" w:hAnsi="宋体" w:cs="宋体" w:eastAsia="宋体" w:hint="default"/>
                <w:sz w:val="21"/>
                <w:szCs w:val="21"/>
              </w:rPr>
              <w:t>高级副总</w:t>
            </w:r>
          </w:p>
          <w:p>
            <w:pPr>
              <w:pStyle w:val="TableParagraph"/>
              <w:spacing w:line="273" w:lineRule="exact"/>
              <w:ind w:left="105" w:right="-8"/>
              <w:jc w:val="left"/>
              <w:rPr>
                <w:rFonts w:ascii="宋体" w:hAnsi="宋体" w:cs="宋体" w:eastAsia="宋体" w:hint="default"/>
                <w:sz w:val="21"/>
                <w:szCs w:val="21"/>
              </w:rPr>
            </w:pPr>
            <w:r>
              <w:rPr>
                <w:rFonts w:ascii="宋体" w:hAnsi="宋体" w:cs="宋体" w:eastAsia="宋体" w:hint="default"/>
                <w:spacing w:val="-16"/>
                <w:sz w:val="21"/>
                <w:szCs w:val="21"/>
              </w:rPr>
              <w:t>裁（注</w:t>
            </w:r>
            <w:r>
              <w:rPr>
                <w:rFonts w:ascii="宋体" w:hAnsi="宋体" w:cs="宋体" w:eastAsia="宋体" w:hint="default"/>
                <w:spacing w:val="-50"/>
                <w:sz w:val="21"/>
                <w:szCs w:val="21"/>
              </w:rPr>
              <w:t> </w:t>
            </w:r>
            <w:r>
              <w:rPr>
                <w:rFonts w:ascii="宋体" w:hAnsi="宋体" w:cs="宋体" w:eastAsia="宋体" w:hint="default"/>
                <w:sz w:val="21"/>
                <w:szCs w:val="21"/>
              </w:rPr>
              <w:t>2</w:t>
            </w:r>
            <w:r>
              <w:rPr>
                <w:rFonts w:ascii="宋体" w:hAnsi="宋体" w:cs="宋体" w:eastAsia="宋体" w:hint="default"/>
                <w:sz w:val="21"/>
                <w:szCs w:val="21"/>
              </w:rPr>
              <w:t>）</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47</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2014/3/17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2</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54,000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54,000</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032" w:type="dxa"/>
            <w:tcBorders>
              <w:top w:val="single" w:sz="4" w:space="0" w:color="000000"/>
              <w:left w:val="single" w:sz="4" w:space="0" w:color="000000"/>
              <w:bottom w:val="single" w:sz="4" w:space="0" w:color="000000"/>
              <w:right w:val="single" w:sz="4" w:space="0" w:color="000000"/>
            </w:tcBorders>
          </w:tcPr>
          <w:p>
            <w:pP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3.92</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74"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w w:val="100"/>
                <w:sz w:val="21"/>
              </w:rPr>
              <w:t>/</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w w:val="100"/>
                <w:sz w:val="21"/>
              </w:rPr>
              <w:t>/</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4,442,719</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6,326,079</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1,883,360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3,036.29</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 w:right="0"/>
              <w:jc w:val="center"/>
              <w:rPr>
                <w:rFonts w:ascii="宋体" w:hAnsi="宋体" w:cs="宋体" w:eastAsia="宋体" w:hint="default"/>
                <w:sz w:val="21"/>
                <w:szCs w:val="21"/>
              </w:rPr>
            </w:pPr>
            <w:r>
              <w:rPr>
                <w:rFonts w:ascii="宋体"/>
                <w:w w:val="100"/>
                <w:sz w:val="21"/>
              </w:rPr>
              <w:t>/</w:t>
            </w:r>
          </w:p>
        </w:tc>
      </w:tr>
    </w:tbl>
    <w:p>
      <w:pPr>
        <w:spacing w:line="240" w:lineRule="auto" w:before="3"/>
        <w:rPr>
          <w:rFonts w:ascii="宋体" w:hAnsi="宋体" w:cs="宋体" w:eastAsia="宋体" w:hint="default"/>
          <w:sz w:val="26"/>
          <w:szCs w:val="26"/>
        </w:rPr>
      </w:pPr>
    </w:p>
    <w:p>
      <w:pPr>
        <w:pStyle w:val="BodyText"/>
        <w:spacing w:line="355" w:lineRule="auto" w:before="36"/>
        <w:ind w:left="224" w:right="0"/>
        <w:jc w:val="left"/>
      </w:pPr>
      <w:r>
        <w:rPr/>
        <w:t>注</w:t>
      </w:r>
      <w:r>
        <w:rPr>
          <w:spacing w:val="-53"/>
        </w:rPr>
        <w:t> </w:t>
      </w:r>
      <w:r>
        <w:rPr>
          <w:rFonts w:ascii="宋体" w:hAnsi="宋体" w:cs="宋体" w:eastAsia="宋体" w:hint="default"/>
        </w:rPr>
        <w:t>1</w:t>
      </w:r>
      <w:r>
        <w:rPr>
          <w:rFonts w:ascii="宋体" w:hAnsi="宋体" w:cs="宋体" w:eastAsia="宋体" w:hint="default"/>
          <w:spacing w:val="-54"/>
        </w:rPr>
        <w:t> </w:t>
      </w:r>
      <w:r>
        <w:rPr/>
        <w:t>公司于</w:t>
      </w:r>
      <w:r>
        <w:rPr>
          <w:spacing w:val="-54"/>
        </w:rPr>
        <w:t> </w:t>
      </w:r>
      <w:r>
        <w:rPr>
          <w:rFonts w:ascii="宋体" w:hAnsi="宋体" w:cs="宋体" w:eastAsia="宋体" w:hint="default"/>
        </w:rPr>
        <w:t>2017</w:t>
      </w:r>
      <w:r>
        <w:rPr>
          <w:rFonts w:ascii="宋体" w:hAnsi="宋体" w:cs="宋体" w:eastAsia="宋体" w:hint="default"/>
          <w:spacing w:val="-54"/>
        </w:rPr>
        <w:t> </w:t>
      </w:r>
      <w:r>
        <w:rPr/>
        <w:t>年</w:t>
      </w:r>
      <w:r>
        <w:rPr>
          <w:spacing w:val="-54"/>
        </w:rPr>
        <w:t> </w:t>
      </w:r>
      <w:r>
        <w:rPr>
          <w:rFonts w:ascii="宋体" w:hAnsi="宋体" w:cs="宋体" w:eastAsia="宋体" w:hint="default"/>
        </w:rPr>
        <w:t>4</w:t>
      </w:r>
      <w:r>
        <w:rPr>
          <w:rFonts w:ascii="宋体" w:hAnsi="宋体" w:cs="宋体" w:eastAsia="宋体" w:hint="default"/>
          <w:spacing w:val="-54"/>
        </w:rPr>
        <w:t> </w:t>
      </w:r>
      <w:r>
        <w:rPr/>
        <w:t>月</w:t>
      </w:r>
      <w:r>
        <w:rPr>
          <w:spacing w:val="-54"/>
        </w:rPr>
        <w:t> </w:t>
      </w:r>
      <w:r>
        <w:rPr>
          <w:rFonts w:ascii="宋体" w:hAnsi="宋体" w:cs="宋体" w:eastAsia="宋体" w:hint="default"/>
        </w:rPr>
        <w:t>7</w:t>
      </w:r>
      <w:r>
        <w:rPr>
          <w:rFonts w:ascii="宋体" w:hAnsi="宋体" w:cs="宋体" w:eastAsia="宋体" w:hint="default"/>
          <w:spacing w:val="-54"/>
        </w:rPr>
        <w:t> </w:t>
      </w:r>
      <w:r>
        <w:rPr/>
        <w:t>日召开</w:t>
      </w:r>
      <w:r>
        <w:rPr>
          <w:spacing w:val="-54"/>
        </w:rPr>
        <w:t> </w:t>
      </w:r>
      <w:r>
        <w:rPr>
          <w:rFonts w:ascii="宋体" w:hAnsi="宋体" w:cs="宋体" w:eastAsia="宋体" w:hint="default"/>
        </w:rPr>
        <w:t>2016</w:t>
      </w:r>
      <w:r>
        <w:rPr>
          <w:rFonts w:ascii="宋体" w:hAnsi="宋体" w:cs="宋体" w:eastAsia="宋体" w:hint="default"/>
          <w:spacing w:val="-53"/>
        </w:rPr>
        <w:t> </w:t>
      </w:r>
      <w:r>
        <w:rPr/>
        <w:t>年度股东大会，审议通过了《公司董事会关于提名公司第七届董事会董事及独立董事的议案》，李绍唐不再担任</w:t>
      </w:r>
      <w:r>
        <w:rPr>
          <w:w w:val="100"/>
        </w:rPr>
        <w:t> </w:t>
      </w:r>
      <w:r>
        <w:rPr/>
        <w:t>公司第七届董事会独立董事。</w:t>
      </w:r>
    </w:p>
    <w:p>
      <w:pPr>
        <w:pStyle w:val="BodyText"/>
        <w:spacing w:line="357" w:lineRule="auto" w:before="154"/>
        <w:ind w:left="224" w:right="0"/>
        <w:jc w:val="left"/>
      </w:pPr>
      <w:r>
        <w:rPr/>
        <w:t>注</w:t>
      </w:r>
      <w:r>
        <w:rPr>
          <w:spacing w:val="-54"/>
        </w:rPr>
        <w:t> </w:t>
      </w:r>
      <w:r>
        <w:rPr>
          <w:rFonts w:ascii="宋体" w:hAnsi="宋体" w:cs="宋体" w:eastAsia="宋体" w:hint="default"/>
        </w:rPr>
        <w:t>2</w:t>
      </w:r>
      <w:r>
        <w:rPr>
          <w:rFonts w:ascii="宋体" w:hAnsi="宋体" w:cs="宋体" w:eastAsia="宋体" w:hint="default"/>
          <w:spacing w:val="-52"/>
        </w:rPr>
        <w:t> </w:t>
      </w:r>
      <w:r>
        <w:rPr/>
        <w:t>公司于</w:t>
      </w:r>
      <w:r>
        <w:rPr>
          <w:spacing w:val="-52"/>
        </w:rPr>
        <w:t> </w:t>
      </w:r>
      <w:r>
        <w:rPr>
          <w:rFonts w:ascii="宋体" w:hAnsi="宋体" w:cs="宋体" w:eastAsia="宋体" w:hint="default"/>
        </w:rPr>
        <w:t>2017</w:t>
      </w:r>
      <w:r>
        <w:rPr>
          <w:rFonts w:ascii="宋体" w:hAnsi="宋体" w:cs="宋体" w:eastAsia="宋体" w:hint="default"/>
          <w:spacing w:val="-55"/>
        </w:rPr>
        <w:t> </w:t>
      </w:r>
      <w:r>
        <w:rPr/>
        <w:t>年</w:t>
      </w:r>
      <w:r>
        <w:rPr>
          <w:spacing w:val="-55"/>
        </w:rPr>
        <w:t> </w:t>
      </w:r>
      <w:r>
        <w:rPr>
          <w:rFonts w:ascii="宋体" w:hAnsi="宋体" w:cs="宋体" w:eastAsia="宋体" w:hint="default"/>
        </w:rPr>
        <w:t>1</w:t>
      </w:r>
      <w:r>
        <w:rPr>
          <w:rFonts w:ascii="宋体" w:hAnsi="宋体" w:cs="宋体" w:eastAsia="宋体" w:hint="default"/>
          <w:spacing w:val="-55"/>
        </w:rPr>
        <w:t> </w:t>
      </w:r>
      <w:r>
        <w:rPr/>
        <w:t>月</w:t>
      </w:r>
      <w:r>
        <w:rPr>
          <w:spacing w:val="-52"/>
        </w:rPr>
        <w:t> </w:t>
      </w:r>
      <w:r>
        <w:rPr>
          <w:rFonts w:ascii="宋体" w:hAnsi="宋体" w:cs="宋体" w:eastAsia="宋体" w:hint="default"/>
        </w:rPr>
        <w:t>19</w:t>
      </w:r>
      <w:r>
        <w:rPr>
          <w:rFonts w:ascii="宋体" w:hAnsi="宋体" w:cs="宋体" w:eastAsia="宋体" w:hint="default"/>
          <w:spacing w:val="-52"/>
        </w:rPr>
        <w:t> </w:t>
      </w:r>
      <w:r>
        <w:rPr/>
        <w:t>日召开第六届董事会第五十四次会议，审议通过了《公司关于调整部分高级管理人员的议案》，公司决定免去季学庆先生的</w:t>
      </w:r>
      <w:r>
        <w:rPr>
          <w:w w:val="100"/>
        </w:rPr>
        <w:t> </w:t>
      </w:r>
      <w:r>
        <w:rPr/>
        <w:t>高级副总裁职务。</w:t>
      </w:r>
    </w:p>
    <w:p>
      <w:pPr>
        <w:pStyle w:val="BodyText"/>
        <w:spacing w:line="240" w:lineRule="auto" w:before="150"/>
        <w:ind w:left="224" w:right="0"/>
        <w:jc w:val="left"/>
      </w:pPr>
      <w:r>
        <w:rPr/>
        <w:t>注</w:t>
      </w:r>
      <w:r>
        <w:rPr>
          <w:spacing w:val="-54"/>
        </w:rPr>
        <w:t> </w:t>
      </w:r>
      <w:r>
        <w:rPr>
          <w:rFonts w:ascii="宋体" w:hAnsi="宋体" w:cs="宋体" w:eastAsia="宋体" w:hint="default"/>
        </w:rPr>
        <w:t>3</w:t>
      </w:r>
      <w:r>
        <w:rPr>
          <w:rFonts w:ascii="宋体" w:hAnsi="宋体" w:cs="宋体" w:eastAsia="宋体" w:hint="default"/>
          <w:spacing w:val="-55"/>
        </w:rPr>
        <w:t> </w:t>
      </w:r>
      <w:r>
        <w:rPr/>
        <w:t>任期至公司</w:t>
      </w:r>
      <w:r>
        <w:rPr>
          <w:spacing w:val="-55"/>
        </w:rPr>
        <w:t> </w:t>
      </w:r>
      <w:r>
        <w:rPr>
          <w:rFonts w:ascii="宋体" w:hAnsi="宋体" w:cs="宋体" w:eastAsia="宋体" w:hint="default"/>
        </w:rPr>
        <w:t>2019</w:t>
      </w:r>
      <w:r>
        <w:rPr>
          <w:rFonts w:ascii="宋体" w:hAnsi="宋体" w:cs="宋体" w:eastAsia="宋体" w:hint="default"/>
          <w:spacing w:val="-55"/>
        </w:rPr>
        <w:t> </w:t>
      </w:r>
      <w:r>
        <w:rPr/>
        <w:t>年年度股东大会选举出新一届董事会、监事会之日止。</w:t>
      </w:r>
    </w:p>
    <w:p>
      <w:pPr>
        <w:pStyle w:val="BodyText"/>
        <w:spacing w:line="240" w:lineRule="auto" w:before="133"/>
        <w:ind w:left="224" w:right="0"/>
        <w:jc w:val="left"/>
      </w:pPr>
      <w:r>
        <w:rPr/>
        <w:t>注</w:t>
      </w:r>
      <w:r>
        <w:rPr>
          <w:spacing w:val="-54"/>
        </w:rPr>
        <w:t> </w:t>
      </w:r>
      <w:r>
        <w:rPr>
          <w:rFonts w:ascii="宋体" w:hAnsi="宋体" w:cs="宋体" w:eastAsia="宋体" w:hint="default"/>
        </w:rPr>
        <w:t>4</w:t>
      </w:r>
      <w:r>
        <w:rPr>
          <w:rFonts w:ascii="宋体" w:hAnsi="宋体" w:cs="宋体" w:eastAsia="宋体" w:hint="default"/>
          <w:spacing w:val="-55"/>
        </w:rPr>
        <w:t> </w:t>
      </w:r>
      <w:r>
        <w:rPr/>
        <w:t>任期至公司</w:t>
      </w:r>
      <w:r>
        <w:rPr>
          <w:spacing w:val="-55"/>
        </w:rPr>
        <w:t> </w:t>
      </w:r>
      <w:r>
        <w:rPr>
          <w:rFonts w:ascii="宋体" w:hAnsi="宋体" w:cs="宋体" w:eastAsia="宋体" w:hint="default"/>
        </w:rPr>
        <w:t>2019</w:t>
      </w:r>
      <w:r>
        <w:rPr>
          <w:rFonts w:ascii="宋体" w:hAnsi="宋体" w:cs="宋体" w:eastAsia="宋体" w:hint="default"/>
          <w:spacing w:val="-55"/>
        </w:rPr>
        <w:t> </w:t>
      </w:r>
      <w:r>
        <w:rPr/>
        <w:t>年年度股东大会选举出的新一届董事会聘任公司高级管理人员之日止。</w:t>
      </w:r>
    </w:p>
    <w:p>
      <w:pPr>
        <w:spacing w:after="0" w:line="240" w:lineRule="auto"/>
        <w:jc w:val="left"/>
        <w:sectPr>
          <w:pgSz w:w="16840" w:h="11910" w:orient="landscape"/>
          <w:pgMar w:header="855" w:footer="1195" w:top="1280" w:bottom="1380" w:left="1300" w:right="1200"/>
        </w:sectPr>
      </w:pPr>
    </w:p>
    <w:tbl>
      <w:tblPr>
        <w:tblW w:w="0" w:type="auto"/>
        <w:jc w:val="left"/>
        <w:tblInd w:w="111" w:type="dxa"/>
        <w:tblLayout w:type="fixed"/>
        <w:tblCellMar>
          <w:top w:w="0" w:type="dxa"/>
          <w:left w:w="0" w:type="dxa"/>
          <w:bottom w:w="0" w:type="dxa"/>
          <w:right w:w="0" w:type="dxa"/>
        </w:tblCellMar>
        <w:tblLook w:val="01E0"/>
      </w:tblPr>
      <w:tblGrid>
        <w:gridCol w:w="1371"/>
        <w:gridCol w:w="12494"/>
      </w:tblGrid>
      <w:tr>
        <w:trPr>
          <w:trHeight w:val="290" w:hRule="exact"/>
        </w:trPr>
        <w:tc>
          <w:tcPr>
            <w:tcW w:w="1371" w:type="dxa"/>
            <w:tcBorders>
              <w:top w:val="single" w:sz="10"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12494" w:type="dxa"/>
            <w:tcBorders>
              <w:top w:val="single" w:sz="10"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hAnsi="宋体" w:cs="宋体" w:eastAsia="宋体" w:hint="default"/>
                <w:sz w:val="21"/>
                <w:szCs w:val="21"/>
              </w:rPr>
              <w:t>主要工作经历</w:t>
            </w:r>
          </w:p>
        </w:tc>
      </w:tr>
      <w:tr>
        <w:trPr>
          <w:trHeight w:val="828"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1"/>
                <w:sz w:val="21"/>
                <w:szCs w:val="21"/>
              </w:rPr>
              <w:t>董事长兼总裁王文京先生，</w:t>
            </w:r>
            <w:r>
              <w:rPr>
                <w:rFonts w:ascii="宋体" w:hAnsi="宋体" w:cs="宋体" w:eastAsia="宋体" w:hint="default"/>
                <w:spacing w:val="-1"/>
                <w:sz w:val="21"/>
                <w:szCs w:val="21"/>
              </w:rPr>
              <w:t>1988</w:t>
            </w:r>
            <w:r>
              <w:rPr>
                <w:rFonts w:ascii="宋体" w:hAnsi="宋体" w:cs="宋体" w:eastAsia="宋体" w:hint="default"/>
                <w:spacing w:val="83"/>
                <w:sz w:val="21"/>
                <w:szCs w:val="21"/>
              </w:rPr>
              <w:t> </w:t>
            </w:r>
            <w:r>
              <w:rPr>
                <w:rFonts w:ascii="宋体" w:hAnsi="宋体" w:cs="宋体" w:eastAsia="宋体" w:hint="default"/>
                <w:spacing w:val="-2"/>
                <w:sz w:val="21"/>
                <w:szCs w:val="21"/>
              </w:rPr>
              <w:t>年创建用友公司，曾任公司董事长、总裁等职务，目前还担任畅捷通信息技术股份有限公司董事长、</w:t>
            </w:r>
          </w:p>
          <w:p>
            <w:pPr>
              <w:pStyle w:val="TableParagraph"/>
              <w:spacing w:line="272" w:lineRule="exact" w:before="27"/>
              <w:ind w:left="103" w:right="106"/>
              <w:jc w:val="left"/>
              <w:rPr>
                <w:rFonts w:ascii="宋体" w:hAnsi="宋体" w:cs="宋体" w:eastAsia="宋体" w:hint="default"/>
                <w:sz w:val="21"/>
                <w:szCs w:val="21"/>
              </w:rPr>
            </w:pPr>
            <w:r>
              <w:rPr>
                <w:rFonts w:ascii="宋体" w:hAnsi="宋体" w:cs="宋体" w:eastAsia="宋体" w:hint="default"/>
                <w:sz w:val="21"/>
                <w:szCs w:val="21"/>
              </w:rPr>
              <w:t>北京用友政务软件有限公司董事长、厦门用友烟草软件有限责任公司董事长、用友汽车信息科技（上海）股份有限公司董事长、新道</w:t>
            </w:r>
            <w:r>
              <w:rPr>
                <w:rFonts w:ascii="宋体" w:hAnsi="宋体" w:cs="宋体" w:eastAsia="宋体" w:hint="default"/>
                <w:spacing w:val="-14"/>
                <w:sz w:val="21"/>
                <w:szCs w:val="21"/>
              </w:rPr>
              <w:t> </w:t>
            </w:r>
            <w:r>
              <w:rPr>
                <w:rFonts w:ascii="宋体" w:hAnsi="宋体" w:cs="宋体" w:eastAsia="宋体" w:hint="default"/>
                <w:spacing w:val="-14"/>
                <w:sz w:val="21"/>
                <w:szCs w:val="21"/>
              </w:rPr>
            </w:r>
            <w:r>
              <w:rPr>
                <w:rFonts w:ascii="宋体" w:hAnsi="宋体" w:cs="宋体" w:eastAsia="宋体" w:hint="default"/>
                <w:sz w:val="21"/>
                <w:szCs w:val="21"/>
              </w:rPr>
              <w:t>科技股份有限公司董事长等职务。</w:t>
            </w:r>
          </w:p>
        </w:tc>
      </w:tr>
      <w:tr>
        <w:trPr>
          <w:trHeight w:val="826"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郭新平</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副董事长郭新平先生，民建十一届中央委员，</w:t>
            </w:r>
            <w:r>
              <w:rPr>
                <w:rFonts w:ascii="宋体" w:hAnsi="宋体" w:cs="宋体" w:eastAsia="宋体" w:hint="default"/>
                <w:spacing w:val="-2"/>
                <w:sz w:val="21"/>
                <w:szCs w:val="21"/>
              </w:rPr>
              <w:t>1989</w:t>
            </w:r>
            <w:r>
              <w:rPr>
                <w:rFonts w:ascii="宋体" w:hAnsi="宋体" w:cs="宋体" w:eastAsia="宋体" w:hint="default"/>
                <w:spacing w:val="99"/>
                <w:sz w:val="21"/>
                <w:szCs w:val="21"/>
              </w:rPr>
              <w:t> </w:t>
            </w:r>
            <w:r>
              <w:rPr>
                <w:rFonts w:ascii="宋体" w:hAnsi="宋体" w:cs="宋体" w:eastAsia="宋体" w:hint="default"/>
                <w:spacing w:val="-2"/>
                <w:sz w:val="21"/>
                <w:szCs w:val="21"/>
              </w:rPr>
              <w:t>年加入用友，曾任公司副董事长、总裁、财务总监等职务，目前还担任畅捷通信息</w:t>
            </w:r>
          </w:p>
          <w:p>
            <w:pPr>
              <w:pStyle w:val="TableParagraph"/>
              <w:spacing w:line="240" w:lineRule="auto"/>
              <w:ind w:left="103" w:right="101"/>
              <w:jc w:val="left"/>
              <w:rPr>
                <w:rFonts w:ascii="宋体" w:hAnsi="宋体" w:cs="宋体" w:eastAsia="宋体" w:hint="default"/>
                <w:sz w:val="21"/>
                <w:szCs w:val="21"/>
              </w:rPr>
            </w:pPr>
            <w:r>
              <w:rPr>
                <w:rFonts w:ascii="宋体" w:hAnsi="宋体" w:cs="宋体" w:eastAsia="宋体" w:hint="default"/>
                <w:sz w:val="21"/>
                <w:szCs w:val="21"/>
              </w:rPr>
              <w:t>技术股份有限公司监事会主席、北京用友政务软件有限公司董事、厦门用友烟草软件有限责任公司董事、用友医疗卫生信息系统有限</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sz w:val="21"/>
                <w:szCs w:val="21"/>
              </w:rPr>
              <w:t>公司监事、用友移动通信技术服务有限公司司董事长、北京用友幸福投资管理有限公司监事等职务。</w:t>
            </w:r>
          </w:p>
        </w:tc>
      </w:tr>
      <w:tr>
        <w:trPr>
          <w:trHeight w:val="829"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董事吴政平先生，</w:t>
            </w:r>
            <w:r>
              <w:rPr>
                <w:rFonts w:ascii="宋体" w:hAnsi="宋体" w:cs="宋体" w:eastAsia="宋体" w:hint="default"/>
                <w:spacing w:val="-2"/>
                <w:sz w:val="21"/>
                <w:szCs w:val="21"/>
              </w:rPr>
              <w:t>1992</w:t>
            </w:r>
            <w:r>
              <w:rPr>
                <w:rFonts w:ascii="宋体" w:hAnsi="宋体" w:cs="宋体" w:eastAsia="宋体" w:hint="default"/>
                <w:spacing w:val="98"/>
                <w:sz w:val="21"/>
                <w:szCs w:val="21"/>
              </w:rPr>
              <w:t> </w:t>
            </w:r>
            <w:r>
              <w:rPr>
                <w:rFonts w:ascii="宋体" w:hAnsi="宋体" w:cs="宋体" w:eastAsia="宋体" w:hint="default"/>
                <w:spacing w:val="-2"/>
                <w:sz w:val="21"/>
                <w:szCs w:val="21"/>
              </w:rPr>
              <w:t>年加入用友，曾任公司董事、执行副总裁、高级副总裁、财务总监和行政总监等职务，目前还担任畅捷通信息</w:t>
            </w:r>
          </w:p>
          <w:p>
            <w:pPr>
              <w:pStyle w:val="TableParagraph"/>
              <w:spacing w:line="272" w:lineRule="exact" w:before="27"/>
              <w:ind w:left="103" w:right="106"/>
              <w:jc w:val="left"/>
              <w:rPr>
                <w:rFonts w:ascii="宋体" w:hAnsi="宋体" w:cs="宋体" w:eastAsia="宋体" w:hint="default"/>
                <w:sz w:val="21"/>
                <w:szCs w:val="21"/>
              </w:rPr>
            </w:pPr>
            <w:r>
              <w:rPr>
                <w:rFonts w:ascii="宋体" w:hAnsi="宋体" w:cs="宋体" w:eastAsia="宋体" w:hint="default"/>
                <w:sz w:val="21"/>
                <w:szCs w:val="21"/>
              </w:rPr>
              <w:t>技术股份有限公司董事、北京用友政务软件有限公司董事、厦门用友烟草软件有限责任公司董事、用友医疗卫生信息系统有限公司执</w:t>
            </w:r>
            <w:r>
              <w:rPr>
                <w:rFonts w:ascii="宋体" w:hAnsi="宋体" w:cs="宋体" w:eastAsia="宋体" w:hint="default"/>
                <w:spacing w:val="-14"/>
                <w:sz w:val="21"/>
                <w:szCs w:val="21"/>
              </w:rPr>
              <w:t> </w:t>
            </w:r>
            <w:r>
              <w:rPr>
                <w:rFonts w:ascii="宋体" w:hAnsi="宋体" w:cs="宋体" w:eastAsia="宋体" w:hint="default"/>
                <w:spacing w:val="-14"/>
                <w:sz w:val="21"/>
                <w:szCs w:val="21"/>
              </w:rPr>
            </w:r>
            <w:r>
              <w:rPr>
                <w:rFonts w:ascii="宋体" w:hAnsi="宋体" w:cs="宋体" w:eastAsia="宋体" w:hint="default"/>
                <w:sz w:val="21"/>
                <w:szCs w:val="21"/>
              </w:rPr>
              <w:t>行董事、北京用友审计软件有限公司监事、北京用友幸福投资管理有限公司执行董事等职务。</w:t>
            </w:r>
          </w:p>
        </w:tc>
      </w:tr>
      <w:tr>
        <w:trPr>
          <w:trHeight w:val="55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李绍唐</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独立董事李绍唐先生，曾任 </w:t>
            </w:r>
            <w:r>
              <w:rPr>
                <w:rFonts w:ascii="宋体" w:hAnsi="宋体" w:cs="宋体" w:eastAsia="宋体" w:hint="default"/>
                <w:sz w:val="21"/>
                <w:szCs w:val="21"/>
              </w:rPr>
              <w:t>IBM</w:t>
            </w:r>
            <w:r>
              <w:rPr>
                <w:rFonts w:ascii="宋体" w:hAnsi="宋体" w:cs="宋体" w:eastAsia="宋体" w:hint="default"/>
                <w:spacing w:val="-20"/>
                <w:sz w:val="21"/>
                <w:szCs w:val="21"/>
              </w:rPr>
              <w:t> </w:t>
            </w:r>
            <w:r>
              <w:rPr>
                <w:rFonts w:ascii="宋体" w:hAnsi="宋体" w:cs="宋体" w:eastAsia="宋体" w:hint="default"/>
                <w:sz w:val="21"/>
                <w:szCs w:val="21"/>
              </w:rPr>
              <w:t>台湾分公司协理，北京甲骨文软件系统有限公司华东暨华西区董事总经理，中国多普达通讯有限公司</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首席执行官兼总裁，连营科技股份有限公司总经理，晶赞光电股份有限公司首席执行官，</w:t>
            </w:r>
            <w:r>
              <w:rPr>
                <w:rFonts w:ascii="宋体" w:hAnsi="宋体" w:cs="宋体" w:eastAsia="宋体" w:hint="default"/>
                <w:spacing w:val="-2"/>
                <w:sz w:val="21"/>
                <w:szCs w:val="21"/>
              </w:rPr>
              <w:t>1111</w:t>
            </w:r>
            <w:r>
              <w:rPr>
                <w:rFonts w:ascii="宋体" w:hAnsi="宋体" w:cs="宋体" w:eastAsia="宋体" w:hint="default"/>
                <w:spacing w:val="53"/>
                <w:sz w:val="21"/>
                <w:szCs w:val="21"/>
              </w:rPr>
              <w:t> </w:t>
            </w:r>
            <w:r>
              <w:rPr>
                <w:rFonts w:ascii="宋体" w:hAnsi="宋体" w:cs="宋体" w:eastAsia="宋体" w:hint="default"/>
                <w:spacing w:val="-2"/>
                <w:sz w:val="21"/>
                <w:szCs w:val="21"/>
              </w:rPr>
              <w:t>人力银行执行长（</w:t>
            </w:r>
            <w:r>
              <w:rPr>
                <w:rFonts w:ascii="宋体" w:hAnsi="宋体" w:cs="宋体" w:eastAsia="宋体" w:hint="default"/>
                <w:spacing w:val="-2"/>
                <w:sz w:val="21"/>
                <w:szCs w:val="21"/>
              </w:rPr>
              <w:t>CEO</w:t>
            </w:r>
            <w:r>
              <w:rPr>
                <w:rFonts w:ascii="宋体" w:hAnsi="宋体" w:cs="宋体" w:eastAsia="宋体" w:hint="default"/>
                <w:spacing w:val="-2"/>
                <w:sz w:val="21"/>
                <w:szCs w:val="21"/>
              </w:rPr>
              <w:t>）等职务。</w:t>
            </w:r>
          </w:p>
        </w:tc>
      </w:tr>
      <w:tr>
        <w:trPr>
          <w:trHeight w:val="137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黄锦辉</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独立董事黄锦辉先生，</w:t>
            </w:r>
            <w:r>
              <w:rPr>
                <w:rFonts w:ascii="宋体" w:hAnsi="宋体" w:cs="宋体" w:eastAsia="宋体" w:hint="default"/>
                <w:sz w:val="21"/>
                <w:szCs w:val="21"/>
              </w:rPr>
              <w:t>1964</w:t>
            </w:r>
            <w:r>
              <w:rPr>
                <w:rFonts w:ascii="宋体" w:hAnsi="宋体" w:cs="宋体" w:eastAsia="宋体" w:hint="default"/>
                <w:spacing w:val="-37"/>
                <w:sz w:val="21"/>
                <w:szCs w:val="21"/>
              </w:rPr>
              <w:t> </w:t>
            </w:r>
            <w:r>
              <w:rPr>
                <w:rFonts w:ascii="宋体" w:hAnsi="宋体" w:cs="宋体" w:eastAsia="宋体" w:hint="default"/>
                <w:sz w:val="21"/>
                <w:szCs w:val="21"/>
              </w:rPr>
              <w:t>年</w:t>
            </w:r>
            <w:r>
              <w:rPr>
                <w:rFonts w:ascii="宋体" w:hAnsi="宋体" w:cs="宋体" w:eastAsia="宋体" w:hint="default"/>
                <w:spacing w:val="-37"/>
                <w:sz w:val="21"/>
                <w:szCs w:val="21"/>
              </w:rPr>
              <w:t> </w:t>
            </w:r>
            <w:r>
              <w:rPr>
                <w:rFonts w:ascii="宋体" w:hAnsi="宋体" w:cs="宋体" w:eastAsia="宋体" w:hint="default"/>
                <w:sz w:val="21"/>
                <w:szCs w:val="21"/>
              </w:rPr>
              <w:t>10</w:t>
            </w:r>
            <w:r>
              <w:rPr>
                <w:rFonts w:ascii="宋体" w:hAnsi="宋体" w:cs="宋体" w:eastAsia="宋体" w:hint="default"/>
                <w:spacing w:val="-37"/>
                <w:sz w:val="21"/>
                <w:szCs w:val="21"/>
              </w:rPr>
              <w:t> </w:t>
            </w:r>
            <w:r>
              <w:rPr>
                <w:rFonts w:ascii="宋体" w:hAnsi="宋体" w:cs="宋体" w:eastAsia="宋体" w:hint="default"/>
                <w:spacing w:val="-3"/>
                <w:sz w:val="21"/>
                <w:szCs w:val="21"/>
              </w:rPr>
              <w:t>月出生，工商管理博士学位，澳大利亚资深注册会计师、国际注册管理咨询师、中国注册会计师、中</w:t>
            </w:r>
          </w:p>
          <w:p>
            <w:pPr>
              <w:pStyle w:val="TableParagraph"/>
              <w:spacing w:line="237" w:lineRule="auto" w:before="2"/>
              <w:ind w:left="103" w:right="96"/>
              <w:jc w:val="both"/>
              <w:rPr>
                <w:rFonts w:ascii="宋体" w:hAnsi="宋体" w:cs="宋体" w:eastAsia="宋体" w:hint="default"/>
                <w:sz w:val="21"/>
                <w:szCs w:val="21"/>
              </w:rPr>
            </w:pPr>
            <w:r>
              <w:rPr>
                <w:rFonts w:ascii="宋体" w:hAnsi="宋体" w:cs="宋体" w:eastAsia="宋体" w:hint="default"/>
                <w:sz w:val="21"/>
                <w:szCs w:val="21"/>
              </w:rPr>
              <w:t>国注册资产评估师、中国注册税务师、高级会计师，同时具有司法鉴定资格。</w:t>
            </w:r>
            <w:r>
              <w:rPr>
                <w:rFonts w:ascii="宋体" w:hAnsi="宋体" w:cs="宋体" w:eastAsia="宋体" w:hint="default"/>
                <w:sz w:val="21"/>
                <w:szCs w:val="21"/>
              </w:rPr>
              <w:t>1983</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9</w:t>
            </w:r>
            <w:r>
              <w:rPr>
                <w:rFonts w:ascii="宋体" w:hAnsi="宋体" w:cs="宋体" w:eastAsia="宋体" w:hint="default"/>
                <w:spacing w:val="-57"/>
                <w:sz w:val="21"/>
                <w:szCs w:val="21"/>
              </w:rPr>
              <w:t> </w:t>
            </w:r>
            <w:r>
              <w:rPr>
                <w:rFonts w:ascii="宋体" w:hAnsi="宋体" w:cs="宋体" w:eastAsia="宋体" w:hint="default"/>
                <w:sz w:val="21"/>
                <w:szCs w:val="21"/>
              </w:rPr>
              <w:t>月</w:t>
            </w:r>
            <w:r>
              <w:rPr>
                <w:rFonts w:ascii="宋体" w:hAnsi="宋体" w:cs="宋体" w:eastAsia="宋体" w:hint="default"/>
                <w:sz w:val="21"/>
                <w:szCs w:val="21"/>
              </w:rPr>
              <w:t>-1993</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12</w:t>
            </w:r>
            <w:r>
              <w:rPr>
                <w:rFonts w:ascii="宋体" w:hAnsi="宋体" w:cs="宋体" w:eastAsia="宋体" w:hint="default"/>
                <w:spacing w:val="-57"/>
                <w:sz w:val="21"/>
                <w:szCs w:val="21"/>
              </w:rPr>
              <w:t> </w:t>
            </w:r>
            <w:r>
              <w:rPr>
                <w:rFonts w:ascii="宋体" w:hAnsi="宋体" w:cs="宋体" w:eastAsia="宋体" w:hint="default"/>
                <w:sz w:val="21"/>
                <w:szCs w:val="21"/>
              </w:rPr>
              <w:t>月先后在外经贸部、中国成套设</w:t>
            </w:r>
            <w:r>
              <w:rPr>
                <w:rFonts w:ascii="宋体" w:hAnsi="宋体" w:cs="宋体" w:eastAsia="宋体" w:hint="default"/>
                <w:w w:val="100"/>
                <w:sz w:val="21"/>
                <w:szCs w:val="21"/>
              </w:rPr>
              <w:t> </w:t>
            </w:r>
            <w:r>
              <w:rPr>
                <w:rFonts w:ascii="宋体" w:hAnsi="宋体" w:cs="宋体" w:eastAsia="宋体" w:hint="default"/>
                <w:sz w:val="21"/>
                <w:szCs w:val="21"/>
              </w:rPr>
              <w:t>备进出口</w:t>
            </w:r>
            <w:r>
              <w:rPr>
                <w:rFonts w:ascii="宋体" w:hAnsi="宋体" w:cs="宋体" w:eastAsia="宋体" w:hint="default"/>
                <w:sz w:val="21"/>
                <w:szCs w:val="21"/>
              </w:rPr>
              <w:t>(</w:t>
            </w:r>
            <w:r>
              <w:rPr>
                <w:rFonts w:ascii="宋体" w:hAnsi="宋体" w:cs="宋体" w:eastAsia="宋体" w:hint="default"/>
                <w:sz w:val="21"/>
                <w:szCs w:val="21"/>
              </w:rPr>
              <w:t>集团</w:t>
            </w:r>
            <w:r>
              <w:rPr>
                <w:rFonts w:ascii="宋体" w:hAnsi="宋体" w:cs="宋体" w:eastAsia="宋体" w:hint="default"/>
                <w:sz w:val="21"/>
                <w:szCs w:val="21"/>
              </w:rPr>
              <w:t>)</w:t>
            </w:r>
            <w:r>
              <w:rPr>
                <w:rFonts w:ascii="宋体" w:hAnsi="宋体" w:cs="宋体" w:eastAsia="宋体" w:hint="default"/>
                <w:sz w:val="21"/>
                <w:szCs w:val="21"/>
              </w:rPr>
              <w:t>总公司及其海外机构任职，</w:t>
            </w:r>
            <w:r>
              <w:rPr>
                <w:rFonts w:ascii="宋体" w:hAnsi="宋体" w:cs="宋体" w:eastAsia="宋体" w:hint="default"/>
                <w:sz w:val="21"/>
                <w:szCs w:val="21"/>
              </w:rPr>
              <w:t>1994</w:t>
            </w:r>
            <w:r>
              <w:rPr>
                <w:rFonts w:ascii="宋体" w:hAnsi="宋体" w:cs="宋体" w:eastAsia="宋体" w:hint="default"/>
                <w:spacing w:val="-41"/>
                <w:sz w:val="21"/>
                <w:szCs w:val="21"/>
              </w:rPr>
              <w:t> </w:t>
            </w:r>
            <w:r>
              <w:rPr>
                <w:rFonts w:ascii="宋体" w:hAnsi="宋体" w:cs="宋体" w:eastAsia="宋体" w:hint="default"/>
                <w:sz w:val="21"/>
                <w:szCs w:val="21"/>
              </w:rPr>
              <w:t>年</w:t>
            </w:r>
            <w:r>
              <w:rPr>
                <w:rFonts w:ascii="宋体" w:hAnsi="宋体" w:cs="宋体" w:eastAsia="宋体" w:hint="default"/>
                <w:spacing w:val="-44"/>
                <w:sz w:val="21"/>
                <w:szCs w:val="21"/>
              </w:rPr>
              <w:t> </w:t>
            </w:r>
            <w:r>
              <w:rPr>
                <w:rFonts w:ascii="宋体" w:hAnsi="宋体" w:cs="宋体" w:eastAsia="宋体" w:hint="default"/>
                <w:sz w:val="21"/>
                <w:szCs w:val="21"/>
              </w:rPr>
              <w:t>1</w:t>
            </w:r>
            <w:r>
              <w:rPr>
                <w:rFonts w:ascii="宋体" w:hAnsi="宋体" w:cs="宋体" w:eastAsia="宋体" w:hint="default"/>
                <w:spacing w:val="-41"/>
                <w:sz w:val="21"/>
                <w:szCs w:val="21"/>
              </w:rPr>
              <w:t> </w:t>
            </w:r>
            <w:r>
              <w:rPr>
                <w:rFonts w:ascii="宋体" w:hAnsi="宋体" w:cs="宋体" w:eastAsia="宋体" w:hint="default"/>
                <w:sz w:val="21"/>
                <w:szCs w:val="21"/>
              </w:rPr>
              <w:t>月加盟利安达会计师事务所有限责任公司，历任部门经理、副主任会计师、董事</w:t>
            </w:r>
            <w:r>
              <w:rPr>
                <w:rFonts w:ascii="宋体" w:hAnsi="宋体" w:cs="宋体" w:eastAsia="宋体" w:hint="default"/>
                <w:w w:val="100"/>
                <w:sz w:val="21"/>
                <w:szCs w:val="21"/>
              </w:rPr>
              <w:t> </w:t>
            </w:r>
            <w:r>
              <w:rPr>
                <w:rFonts w:ascii="宋体" w:hAnsi="宋体" w:cs="宋体" w:eastAsia="宋体" w:hint="default"/>
                <w:sz w:val="21"/>
                <w:szCs w:val="21"/>
              </w:rPr>
              <w:t>长兼主任会计师，现任利安达会计师事务所（特殊普通合伙）首席合伙人兼主任会计师，利安达国际董事局主席、董事长。现担任中</w:t>
            </w:r>
            <w:r>
              <w:rPr>
                <w:rFonts w:ascii="宋体" w:hAnsi="宋体" w:cs="宋体" w:eastAsia="宋体" w:hint="default"/>
                <w:spacing w:val="-14"/>
                <w:sz w:val="21"/>
                <w:szCs w:val="21"/>
              </w:rPr>
              <w:t> </w:t>
            </w:r>
            <w:r>
              <w:rPr>
                <w:rFonts w:ascii="宋体" w:hAnsi="宋体" w:cs="宋体" w:eastAsia="宋体" w:hint="default"/>
                <w:spacing w:val="-14"/>
                <w:sz w:val="21"/>
                <w:szCs w:val="21"/>
              </w:rPr>
            </w:r>
            <w:r>
              <w:rPr>
                <w:rFonts w:ascii="宋体" w:hAnsi="宋体" w:cs="宋体" w:eastAsia="宋体" w:hint="default"/>
                <w:sz w:val="21"/>
                <w:szCs w:val="21"/>
              </w:rPr>
              <w:t>华全国工商业联合会执委、中华民营企业联合会副会长、中国注册会计师协会理事等十多项社会职务。</w:t>
            </w:r>
          </w:p>
        </w:tc>
      </w:tr>
      <w:tr>
        <w:trPr>
          <w:trHeight w:val="826"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于扬</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1"/>
                <w:sz w:val="21"/>
                <w:szCs w:val="21"/>
              </w:rPr>
              <w:t>独立董事于扬先生，</w:t>
            </w:r>
            <w:r>
              <w:rPr>
                <w:rFonts w:ascii="宋体" w:hAnsi="宋体" w:cs="宋体" w:eastAsia="宋体" w:hint="default"/>
                <w:spacing w:val="-1"/>
                <w:sz w:val="21"/>
                <w:szCs w:val="21"/>
              </w:rPr>
              <w:t>1968</w:t>
            </w:r>
            <w:r>
              <w:rPr>
                <w:rFonts w:ascii="宋体" w:hAnsi="宋体" w:cs="宋体" w:eastAsia="宋体" w:hint="default"/>
                <w:spacing w:val="87"/>
                <w:sz w:val="21"/>
                <w:szCs w:val="21"/>
              </w:rPr>
              <w:t> </w:t>
            </w:r>
            <w:r>
              <w:rPr>
                <w:rFonts w:ascii="宋体" w:hAnsi="宋体" w:cs="宋体" w:eastAsia="宋体" w:hint="default"/>
                <w:spacing w:val="-2"/>
                <w:sz w:val="21"/>
                <w:szCs w:val="21"/>
              </w:rPr>
              <w:t>年出生，学士学位，现任北京易观网络信息咨询有限公司的董事长兼首席执行官，还任浙江日报报业集团学</w:t>
            </w:r>
          </w:p>
          <w:p>
            <w:pPr>
              <w:pStyle w:val="TableParagraph"/>
              <w:spacing w:line="240" w:lineRule="auto"/>
              <w:ind w:left="103" w:right="106"/>
              <w:jc w:val="left"/>
              <w:rPr>
                <w:rFonts w:ascii="宋体" w:hAnsi="宋体" w:cs="宋体" w:eastAsia="宋体" w:hint="default"/>
                <w:sz w:val="21"/>
                <w:szCs w:val="21"/>
              </w:rPr>
            </w:pPr>
            <w:r>
              <w:rPr>
                <w:rFonts w:ascii="宋体" w:hAnsi="宋体" w:cs="宋体" w:eastAsia="宋体" w:hint="default"/>
                <w:sz w:val="21"/>
                <w:szCs w:val="21"/>
              </w:rPr>
              <w:t>术委员会委员，爱心衣橱理事，中国科学院研究生青年发展关怀计划名誉导师，上海信息化企业协会发起人，亚杰商会创业导师，中</w:t>
            </w:r>
            <w:r>
              <w:rPr>
                <w:rFonts w:ascii="宋体" w:hAnsi="宋体" w:cs="宋体" w:eastAsia="宋体" w:hint="default"/>
                <w:spacing w:val="-14"/>
                <w:sz w:val="21"/>
                <w:szCs w:val="21"/>
              </w:rPr>
              <w:t> </w:t>
            </w:r>
            <w:r>
              <w:rPr>
                <w:rFonts w:ascii="宋体" w:hAnsi="宋体" w:cs="宋体" w:eastAsia="宋体" w:hint="default"/>
                <w:spacing w:val="-14"/>
                <w:sz w:val="21"/>
                <w:szCs w:val="21"/>
              </w:rPr>
            </w:r>
            <w:r>
              <w:rPr>
                <w:rFonts w:ascii="宋体" w:hAnsi="宋体" w:cs="宋体" w:eastAsia="宋体" w:hint="default"/>
                <w:sz w:val="21"/>
                <w:szCs w:val="21"/>
              </w:rPr>
              <w:t>关村金种子蒲公英孵化器创业导师，北京航空航天大学软件学院移动计算机专业指导专家等。</w:t>
            </w:r>
          </w:p>
        </w:tc>
      </w:tr>
      <w:tr>
        <w:trPr>
          <w:trHeight w:val="55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王贵亚</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独立董事王贵亚先生，</w:t>
            </w:r>
            <w:r>
              <w:rPr>
                <w:rFonts w:ascii="宋体" w:hAnsi="宋体" w:cs="宋体" w:eastAsia="宋体" w:hint="default"/>
                <w:spacing w:val="-2"/>
                <w:sz w:val="21"/>
                <w:szCs w:val="21"/>
              </w:rPr>
              <w:t>1964</w:t>
            </w:r>
            <w:r>
              <w:rPr>
                <w:rFonts w:ascii="宋体" w:hAnsi="宋体" w:cs="宋体" w:eastAsia="宋体" w:hint="default"/>
                <w:spacing w:val="98"/>
                <w:sz w:val="21"/>
                <w:szCs w:val="21"/>
              </w:rPr>
              <w:t> </w:t>
            </w:r>
            <w:r>
              <w:rPr>
                <w:rFonts w:ascii="宋体" w:hAnsi="宋体" w:cs="宋体" w:eastAsia="宋体" w:hint="default"/>
                <w:spacing w:val="-2"/>
                <w:sz w:val="21"/>
                <w:szCs w:val="21"/>
              </w:rPr>
              <w:t>年出生，硕士学位，现任北京昊翔资本管理有限公司董事长，还任中国财富管理五十人论坛副主席及中国</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法学会证券法学研究会副会长等。曾任中国建设银行股份有限公司投资理财总监，大连万达集团高级副总裁。</w:t>
            </w:r>
          </w:p>
        </w:tc>
      </w:tr>
      <w:tr>
        <w:trPr>
          <w:trHeight w:val="28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许建钢</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监事会主席许建钢先生，</w:t>
            </w:r>
            <w:r>
              <w:rPr>
                <w:rFonts w:ascii="宋体" w:hAnsi="宋体" w:cs="宋体" w:eastAsia="宋体" w:hint="default"/>
                <w:sz w:val="21"/>
                <w:szCs w:val="21"/>
              </w:rPr>
              <w:t>2001</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宋体" w:hAnsi="宋体" w:cs="宋体" w:eastAsia="宋体" w:hint="default"/>
                <w:sz w:val="21"/>
                <w:szCs w:val="21"/>
              </w:rPr>
              <w:t>5</w:t>
            </w:r>
            <w:r>
              <w:rPr>
                <w:rFonts w:ascii="宋体" w:hAnsi="宋体" w:cs="宋体" w:eastAsia="宋体" w:hint="default"/>
                <w:spacing w:val="-55"/>
                <w:sz w:val="21"/>
                <w:szCs w:val="21"/>
              </w:rPr>
              <w:t> </w:t>
            </w:r>
            <w:r>
              <w:rPr>
                <w:rFonts w:ascii="宋体" w:hAnsi="宋体" w:cs="宋体" w:eastAsia="宋体" w:hint="default"/>
                <w:sz w:val="21"/>
                <w:szCs w:val="21"/>
              </w:rPr>
              <w:t>月加入用友，曾任公司业务发展总监、产业发展总监、副总裁等职务。</w:t>
            </w:r>
          </w:p>
        </w:tc>
      </w:tr>
      <w:tr>
        <w:trPr>
          <w:trHeight w:val="55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章珂</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监事章珂先生，管理学博士，曾任公司副总裁、董事会秘书等职务，现任上海兰基斯软件有限公司执行董事、北京如临其境科技有限</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公司董事、上海爱都创意网络科技有限公司董事等职务。</w:t>
            </w:r>
          </w:p>
        </w:tc>
      </w:tr>
      <w:tr>
        <w:trPr>
          <w:trHeight w:val="829"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高志勇</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监事高志勇先生，经济学学士，注册会计师、注册税务师、高级会计师，曾任信诚会计师事务所董事长兼主任会计师、岳华会计师事</w:t>
            </w:r>
          </w:p>
          <w:p>
            <w:pPr>
              <w:pStyle w:val="TableParagraph"/>
              <w:spacing w:line="272" w:lineRule="exact" w:before="27"/>
              <w:ind w:left="103" w:right="106"/>
              <w:jc w:val="left"/>
              <w:rPr>
                <w:rFonts w:ascii="宋体" w:hAnsi="宋体" w:cs="宋体" w:eastAsia="宋体" w:hint="default"/>
                <w:sz w:val="21"/>
                <w:szCs w:val="21"/>
              </w:rPr>
            </w:pPr>
            <w:r>
              <w:rPr>
                <w:rFonts w:ascii="宋体" w:hAnsi="宋体" w:cs="宋体" w:eastAsia="宋体" w:hint="default"/>
                <w:sz w:val="21"/>
                <w:szCs w:val="21"/>
              </w:rPr>
              <w:t>务所税务合伙人、北青传媒股份有限公司独立监事，现任北京用友科技有限公司董事长助理、北京注册会计师协会专家委员会委员、</w:t>
            </w:r>
            <w:r>
              <w:rPr>
                <w:rFonts w:ascii="宋体" w:hAnsi="宋体" w:cs="宋体" w:eastAsia="宋体" w:hint="default"/>
                <w:spacing w:val="-14"/>
                <w:sz w:val="21"/>
                <w:szCs w:val="21"/>
              </w:rPr>
              <w:t> </w:t>
            </w:r>
            <w:r>
              <w:rPr>
                <w:rFonts w:ascii="宋体" w:hAnsi="宋体" w:cs="宋体" w:eastAsia="宋体" w:hint="default"/>
                <w:spacing w:val="-14"/>
                <w:sz w:val="21"/>
                <w:szCs w:val="21"/>
              </w:rPr>
            </w:r>
            <w:r>
              <w:rPr>
                <w:rFonts w:ascii="宋体" w:hAnsi="宋体" w:cs="宋体" w:eastAsia="宋体" w:hint="default"/>
                <w:sz w:val="21"/>
                <w:szCs w:val="21"/>
              </w:rPr>
              <w:t>中央国家机关政府采购中心评标委员、财政部企业内部控制标准委员会咨询专家、湘潭市政府特聘经济顾问等职务。</w:t>
            </w:r>
          </w:p>
        </w:tc>
      </w:tr>
      <w:tr>
        <w:trPr>
          <w:trHeight w:val="55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章培林</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财务总监章培林先生，</w:t>
            </w:r>
            <w:r>
              <w:rPr>
                <w:rFonts w:ascii="宋体" w:hAnsi="宋体" w:cs="宋体" w:eastAsia="宋体" w:hint="default"/>
                <w:sz w:val="21"/>
                <w:szCs w:val="21"/>
              </w:rPr>
              <w:t>2001</w:t>
            </w:r>
            <w:r>
              <w:rPr>
                <w:rFonts w:ascii="宋体" w:hAnsi="宋体" w:cs="宋体" w:eastAsia="宋体" w:hint="default"/>
                <w:spacing w:val="-25"/>
                <w:sz w:val="21"/>
                <w:szCs w:val="21"/>
              </w:rPr>
              <w:t> </w:t>
            </w:r>
            <w:r>
              <w:rPr>
                <w:rFonts w:ascii="宋体" w:hAnsi="宋体" w:cs="宋体" w:eastAsia="宋体" w:hint="default"/>
                <w:sz w:val="21"/>
                <w:szCs w:val="21"/>
              </w:rPr>
              <w:t>年加入用友，曾任公司副总经理、副总裁、高级副总裁、执行副总裁兼财务总监等职务。</w:t>
            </w:r>
            <w:r>
              <w:rPr>
                <w:rFonts w:ascii="宋体" w:hAnsi="宋体" w:cs="宋体" w:eastAsia="宋体" w:hint="default"/>
                <w:sz w:val="21"/>
                <w:szCs w:val="21"/>
              </w:rPr>
              <w:t>2016</w:t>
            </w:r>
            <w:r>
              <w:rPr>
                <w:rFonts w:ascii="宋体" w:hAnsi="宋体" w:cs="宋体" w:eastAsia="宋体" w:hint="default"/>
                <w:spacing w:val="-25"/>
                <w:sz w:val="21"/>
                <w:szCs w:val="21"/>
              </w:rPr>
              <w:t> </w:t>
            </w:r>
            <w:r>
              <w:rPr>
                <w:rFonts w:ascii="宋体" w:hAnsi="宋体" w:cs="宋体" w:eastAsia="宋体" w:hint="default"/>
                <w:sz w:val="21"/>
                <w:szCs w:val="21"/>
              </w:rPr>
              <w:t>年</w:t>
            </w:r>
            <w:r>
              <w:rPr>
                <w:rFonts w:ascii="宋体" w:hAnsi="宋体" w:cs="宋体" w:eastAsia="宋体" w:hint="default"/>
                <w:spacing w:val="-25"/>
                <w:sz w:val="21"/>
                <w:szCs w:val="21"/>
              </w:rPr>
              <w:t> </w:t>
            </w:r>
            <w:r>
              <w:rPr>
                <w:rFonts w:ascii="宋体" w:hAnsi="宋体" w:cs="宋体" w:eastAsia="宋体" w:hint="default"/>
                <w:sz w:val="21"/>
                <w:szCs w:val="21"/>
              </w:rPr>
              <w:t>1</w:t>
            </w:r>
            <w:r>
              <w:rPr>
                <w:rFonts w:ascii="宋体" w:hAnsi="宋体" w:cs="宋体" w:eastAsia="宋体" w:hint="default"/>
                <w:spacing w:val="-27"/>
                <w:sz w:val="21"/>
                <w:szCs w:val="21"/>
              </w:rPr>
              <w:t> </w:t>
            </w:r>
            <w:r>
              <w:rPr>
                <w:rFonts w:ascii="宋体" w:hAnsi="宋体" w:cs="宋体" w:eastAsia="宋体" w:hint="default"/>
                <w:sz w:val="21"/>
                <w:szCs w:val="21"/>
              </w:rPr>
              <w:t>月</w:t>
            </w:r>
            <w:r>
              <w:rPr>
                <w:rFonts w:ascii="宋体" w:hAnsi="宋体" w:cs="宋体" w:eastAsia="宋体" w:hint="default"/>
                <w:spacing w:val="-25"/>
                <w:sz w:val="21"/>
                <w:szCs w:val="21"/>
              </w:rPr>
              <w:t> </w:t>
            </w:r>
            <w:r>
              <w:rPr>
                <w:rFonts w:ascii="宋体" w:hAnsi="宋体" w:cs="宋体" w:eastAsia="宋体" w:hint="default"/>
                <w:sz w:val="21"/>
                <w:szCs w:val="21"/>
              </w:rPr>
              <w:t>15</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日公司召开第六届董事会第三十二次会议，聘任章培林先生为公司财务总监。</w:t>
            </w:r>
          </w:p>
        </w:tc>
      </w:tr>
      <w:tr>
        <w:trPr>
          <w:trHeight w:val="28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严绍业</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高级副总裁严绍业先生，</w:t>
            </w:r>
            <w:r>
              <w:rPr>
                <w:rFonts w:ascii="宋体" w:hAnsi="宋体" w:cs="宋体" w:eastAsia="宋体" w:hint="default"/>
                <w:sz w:val="21"/>
                <w:szCs w:val="21"/>
              </w:rPr>
              <w:t>1963</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宋体" w:hAnsi="宋体" w:cs="宋体" w:eastAsia="宋体" w:hint="default"/>
                <w:sz w:val="21"/>
                <w:szCs w:val="21"/>
              </w:rPr>
              <w:t>8</w:t>
            </w:r>
            <w:r>
              <w:rPr>
                <w:rFonts w:ascii="宋体" w:hAnsi="宋体" w:cs="宋体" w:eastAsia="宋体" w:hint="default"/>
                <w:spacing w:val="-56"/>
                <w:sz w:val="21"/>
                <w:szCs w:val="21"/>
              </w:rPr>
              <w:t> </w:t>
            </w:r>
            <w:r>
              <w:rPr>
                <w:rFonts w:ascii="宋体" w:hAnsi="宋体" w:cs="宋体" w:eastAsia="宋体" w:hint="default"/>
                <w:sz w:val="21"/>
                <w:szCs w:val="21"/>
              </w:rPr>
              <w:t>月出生，经济学硕士。</w:t>
            </w:r>
            <w:r>
              <w:rPr>
                <w:rFonts w:ascii="宋体" w:hAnsi="宋体" w:cs="宋体" w:eastAsia="宋体" w:hint="default"/>
                <w:sz w:val="21"/>
                <w:szCs w:val="21"/>
              </w:rPr>
              <w:t>2003</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1</w:t>
            </w:r>
            <w:r>
              <w:rPr>
                <w:rFonts w:ascii="宋体" w:hAnsi="宋体" w:cs="宋体" w:eastAsia="宋体" w:hint="default"/>
                <w:spacing w:val="-58"/>
                <w:sz w:val="21"/>
                <w:szCs w:val="21"/>
              </w:rPr>
              <w:t> </w:t>
            </w:r>
            <w:r>
              <w:rPr>
                <w:rFonts w:ascii="宋体" w:hAnsi="宋体" w:cs="宋体" w:eastAsia="宋体" w:hint="default"/>
                <w:sz w:val="21"/>
                <w:szCs w:val="21"/>
              </w:rPr>
              <w:t>月加入用友，曾任北京用友政务软件有限公司总经理、公司品牌总</w:t>
            </w:r>
          </w:p>
        </w:tc>
      </w:tr>
    </w:tbl>
    <w:p>
      <w:pPr>
        <w:rPr>
          <w:sz w:val="2"/>
          <w:szCs w:val="2"/>
        </w:rPr>
      </w:pPr>
      <w:r>
        <w:rPr/>
        <w:pict>
          <v:group style="position:absolute;margin-left:74.760002pt;margin-top:66.260010pt;width:696.6pt;height:.1pt;mso-position-horizontal-relative:page;mso-position-vertical-relative:page;z-index:-1046752" coordorigin="1495,1325" coordsize="13932,2">
            <v:shape style="position:absolute;left:1495;top:1325;width:13932;height:2" coordorigin="1495,1325" coordsize="13932,0" path="m1495,1325l15427,1325e" filled="false" stroked="true" strokeweight=".72pt" strokecolor="#000000">
              <v:path arrowok="t"/>
            </v:shape>
            <w10:wrap type="none"/>
          </v:group>
        </w:pict>
      </w:r>
    </w:p>
    <w:p>
      <w:pPr>
        <w:spacing w:after="0"/>
        <w:rPr>
          <w:sz w:val="2"/>
          <w:szCs w:val="2"/>
        </w:rPr>
        <w:sectPr>
          <w:pgSz w:w="16840" w:h="11910" w:orient="landscape"/>
          <w:pgMar w:header="855" w:footer="1195" w:top="1300" w:bottom="1380" w:left="1300" w:right="1300"/>
        </w:sectPr>
      </w:pPr>
    </w:p>
    <w:p>
      <w:pPr>
        <w:spacing w:line="240" w:lineRule="auto" w:before="1"/>
        <w:rPr>
          <w:rFonts w:ascii="宋体" w:hAnsi="宋体" w:cs="宋体" w:eastAsia="宋体" w:hint="default"/>
          <w:sz w:val="2"/>
          <w:szCs w:val="2"/>
        </w:rPr>
      </w:pPr>
    </w:p>
    <w:tbl>
      <w:tblPr>
        <w:tblW w:w="0" w:type="auto"/>
        <w:jc w:val="left"/>
        <w:tblInd w:w="111" w:type="dxa"/>
        <w:tblLayout w:type="fixed"/>
        <w:tblCellMar>
          <w:top w:w="0" w:type="dxa"/>
          <w:left w:w="0" w:type="dxa"/>
          <w:bottom w:w="0" w:type="dxa"/>
          <w:right w:w="0" w:type="dxa"/>
        </w:tblCellMar>
        <w:tblLook w:val="01E0"/>
      </w:tblPr>
      <w:tblGrid>
        <w:gridCol w:w="1371"/>
        <w:gridCol w:w="12494"/>
      </w:tblGrid>
      <w:tr>
        <w:trPr>
          <w:trHeight w:val="290" w:hRule="exact"/>
        </w:trPr>
        <w:tc>
          <w:tcPr>
            <w:tcW w:w="1371" w:type="dxa"/>
            <w:tcBorders>
              <w:top w:val="single" w:sz="10" w:space="0" w:color="000000"/>
              <w:left w:val="single" w:sz="4" w:space="0" w:color="000000"/>
              <w:bottom w:val="single" w:sz="4" w:space="0" w:color="000000"/>
              <w:right w:val="single" w:sz="4" w:space="0" w:color="000000"/>
            </w:tcBorders>
          </w:tcPr>
          <w:p>
            <w:pPr/>
          </w:p>
        </w:tc>
        <w:tc>
          <w:tcPr>
            <w:tcW w:w="12494" w:type="dxa"/>
            <w:tcBorders>
              <w:top w:val="single" w:sz="10"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监、公司监事、副总裁、高级副总裁等职务。</w:t>
            </w:r>
          </w:p>
        </w:tc>
      </w:tr>
      <w:tr>
        <w:trPr>
          <w:trHeight w:val="28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陈巧红</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高级副总裁陈巧红女士，</w:t>
            </w:r>
            <w:r>
              <w:rPr>
                <w:rFonts w:ascii="宋体" w:hAnsi="宋体" w:cs="宋体" w:eastAsia="宋体" w:hint="default"/>
                <w:spacing w:val="-2"/>
                <w:sz w:val="21"/>
                <w:szCs w:val="21"/>
              </w:rPr>
              <w:t>1992</w:t>
            </w:r>
            <w:r>
              <w:rPr>
                <w:rFonts w:ascii="宋体" w:hAnsi="宋体" w:cs="宋体" w:eastAsia="宋体" w:hint="default"/>
                <w:spacing w:val="52"/>
                <w:sz w:val="21"/>
                <w:szCs w:val="21"/>
              </w:rPr>
              <w:t> </w:t>
            </w:r>
            <w:r>
              <w:rPr>
                <w:rFonts w:ascii="宋体" w:hAnsi="宋体" w:cs="宋体" w:eastAsia="宋体" w:hint="default"/>
                <w:spacing w:val="-2"/>
                <w:sz w:val="21"/>
                <w:szCs w:val="21"/>
              </w:rPr>
              <w:t>年加入用友，曾任公司总裁助理兼政府及行业大客户总部总经理、副总裁、高级副总裁等职务。</w:t>
            </w:r>
          </w:p>
        </w:tc>
      </w:tr>
      <w:tr>
        <w:trPr>
          <w:trHeight w:val="281"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张纪雄</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高级副总裁张纪雄先生，</w:t>
            </w:r>
            <w:r>
              <w:rPr>
                <w:rFonts w:ascii="宋体" w:hAnsi="宋体" w:cs="宋体" w:eastAsia="宋体" w:hint="default"/>
                <w:spacing w:val="-2"/>
                <w:sz w:val="21"/>
                <w:szCs w:val="21"/>
              </w:rPr>
              <w:t>2003</w:t>
            </w:r>
            <w:r>
              <w:rPr>
                <w:rFonts w:ascii="宋体" w:hAnsi="宋体" w:cs="宋体" w:eastAsia="宋体" w:hint="default"/>
                <w:spacing w:val="49"/>
                <w:sz w:val="21"/>
                <w:szCs w:val="21"/>
              </w:rPr>
              <w:t> </w:t>
            </w:r>
            <w:r>
              <w:rPr>
                <w:rFonts w:ascii="宋体" w:hAnsi="宋体" w:cs="宋体" w:eastAsia="宋体" w:hint="default"/>
                <w:spacing w:val="-2"/>
                <w:sz w:val="21"/>
                <w:szCs w:val="21"/>
              </w:rPr>
              <w:t>年加入用友，曾任北京用友政务软件有限公司技术总监、副总裁、高级副总裁、总裁等职务。</w:t>
            </w:r>
          </w:p>
        </w:tc>
      </w:tr>
      <w:tr>
        <w:trPr>
          <w:trHeight w:val="28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欧阳青</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高级副总裁兼董事会秘书欧阳青先生，</w:t>
            </w:r>
            <w:r>
              <w:rPr>
                <w:rFonts w:ascii="宋体" w:hAnsi="宋体" w:cs="宋体" w:eastAsia="宋体" w:hint="default"/>
                <w:sz w:val="21"/>
                <w:szCs w:val="21"/>
              </w:rPr>
              <w:t>2003</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6"/>
                <w:sz w:val="21"/>
                <w:szCs w:val="21"/>
              </w:rPr>
              <w:t> </w:t>
            </w:r>
            <w:r>
              <w:rPr>
                <w:rFonts w:ascii="宋体" w:hAnsi="宋体" w:cs="宋体" w:eastAsia="宋体" w:hint="default"/>
                <w:sz w:val="21"/>
                <w:szCs w:val="21"/>
              </w:rPr>
              <w:t>月加入用友，曾任公司副总裁、高级副总裁、董事会秘书。</w:t>
            </w:r>
          </w:p>
        </w:tc>
      </w:tr>
      <w:tr>
        <w:trPr>
          <w:trHeight w:val="28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任志刚</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3"/>
              <w:jc w:val="left"/>
              <w:rPr>
                <w:rFonts w:ascii="宋体" w:hAnsi="宋体" w:cs="宋体" w:eastAsia="宋体" w:hint="default"/>
                <w:sz w:val="21"/>
                <w:szCs w:val="21"/>
              </w:rPr>
            </w:pPr>
            <w:r>
              <w:rPr>
                <w:rFonts w:ascii="宋体" w:hAnsi="宋体" w:cs="宋体" w:eastAsia="宋体" w:hint="default"/>
                <w:sz w:val="21"/>
                <w:szCs w:val="21"/>
              </w:rPr>
              <w:t>高级副总裁任志刚先生，</w:t>
            </w:r>
            <w:r>
              <w:rPr>
                <w:rFonts w:ascii="宋体" w:hAnsi="宋体" w:cs="宋体" w:eastAsia="宋体" w:hint="default"/>
                <w:sz w:val="21"/>
                <w:szCs w:val="21"/>
              </w:rPr>
              <w:t>1996</w:t>
            </w:r>
            <w:r>
              <w:rPr>
                <w:rFonts w:ascii="宋体" w:hAnsi="宋体" w:cs="宋体" w:eastAsia="宋体" w:hint="default"/>
                <w:spacing w:val="3"/>
                <w:sz w:val="21"/>
                <w:szCs w:val="21"/>
              </w:rPr>
              <w:t> </w:t>
            </w:r>
            <w:r>
              <w:rPr>
                <w:rFonts w:ascii="宋体" w:hAnsi="宋体" w:cs="宋体" w:eastAsia="宋体" w:hint="default"/>
                <w:spacing w:val="-3"/>
                <w:sz w:val="21"/>
                <w:szCs w:val="21"/>
              </w:rPr>
              <w:t>年加入用友，曾任公司地区市场代表、子公司总经理、山东区总经理、公司副总裁、高级副总裁等职务。</w:t>
            </w:r>
          </w:p>
        </w:tc>
      </w:tr>
      <w:tr>
        <w:trPr>
          <w:trHeight w:val="55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陈强兵</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执行总裁陈强兵先生，</w:t>
            </w:r>
            <w:r>
              <w:rPr>
                <w:rFonts w:ascii="宋体" w:hAnsi="宋体" w:cs="宋体" w:eastAsia="宋体" w:hint="default"/>
                <w:sz w:val="21"/>
                <w:szCs w:val="21"/>
              </w:rPr>
              <w:t>1976</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宋体" w:hAnsi="宋体" w:cs="宋体" w:eastAsia="宋体" w:hint="default"/>
                <w:sz w:val="21"/>
                <w:szCs w:val="21"/>
              </w:rPr>
              <w:t>9</w:t>
            </w:r>
            <w:r>
              <w:rPr>
                <w:rFonts w:ascii="宋体" w:hAnsi="宋体" w:cs="宋体" w:eastAsia="宋体" w:hint="default"/>
                <w:spacing w:val="-59"/>
                <w:sz w:val="21"/>
                <w:szCs w:val="21"/>
              </w:rPr>
              <w:t> </w:t>
            </w:r>
            <w:r>
              <w:rPr>
                <w:rFonts w:ascii="宋体" w:hAnsi="宋体" w:cs="宋体" w:eastAsia="宋体" w:hint="default"/>
                <w:sz w:val="21"/>
                <w:szCs w:val="21"/>
              </w:rPr>
              <w:t>月出生，学士。</w:t>
            </w:r>
            <w:r>
              <w:rPr>
                <w:rFonts w:ascii="宋体" w:hAnsi="宋体" w:cs="宋体" w:eastAsia="宋体" w:hint="default"/>
                <w:sz w:val="21"/>
                <w:szCs w:val="21"/>
              </w:rPr>
              <w:t>2000</w:t>
            </w:r>
            <w:r>
              <w:rPr>
                <w:rFonts w:ascii="宋体" w:hAnsi="宋体" w:cs="宋体" w:eastAsia="宋体" w:hint="default"/>
                <w:spacing w:val="-57"/>
                <w:sz w:val="21"/>
                <w:szCs w:val="21"/>
              </w:rPr>
              <w:t> </w:t>
            </w:r>
            <w:r>
              <w:rPr>
                <w:rFonts w:ascii="宋体" w:hAnsi="宋体" w:cs="宋体" w:eastAsia="宋体" w:hint="default"/>
                <w:sz w:val="21"/>
                <w:szCs w:val="21"/>
              </w:rPr>
              <w:t>年加入用友，曾任分公司销售经理、分支机构管理总部负责人、分公司总经理、</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助理总裁、副总裁、高级副总裁、执行总裁等职务。</w:t>
            </w:r>
          </w:p>
        </w:tc>
      </w:tr>
      <w:tr>
        <w:trPr>
          <w:trHeight w:val="555"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谢志华</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执行副总裁谢志华先生，</w:t>
            </w:r>
            <w:r>
              <w:rPr>
                <w:rFonts w:ascii="宋体" w:hAnsi="宋体" w:cs="宋体" w:eastAsia="宋体" w:hint="default"/>
                <w:sz w:val="21"/>
                <w:szCs w:val="21"/>
              </w:rPr>
              <w:t>1998</w:t>
            </w:r>
            <w:r>
              <w:rPr>
                <w:rFonts w:ascii="宋体" w:hAnsi="宋体" w:cs="宋体" w:eastAsia="宋体" w:hint="default"/>
                <w:spacing w:val="-59"/>
                <w:sz w:val="21"/>
                <w:szCs w:val="21"/>
              </w:rPr>
              <w:t> </w:t>
            </w:r>
            <w:r>
              <w:rPr>
                <w:rFonts w:ascii="宋体" w:hAnsi="宋体" w:cs="宋体" w:eastAsia="宋体" w:hint="default"/>
                <w:sz w:val="21"/>
                <w:szCs w:val="21"/>
              </w:rPr>
              <w:t>年加入用友，曾任公司研发工程师、开发部经理、</w:t>
            </w:r>
            <w:r>
              <w:rPr>
                <w:rFonts w:ascii="宋体" w:hAnsi="宋体" w:cs="宋体" w:eastAsia="宋体" w:hint="default"/>
                <w:sz w:val="21"/>
                <w:szCs w:val="21"/>
              </w:rPr>
              <w:t>NC</w:t>
            </w:r>
            <w:r>
              <w:rPr>
                <w:rFonts w:ascii="宋体" w:hAnsi="宋体" w:cs="宋体" w:eastAsia="宋体" w:hint="default"/>
                <w:spacing w:val="-59"/>
                <w:sz w:val="21"/>
                <w:szCs w:val="21"/>
              </w:rPr>
              <w:t> </w:t>
            </w:r>
            <w:r>
              <w:rPr>
                <w:rFonts w:ascii="宋体" w:hAnsi="宋体" w:cs="宋体" w:eastAsia="宋体" w:hint="default"/>
                <w:sz w:val="21"/>
                <w:szCs w:val="21"/>
              </w:rPr>
              <w:t>事业部副总经理、</w:t>
            </w:r>
            <w:r>
              <w:rPr>
                <w:rFonts w:ascii="宋体" w:hAnsi="宋体" w:cs="宋体" w:eastAsia="宋体" w:hint="default"/>
                <w:sz w:val="21"/>
                <w:szCs w:val="21"/>
              </w:rPr>
              <w:t>NC</w:t>
            </w:r>
            <w:r>
              <w:rPr>
                <w:rFonts w:ascii="宋体" w:hAnsi="宋体" w:cs="宋体" w:eastAsia="宋体" w:hint="default"/>
                <w:spacing w:val="-59"/>
                <w:sz w:val="21"/>
                <w:szCs w:val="21"/>
              </w:rPr>
              <w:t> </w:t>
            </w:r>
            <w:r>
              <w:rPr>
                <w:rFonts w:ascii="宋体" w:hAnsi="宋体" w:cs="宋体" w:eastAsia="宋体" w:hint="default"/>
                <w:sz w:val="21"/>
                <w:szCs w:val="21"/>
              </w:rPr>
              <w:t>产品本部总经理、助理总裁、</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副总裁、高级副总裁、执行副总裁等职务。</w:t>
            </w:r>
          </w:p>
        </w:tc>
      </w:tr>
      <w:tr>
        <w:trPr>
          <w:trHeight w:val="55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王健</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高级副总裁王健先生，</w:t>
            </w:r>
            <w:r>
              <w:rPr>
                <w:rFonts w:ascii="宋体" w:hAnsi="宋体" w:cs="宋体" w:eastAsia="宋体" w:hint="default"/>
                <w:sz w:val="21"/>
                <w:szCs w:val="21"/>
              </w:rPr>
              <w:t>1966</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宋体" w:hAnsi="宋体" w:cs="宋体" w:eastAsia="宋体" w:hint="default"/>
                <w:sz w:val="21"/>
                <w:szCs w:val="21"/>
              </w:rPr>
              <w:t>5</w:t>
            </w:r>
            <w:r>
              <w:rPr>
                <w:rFonts w:ascii="宋体" w:hAnsi="宋体" w:cs="宋体" w:eastAsia="宋体" w:hint="default"/>
                <w:spacing w:val="-60"/>
                <w:sz w:val="21"/>
                <w:szCs w:val="21"/>
              </w:rPr>
              <w:t> </w:t>
            </w:r>
            <w:r>
              <w:rPr>
                <w:rFonts w:ascii="宋体" w:hAnsi="宋体" w:cs="宋体" w:eastAsia="宋体" w:hint="default"/>
                <w:sz w:val="21"/>
                <w:szCs w:val="21"/>
              </w:rPr>
              <w:t>月出生，硕士。</w:t>
            </w:r>
            <w:r>
              <w:rPr>
                <w:rFonts w:ascii="宋体" w:hAnsi="宋体" w:cs="宋体" w:eastAsia="宋体" w:hint="default"/>
                <w:sz w:val="21"/>
                <w:szCs w:val="21"/>
              </w:rPr>
              <w:t>2001</w:t>
            </w:r>
            <w:r>
              <w:rPr>
                <w:rFonts w:ascii="宋体" w:hAnsi="宋体" w:cs="宋体" w:eastAsia="宋体" w:hint="default"/>
                <w:spacing w:val="-58"/>
                <w:sz w:val="21"/>
                <w:szCs w:val="21"/>
              </w:rPr>
              <w:t> </w:t>
            </w:r>
            <w:r>
              <w:rPr>
                <w:rFonts w:ascii="宋体" w:hAnsi="宋体" w:cs="宋体" w:eastAsia="宋体" w:hint="default"/>
                <w:sz w:val="21"/>
                <w:szCs w:val="21"/>
              </w:rPr>
              <w:t>年加入用友，曾任公司制造产品经理、制造行业事业部总经理、大型企业解决方</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案业务本部总经理，助理总裁、副总裁、高级副总裁等职务。</w:t>
            </w:r>
          </w:p>
        </w:tc>
      </w:tr>
      <w:tr>
        <w:trPr>
          <w:trHeight w:val="55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徐洋</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徐洋先生，</w:t>
            </w:r>
            <w:r>
              <w:rPr>
                <w:rFonts w:ascii="宋体" w:hAnsi="宋体" w:cs="宋体" w:eastAsia="宋体" w:hint="default"/>
                <w:spacing w:val="-3"/>
                <w:sz w:val="21"/>
                <w:szCs w:val="21"/>
              </w:rPr>
              <w:t>2004 </w:t>
            </w:r>
            <w:r>
              <w:rPr>
                <w:rFonts w:ascii="宋体" w:hAnsi="宋体" w:cs="宋体" w:eastAsia="宋体" w:hint="default"/>
                <w:spacing w:val="-3"/>
                <w:sz w:val="21"/>
                <w:szCs w:val="21"/>
              </w:rPr>
              <w:t>年加入用友，曾任公司 </w:t>
            </w:r>
            <w:r>
              <w:rPr>
                <w:rFonts w:ascii="宋体" w:hAnsi="宋体" w:cs="宋体" w:eastAsia="宋体" w:hint="default"/>
                <w:sz w:val="21"/>
                <w:szCs w:val="21"/>
              </w:rPr>
              <w:t>U8</w:t>
            </w:r>
            <w:r>
              <w:rPr>
                <w:rFonts w:ascii="宋体" w:hAnsi="宋体" w:cs="宋体" w:eastAsia="宋体" w:hint="default"/>
                <w:spacing w:val="-51"/>
                <w:sz w:val="21"/>
                <w:szCs w:val="21"/>
              </w:rPr>
              <w:t> </w:t>
            </w:r>
            <w:r>
              <w:rPr>
                <w:rFonts w:ascii="宋体" w:hAnsi="宋体" w:cs="宋体" w:eastAsia="宋体" w:hint="default"/>
                <w:spacing w:val="-3"/>
                <w:sz w:val="21"/>
                <w:szCs w:val="21"/>
              </w:rPr>
              <w:t>业务部经理、湖南分公司总经理、商业伙伴部总经理、用友优普信息技术有限公司执行总裁</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等职务。</w:t>
            </w:r>
          </w:p>
        </w:tc>
      </w:tr>
      <w:tr>
        <w:trPr>
          <w:trHeight w:val="28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胡彬</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高级副总裁胡彬先生，</w:t>
            </w:r>
            <w:r>
              <w:rPr>
                <w:rFonts w:ascii="宋体" w:hAnsi="宋体" w:cs="宋体" w:eastAsia="宋体" w:hint="default"/>
                <w:sz w:val="21"/>
                <w:szCs w:val="21"/>
              </w:rPr>
              <w:t>2009</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2</w:t>
            </w:r>
            <w:r>
              <w:rPr>
                <w:rFonts w:ascii="宋体" w:hAnsi="宋体" w:cs="宋体" w:eastAsia="宋体" w:hint="default"/>
                <w:spacing w:val="-57"/>
                <w:sz w:val="21"/>
                <w:szCs w:val="21"/>
              </w:rPr>
              <w:t> </w:t>
            </w:r>
            <w:r>
              <w:rPr>
                <w:rFonts w:ascii="宋体" w:hAnsi="宋体" w:cs="宋体" w:eastAsia="宋体" w:hint="default"/>
                <w:sz w:val="21"/>
                <w:szCs w:val="21"/>
              </w:rPr>
              <w:t>月加入用友，曾任公司副总裁、高级副总裁等职务。</w:t>
            </w:r>
          </w:p>
        </w:tc>
      </w:tr>
      <w:tr>
        <w:trPr>
          <w:trHeight w:val="281"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徐宝东</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高级副总裁徐宝东先生，</w:t>
            </w:r>
            <w:r>
              <w:rPr>
                <w:rFonts w:ascii="宋体" w:hAnsi="宋体" w:cs="宋体" w:eastAsia="宋体" w:hint="default"/>
                <w:spacing w:val="-2"/>
                <w:sz w:val="21"/>
                <w:szCs w:val="21"/>
              </w:rPr>
              <w:t>2007</w:t>
            </w:r>
            <w:r>
              <w:rPr>
                <w:rFonts w:ascii="宋体" w:hAnsi="宋体" w:cs="宋体" w:eastAsia="宋体" w:hint="default"/>
                <w:spacing w:val="42"/>
                <w:sz w:val="21"/>
                <w:szCs w:val="21"/>
              </w:rPr>
              <w:t> </w:t>
            </w:r>
            <w:r>
              <w:rPr>
                <w:rFonts w:ascii="宋体" w:hAnsi="宋体" w:cs="宋体" w:eastAsia="宋体" w:hint="default"/>
                <w:spacing w:val="-2"/>
                <w:sz w:val="21"/>
                <w:szCs w:val="21"/>
              </w:rPr>
              <w:t>年加入用友，曾任公司助理总裁、山东区总经理、公司副总裁、高级副总裁等职务。</w:t>
            </w:r>
          </w:p>
        </w:tc>
      </w:tr>
      <w:tr>
        <w:trPr>
          <w:trHeight w:val="28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杨晓柏</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高级副总裁杨晓柏先生，</w:t>
            </w:r>
            <w:r>
              <w:rPr>
                <w:rFonts w:ascii="宋体" w:hAnsi="宋体" w:cs="宋体" w:eastAsia="宋体" w:hint="default"/>
                <w:sz w:val="21"/>
                <w:szCs w:val="21"/>
              </w:rPr>
              <w:t>1970</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宋体" w:hAnsi="宋体" w:cs="宋体" w:eastAsia="宋体" w:hint="default"/>
                <w:sz w:val="21"/>
                <w:szCs w:val="21"/>
              </w:rPr>
              <w:t>9</w:t>
            </w:r>
            <w:r>
              <w:rPr>
                <w:rFonts w:ascii="宋体" w:hAnsi="宋体" w:cs="宋体" w:eastAsia="宋体" w:hint="default"/>
                <w:spacing w:val="-56"/>
                <w:sz w:val="21"/>
                <w:szCs w:val="21"/>
              </w:rPr>
              <w:t> </w:t>
            </w:r>
            <w:r>
              <w:rPr>
                <w:rFonts w:ascii="宋体" w:hAnsi="宋体" w:cs="宋体" w:eastAsia="宋体" w:hint="default"/>
                <w:sz w:val="21"/>
                <w:szCs w:val="21"/>
              </w:rPr>
              <w:t>月出生，硕士。</w:t>
            </w:r>
            <w:r>
              <w:rPr>
                <w:rFonts w:ascii="宋体" w:hAnsi="宋体" w:cs="宋体" w:eastAsia="宋体" w:hint="default"/>
                <w:sz w:val="21"/>
                <w:szCs w:val="21"/>
              </w:rPr>
              <w:t>1999</w:t>
            </w:r>
            <w:r>
              <w:rPr>
                <w:rFonts w:ascii="宋体" w:hAnsi="宋体" w:cs="宋体" w:eastAsia="宋体" w:hint="default"/>
                <w:spacing w:val="-56"/>
                <w:sz w:val="21"/>
                <w:szCs w:val="21"/>
              </w:rPr>
              <w:t> </w:t>
            </w:r>
            <w:r>
              <w:rPr>
                <w:rFonts w:ascii="宋体" w:hAnsi="宋体" w:cs="宋体" w:eastAsia="宋体" w:hint="default"/>
                <w:sz w:val="21"/>
                <w:szCs w:val="21"/>
              </w:rPr>
              <w:t>年加入用友，曾任分公司总经理、助理总裁、副总裁、高级副总裁等职务。</w:t>
            </w:r>
          </w:p>
        </w:tc>
      </w:tr>
      <w:tr>
        <w:trPr>
          <w:trHeight w:val="28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左骏</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高级副总裁左骏先生，</w:t>
            </w:r>
            <w:r>
              <w:rPr>
                <w:rFonts w:ascii="宋体" w:hAnsi="宋体" w:cs="宋体" w:eastAsia="宋体" w:hint="default"/>
                <w:sz w:val="21"/>
                <w:szCs w:val="21"/>
              </w:rPr>
              <w:t>1978</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宋体" w:hAnsi="宋体" w:cs="宋体" w:eastAsia="宋体" w:hint="default"/>
                <w:sz w:val="21"/>
                <w:szCs w:val="21"/>
              </w:rPr>
              <w:t>12</w:t>
            </w:r>
            <w:r>
              <w:rPr>
                <w:rFonts w:ascii="宋体" w:hAnsi="宋体" w:cs="宋体" w:eastAsia="宋体" w:hint="default"/>
                <w:spacing w:val="-58"/>
                <w:sz w:val="21"/>
                <w:szCs w:val="21"/>
              </w:rPr>
              <w:t> </w:t>
            </w:r>
            <w:r>
              <w:rPr>
                <w:rFonts w:ascii="宋体" w:hAnsi="宋体" w:cs="宋体" w:eastAsia="宋体" w:hint="default"/>
                <w:sz w:val="21"/>
                <w:szCs w:val="21"/>
              </w:rPr>
              <w:t>月出生，学士。</w:t>
            </w:r>
            <w:r>
              <w:rPr>
                <w:rFonts w:ascii="宋体" w:hAnsi="宋体" w:cs="宋体" w:eastAsia="宋体" w:hint="default"/>
                <w:sz w:val="21"/>
                <w:szCs w:val="21"/>
              </w:rPr>
              <w:t>2006</w:t>
            </w:r>
            <w:r>
              <w:rPr>
                <w:rFonts w:ascii="宋体" w:hAnsi="宋体" w:cs="宋体" w:eastAsia="宋体" w:hint="default"/>
                <w:spacing w:val="-58"/>
                <w:sz w:val="21"/>
                <w:szCs w:val="21"/>
              </w:rPr>
              <w:t> </w:t>
            </w:r>
            <w:r>
              <w:rPr>
                <w:rFonts w:ascii="宋体" w:hAnsi="宋体" w:cs="宋体" w:eastAsia="宋体" w:hint="default"/>
                <w:sz w:val="21"/>
                <w:szCs w:val="21"/>
              </w:rPr>
              <w:t>年加入用友，曾任分公司总经理、助理总裁、副总裁、高级副总裁等职务。</w:t>
            </w:r>
          </w:p>
        </w:tc>
      </w:tr>
      <w:tr>
        <w:trPr>
          <w:trHeight w:val="28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季学庆</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高级副总裁季学庆先生，</w:t>
            </w:r>
            <w:r>
              <w:rPr>
                <w:rFonts w:ascii="宋体" w:hAnsi="宋体" w:cs="宋体" w:eastAsia="宋体" w:hint="default"/>
                <w:spacing w:val="-2"/>
                <w:sz w:val="21"/>
                <w:szCs w:val="21"/>
              </w:rPr>
              <w:t>1996</w:t>
            </w:r>
            <w:r>
              <w:rPr>
                <w:rFonts w:ascii="宋体" w:hAnsi="宋体" w:cs="宋体" w:eastAsia="宋体" w:hint="default"/>
                <w:spacing w:val="52"/>
                <w:sz w:val="21"/>
                <w:szCs w:val="21"/>
              </w:rPr>
              <w:t> </w:t>
            </w:r>
            <w:r>
              <w:rPr>
                <w:rFonts w:ascii="宋体" w:hAnsi="宋体" w:cs="宋体" w:eastAsia="宋体" w:hint="default"/>
                <w:spacing w:val="-2"/>
                <w:sz w:val="21"/>
                <w:szCs w:val="21"/>
              </w:rPr>
              <w:t>年加入用友，曾任公司上海分公司总经理、华东大区总经理、公司副总裁、高级副总裁等职务。</w:t>
            </w:r>
          </w:p>
        </w:tc>
      </w:tr>
    </w:tbl>
    <w:p>
      <w:pPr>
        <w:spacing w:line="240" w:lineRule="auto" w:before="5"/>
        <w:rPr>
          <w:rFonts w:ascii="宋体" w:hAnsi="宋体" w:cs="宋体" w:eastAsia="宋体" w:hint="default"/>
          <w:sz w:val="15"/>
          <w:szCs w:val="15"/>
        </w:rPr>
      </w:pPr>
    </w:p>
    <w:p>
      <w:pPr>
        <w:pStyle w:val="BodyText"/>
        <w:spacing w:line="273" w:lineRule="exact" w:before="36"/>
        <w:ind w:left="224" w:right="0"/>
        <w:jc w:val="left"/>
      </w:pPr>
      <w:r>
        <w:rPr/>
        <w:t>其它情况说明</w:t>
      </w:r>
    </w:p>
    <w:p>
      <w:pPr>
        <w:pStyle w:val="BodyText"/>
        <w:spacing w:line="273" w:lineRule="exact"/>
        <w:ind w:left="224" w:right="0"/>
        <w:jc w:val="left"/>
      </w:pPr>
      <w:r>
        <w:rPr/>
        <w:t>□适用 √不适用</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6840" w:h="11910" w:orient="landscape"/>
          <w:pgMar w:header="855" w:footer="1195" w:top="1280" w:bottom="1380" w:left="1300" w:right="1300"/>
        </w:sectPr>
      </w:pPr>
    </w:p>
    <w:p>
      <w:pPr>
        <w:pStyle w:val="Heading3"/>
        <w:spacing w:line="240" w:lineRule="auto" w:before="36"/>
        <w:ind w:left="224" w:right="-16"/>
        <w:jc w:val="left"/>
        <w:rPr>
          <w:b w:val="0"/>
          <w:bCs w:val="0"/>
        </w:rPr>
      </w:pPr>
      <w:r>
        <w:rPr>
          <w:rFonts w:ascii="Calibri" w:hAnsi="Calibri" w:cs="Calibri" w:eastAsia="Calibri" w:hint="default"/>
        </w:rPr>
        <w:t>(</w:t>
      </w:r>
      <w:r>
        <w:rPr/>
        <w:t>二</w:t>
      </w:r>
      <w:r>
        <w:rPr>
          <w:rFonts w:ascii="Calibri" w:hAnsi="Calibri" w:cs="Calibri" w:eastAsia="Calibri" w:hint="default"/>
        </w:rPr>
        <w:t>)</w:t>
      </w:r>
      <w:r>
        <w:rPr>
          <w:rFonts w:ascii="Calibri" w:hAnsi="Calibri" w:cs="Calibri" w:eastAsia="Calibri" w:hint="default"/>
          <w:spacing w:val="26"/>
        </w:rPr>
        <w:t> </w:t>
      </w:r>
      <w:r>
        <w:rPr/>
        <w:t>董事、高级管理人员报告期内被授予的股权激励情况</w:t>
      </w:r>
      <w:r>
        <w:rPr>
          <w:b w:val="0"/>
          <w:bCs w:val="0"/>
        </w:rPr>
      </w:r>
    </w:p>
    <w:p>
      <w:pPr>
        <w:pStyle w:val="BodyText"/>
        <w:spacing w:line="240" w:lineRule="auto" w:before="32"/>
        <w:ind w:left="224" w:right="-16"/>
        <w:jc w:val="left"/>
      </w:pPr>
      <w:r>
        <w:rPr/>
        <w:t>√适用 □不适用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left="224" w:right="0"/>
        <w:jc w:val="left"/>
      </w:pPr>
      <w:r>
        <w:rPr/>
        <w:t>单位</w:t>
      </w:r>
      <w:r>
        <w:rPr>
          <w:rFonts w:ascii="宋体" w:hAnsi="宋体" w:cs="宋体" w:eastAsia="宋体" w:hint="default"/>
        </w:rPr>
        <w:t>:</w:t>
      </w:r>
      <w:r>
        <w:rPr/>
        <w:t>股</w:t>
      </w:r>
    </w:p>
    <w:p>
      <w:pPr>
        <w:spacing w:after="0" w:line="240" w:lineRule="auto"/>
        <w:jc w:val="left"/>
        <w:sectPr>
          <w:type w:val="continuous"/>
          <w:pgSz w:w="16840" w:h="11910" w:orient="landscape"/>
          <w:pgMar w:top="1320" w:bottom="1380" w:left="1300" w:right="1300"/>
          <w:cols w:num="2" w:equalWidth="0">
            <w:col w:w="5493" w:space="7647"/>
            <w:col w:w="1100"/>
          </w:cols>
        </w:sectPr>
      </w:pPr>
    </w:p>
    <w:p>
      <w:pPr>
        <w:spacing w:line="240" w:lineRule="auto" w:before="7"/>
        <w:rPr>
          <w:rFonts w:ascii="宋体" w:hAnsi="宋体" w:cs="宋体" w:eastAsia="宋体" w:hint="default"/>
          <w:sz w:val="2"/>
          <w:szCs w:val="2"/>
        </w:rPr>
      </w:pPr>
      <w:r>
        <w:rPr/>
        <w:pict>
          <v:group style="position:absolute;margin-left:74.760002pt;margin-top:66.260010pt;width:696.6pt;height:.1pt;mso-position-horizontal-relative:page;mso-position-vertical-relative:page;z-index:-1046728" coordorigin="1495,1325" coordsize="13932,2">
            <v:shape style="position:absolute;left:1495;top:1325;width:13932;height:2" coordorigin="1495,1325" coordsize="13932,0" path="m1495,1325l15427,1325e" filled="false" stroked="true" strokeweight=".72pt" strokecolor="#000000">
              <v:path arrowok="t"/>
            </v:shape>
            <w10:wrap type="none"/>
          </v:group>
        </w:pict>
      </w:r>
    </w:p>
    <w:tbl>
      <w:tblPr>
        <w:tblW w:w="0" w:type="auto"/>
        <w:jc w:val="left"/>
        <w:tblInd w:w="111" w:type="dxa"/>
        <w:tblLayout w:type="fixed"/>
        <w:tblCellMar>
          <w:top w:w="0" w:type="dxa"/>
          <w:left w:w="0" w:type="dxa"/>
          <w:bottom w:w="0" w:type="dxa"/>
          <w:right w:w="0" w:type="dxa"/>
        </w:tblCellMar>
        <w:tblLook w:val="01E0"/>
      </w:tblPr>
      <w:tblGrid>
        <w:gridCol w:w="1224"/>
        <w:gridCol w:w="1397"/>
        <w:gridCol w:w="1669"/>
        <w:gridCol w:w="1675"/>
        <w:gridCol w:w="1676"/>
        <w:gridCol w:w="1673"/>
        <w:gridCol w:w="1537"/>
        <w:gridCol w:w="1531"/>
        <w:gridCol w:w="1484"/>
      </w:tblGrid>
      <w:tr>
        <w:trPr>
          <w:trHeight w:val="555" w:hRule="exact"/>
        </w:trPr>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396"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职务</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 w:right="0"/>
              <w:jc w:val="center"/>
              <w:rPr>
                <w:rFonts w:ascii="宋体" w:hAnsi="宋体" w:cs="宋体" w:eastAsia="宋体" w:hint="default"/>
                <w:sz w:val="21"/>
                <w:szCs w:val="21"/>
              </w:rPr>
            </w:pPr>
            <w:r>
              <w:rPr>
                <w:rFonts w:ascii="宋体" w:hAnsi="宋体" w:cs="宋体" w:eastAsia="宋体" w:hint="default"/>
                <w:sz w:val="21"/>
                <w:szCs w:val="21"/>
              </w:rPr>
              <w:t>年初持有股票</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期权数量</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01" w:right="0"/>
              <w:jc w:val="left"/>
              <w:rPr>
                <w:rFonts w:ascii="宋体" w:hAnsi="宋体" w:cs="宋体" w:eastAsia="宋体" w:hint="default"/>
                <w:sz w:val="21"/>
                <w:szCs w:val="21"/>
              </w:rPr>
            </w:pPr>
            <w:r>
              <w:rPr>
                <w:rFonts w:ascii="宋体" w:hAnsi="宋体" w:cs="宋体" w:eastAsia="宋体" w:hint="default"/>
                <w:sz w:val="21"/>
                <w:szCs w:val="21"/>
              </w:rPr>
              <w:t>报告期新授予</w:t>
            </w:r>
          </w:p>
          <w:p>
            <w:pPr>
              <w:pStyle w:val="TableParagraph"/>
              <w:spacing w:line="273" w:lineRule="exact"/>
              <w:ind w:left="201" w:right="0"/>
              <w:jc w:val="left"/>
              <w:rPr>
                <w:rFonts w:ascii="宋体" w:hAnsi="宋体" w:cs="宋体" w:eastAsia="宋体" w:hint="default"/>
                <w:sz w:val="21"/>
                <w:szCs w:val="21"/>
              </w:rPr>
            </w:pPr>
            <w:r>
              <w:rPr>
                <w:rFonts w:ascii="宋体" w:hAnsi="宋体" w:cs="宋体" w:eastAsia="宋体" w:hint="default"/>
                <w:sz w:val="21"/>
                <w:szCs w:val="21"/>
              </w:rPr>
              <w:t>股票期权数量</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报告期内可行</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权股份</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 w:right="0"/>
              <w:jc w:val="center"/>
              <w:rPr>
                <w:rFonts w:ascii="宋体" w:hAnsi="宋体" w:cs="宋体" w:eastAsia="宋体" w:hint="default"/>
                <w:sz w:val="21"/>
                <w:szCs w:val="21"/>
              </w:rPr>
            </w:pPr>
            <w:r>
              <w:rPr>
                <w:rFonts w:ascii="宋体" w:hAnsi="宋体" w:cs="宋体" w:eastAsia="宋体" w:hint="default"/>
                <w:sz w:val="21"/>
                <w:szCs w:val="21"/>
              </w:rPr>
              <w:t>报告期股票期</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权行权股份</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股票期权行权</w:t>
            </w:r>
          </w:p>
          <w:p>
            <w:pPr>
              <w:pStyle w:val="TableParagraph"/>
              <w:spacing w:line="273" w:lineRule="exact"/>
              <w:ind w:left="2" w:right="0"/>
              <w:jc w:val="center"/>
              <w:rPr>
                <w:rFonts w:ascii="宋体" w:hAnsi="宋体" w:cs="宋体" w:eastAsia="宋体" w:hint="default"/>
                <w:sz w:val="21"/>
                <w:szCs w:val="21"/>
              </w:rPr>
            </w:pPr>
            <w:r>
              <w:rPr>
                <w:rFonts w:ascii="宋体" w:hAnsi="宋体" w:cs="宋体" w:eastAsia="宋体" w:hint="default"/>
                <w:sz w:val="21"/>
                <w:szCs w:val="21"/>
              </w:rPr>
              <w:t>价格</w:t>
            </w:r>
            <w:r>
              <w:rPr>
                <w:rFonts w:ascii="宋体" w:hAnsi="宋体" w:cs="宋体" w:eastAsia="宋体" w:hint="default"/>
                <w:sz w:val="21"/>
                <w:szCs w:val="21"/>
              </w:rPr>
              <w:t>(</w:t>
            </w:r>
            <w:r>
              <w:rPr>
                <w:rFonts w:ascii="宋体" w:hAnsi="宋体" w:cs="宋体" w:eastAsia="宋体" w:hint="default"/>
                <w:sz w:val="21"/>
                <w:szCs w:val="21"/>
              </w:rPr>
              <w:t>元</w:t>
            </w:r>
            <w:r>
              <w:rPr>
                <w:rFonts w:ascii="宋体" w:hAnsi="宋体" w:cs="宋体" w:eastAsia="宋体" w:hint="default"/>
                <w:sz w:val="21"/>
                <w:szCs w:val="21"/>
              </w:rPr>
              <w:t>)</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4" w:right="0"/>
              <w:jc w:val="center"/>
              <w:rPr>
                <w:rFonts w:ascii="宋体" w:hAnsi="宋体" w:cs="宋体" w:eastAsia="宋体" w:hint="default"/>
                <w:sz w:val="21"/>
                <w:szCs w:val="21"/>
              </w:rPr>
            </w:pPr>
            <w:r>
              <w:rPr>
                <w:rFonts w:ascii="宋体" w:hAnsi="宋体" w:cs="宋体" w:eastAsia="宋体" w:hint="default"/>
                <w:sz w:val="21"/>
                <w:szCs w:val="21"/>
              </w:rPr>
              <w:t>期末持有股票</w:t>
            </w:r>
          </w:p>
          <w:p>
            <w:pPr>
              <w:pStyle w:val="TableParagraph"/>
              <w:spacing w:line="273" w:lineRule="exact"/>
              <w:ind w:left="2" w:right="0"/>
              <w:jc w:val="center"/>
              <w:rPr>
                <w:rFonts w:ascii="宋体" w:hAnsi="宋体" w:cs="宋体" w:eastAsia="宋体" w:hint="default"/>
                <w:sz w:val="21"/>
                <w:szCs w:val="21"/>
              </w:rPr>
            </w:pPr>
            <w:r>
              <w:rPr>
                <w:rFonts w:ascii="宋体" w:hAnsi="宋体" w:cs="宋体" w:eastAsia="宋体" w:hint="default"/>
                <w:sz w:val="21"/>
                <w:szCs w:val="21"/>
              </w:rPr>
              <w:t>期权数量</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4" w:right="0"/>
              <w:jc w:val="center"/>
              <w:rPr>
                <w:rFonts w:ascii="宋体" w:hAnsi="宋体" w:cs="宋体" w:eastAsia="宋体" w:hint="default"/>
                <w:sz w:val="21"/>
                <w:szCs w:val="21"/>
              </w:rPr>
            </w:pPr>
            <w:r>
              <w:rPr>
                <w:rFonts w:ascii="宋体" w:hAnsi="宋体" w:cs="宋体" w:eastAsia="宋体" w:hint="default"/>
                <w:sz w:val="21"/>
                <w:szCs w:val="21"/>
              </w:rPr>
              <w:t>报告期末市价</w:t>
            </w:r>
          </w:p>
          <w:p>
            <w:pPr>
              <w:pStyle w:val="TableParagraph"/>
              <w:spacing w:line="273" w:lineRule="exact"/>
              <w:ind w:left="4" w:right="0"/>
              <w:jc w:val="center"/>
              <w:rPr>
                <w:rFonts w:ascii="宋体" w:hAnsi="宋体" w:cs="宋体" w:eastAsia="宋体" w:hint="default"/>
                <w:sz w:val="21"/>
                <w:szCs w:val="21"/>
              </w:rPr>
            </w:pPr>
            <w:r>
              <w:rPr>
                <w:rFonts w:ascii="宋体" w:hAnsi="宋体" w:cs="宋体" w:eastAsia="宋体" w:hint="default"/>
                <w:sz w:val="21"/>
                <w:szCs w:val="21"/>
              </w:rPr>
              <w:t>（元）</w:t>
            </w:r>
          </w:p>
        </w:tc>
      </w:tr>
      <w:tr>
        <w:trPr>
          <w:trHeight w:val="283" w:hRule="exact"/>
        </w:trPr>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章培林</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财务总监</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w w:val="100"/>
                <w:sz w:val="21"/>
              </w:rPr>
              <w:t>0</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spacing w:val="-1"/>
                <w:sz w:val="21"/>
              </w:rPr>
              <w:t>333,330</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2"/>
              <w:jc w:val="right"/>
              <w:rPr>
                <w:rFonts w:ascii="宋体" w:hAnsi="宋体" w:cs="宋体" w:eastAsia="宋体" w:hint="default"/>
                <w:sz w:val="21"/>
                <w:szCs w:val="21"/>
              </w:rPr>
            </w:pPr>
            <w:r>
              <w:rPr>
                <w:rFonts w:ascii="宋体"/>
                <w:spacing w:val="-1"/>
                <w:sz w:val="21"/>
              </w:rPr>
              <w:t>333,330</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2"/>
              <w:jc w:val="right"/>
              <w:rPr>
                <w:rFonts w:ascii="宋体" w:hAnsi="宋体" w:cs="宋体" w:eastAsia="宋体" w:hint="default"/>
                <w:sz w:val="21"/>
                <w:szCs w:val="21"/>
              </w:rPr>
            </w:pPr>
            <w:r>
              <w:rPr>
                <w:rFonts w:ascii="宋体"/>
                <w:sz w:val="21"/>
              </w:rPr>
              <w:t>21.15</w:t>
            </w:r>
          </w:p>
        </w:tc>
      </w:tr>
      <w:tr>
        <w:trPr>
          <w:trHeight w:val="281" w:hRule="exact"/>
        </w:trPr>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严绍业</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w w:val="100"/>
                <w:sz w:val="21"/>
              </w:rPr>
              <w:t>0</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spacing w:val="-1"/>
                <w:sz w:val="21"/>
              </w:rPr>
              <w:t>233,330</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2"/>
              <w:jc w:val="right"/>
              <w:rPr>
                <w:rFonts w:ascii="宋体" w:hAnsi="宋体" w:cs="宋体" w:eastAsia="宋体" w:hint="default"/>
                <w:sz w:val="21"/>
                <w:szCs w:val="21"/>
              </w:rPr>
            </w:pPr>
            <w:r>
              <w:rPr>
                <w:rFonts w:ascii="宋体"/>
                <w:spacing w:val="-1"/>
                <w:sz w:val="21"/>
              </w:rPr>
              <w:t>233,330</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3"/>
              <w:jc w:val="right"/>
              <w:rPr>
                <w:rFonts w:ascii="宋体" w:hAnsi="宋体" w:cs="宋体" w:eastAsia="宋体" w:hint="default"/>
                <w:sz w:val="21"/>
                <w:szCs w:val="21"/>
              </w:rPr>
            </w:pPr>
            <w:r>
              <w:rPr>
                <w:rFonts w:ascii="宋体"/>
                <w:sz w:val="21"/>
              </w:rPr>
              <w:t>21.15</w:t>
            </w:r>
          </w:p>
        </w:tc>
      </w:tr>
      <w:tr>
        <w:trPr>
          <w:trHeight w:val="283" w:hRule="exact"/>
        </w:trPr>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陈巧红</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w w:val="100"/>
                <w:sz w:val="21"/>
              </w:rPr>
              <w:t>0</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spacing w:val="-1"/>
                <w:sz w:val="21"/>
              </w:rPr>
              <w:t>233,330</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2"/>
              <w:jc w:val="right"/>
              <w:rPr>
                <w:rFonts w:ascii="宋体" w:hAnsi="宋体" w:cs="宋体" w:eastAsia="宋体" w:hint="default"/>
                <w:sz w:val="21"/>
                <w:szCs w:val="21"/>
              </w:rPr>
            </w:pPr>
            <w:r>
              <w:rPr>
                <w:rFonts w:ascii="宋体"/>
                <w:spacing w:val="-1"/>
                <w:sz w:val="21"/>
              </w:rPr>
              <w:t>233,330</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3"/>
              <w:jc w:val="right"/>
              <w:rPr>
                <w:rFonts w:ascii="宋体" w:hAnsi="宋体" w:cs="宋体" w:eastAsia="宋体" w:hint="default"/>
                <w:sz w:val="21"/>
                <w:szCs w:val="21"/>
              </w:rPr>
            </w:pPr>
            <w:r>
              <w:rPr>
                <w:rFonts w:ascii="宋体"/>
                <w:sz w:val="21"/>
              </w:rPr>
              <w:t>21.15</w:t>
            </w:r>
          </w:p>
        </w:tc>
      </w:tr>
      <w:tr>
        <w:trPr>
          <w:trHeight w:val="283" w:hRule="exact"/>
        </w:trPr>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张纪雄</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w w:val="100"/>
                <w:sz w:val="21"/>
              </w:rPr>
              <w:t>0</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sz w:val="21"/>
              </w:rPr>
              <w:t>66,670</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2"/>
              <w:jc w:val="right"/>
              <w:rPr>
                <w:rFonts w:ascii="宋体" w:hAnsi="宋体" w:cs="宋体" w:eastAsia="宋体" w:hint="default"/>
                <w:sz w:val="21"/>
                <w:szCs w:val="21"/>
              </w:rPr>
            </w:pPr>
            <w:r>
              <w:rPr>
                <w:rFonts w:ascii="宋体"/>
                <w:sz w:val="21"/>
              </w:rPr>
              <w:t>66,670</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3"/>
              <w:jc w:val="right"/>
              <w:rPr>
                <w:rFonts w:ascii="宋体" w:hAnsi="宋体" w:cs="宋体" w:eastAsia="宋体" w:hint="default"/>
                <w:sz w:val="21"/>
                <w:szCs w:val="21"/>
              </w:rPr>
            </w:pPr>
            <w:r>
              <w:rPr>
                <w:rFonts w:ascii="宋体"/>
                <w:sz w:val="21"/>
              </w:rPr>
              <w:t>21.15</w:t>
            </w:r>
          </w:p>
        </w:tc>
      </w:tr>
    </w:tbl>
    <w:p>
      <w:pPr>
        <w:spacing w:after="0" w:line="241" w:lineRule="exact"/>
        <w:jc w:val="right"/>
        <w:rPr>
          <w:rFonts w:ascii="宋体" w:hAnsi="宋体" w:cs="宋体" w:eastAsia="宋体" w:hint="default"/>
          <w:sz w:val="21"/>
          <w:szCs w:val="21"/>
        </w:rPr>
        <w:sectPr>
          <w:type w:val="continuous"/>
          <w:pgSz w:w="16840" w:h="11910" w:orient="landscape"/>
          <w:pgMar w:top="1320" w:bottom="1380" w:left="1300" w:right="1300"/>
        </w:sectPr>
      </w:pPr>
    </w:p>
    <w:tbl>
      <w:tblPr>
        <w:tblW w:w="0" w:type="auto"/>
        <w:jc w:val="left"/>
        <w:tblInd w:w="111" w:type="dxa"/>
        <w:tblLayout w:type="fixed"/>
        <w:tblCellMar>
          <w:top w:w="0" w:type="dxa"/>
          <w:left w:w="0" w:type="dxa"/>
          <w:bottom w:w="0" w:type="dxa"/>
          <w:right w:w="0" w:type="dxa"/>
        </w:tblCellMar>
        <w:tblLook w:val="01E0"/>
      </w:tblPr>
      <w:tblGrid>
        <w:gridCol w:w="1224"/>
        <w:gridCol w:w="1397"/>
        <w:gridCol w:w="1669"/>
        <w:gridCol w:w="1675"/>
        <w:gridCol w:w="1676"/>
        <w:gridCol w:w="1673"/>
        <w:gridCol w:w="1537"/>
        <w:gridCol w:w="1531"/>
        <w:gridCol w:w="1484"/>
      </w:tblGrid>
      <w:tr>
        <w:trPr>
          <w:trHeight w:val="840" w:hRule="exact"/>
        </w:trPr>
        <w:tc>
          <w:tcPr>
            <w:tcW w:w="1224"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欧阳青</w:t>
            </w:r>
          </w:p>
        </w:tc>
        <w:tc>
          <w:tcPr>
            <w:tcW w:w="1397" w:type="dxa"/>
            <w:tcBorders>
              <w:top w:val="single" w:sz="10" w:space="0" w:color="000000"/>
              <w:left w:val="single" w:sz="4" w:space="0" w:color="000000"/>
              <w:bottom w:val="single" w:sz="4" w:space="0" w:color="000000"/>
              <w:right w:val="single" w:sz="4" w:space="0" w:color="000000"/>
            </w:tcBorders>
          </w:tcPr>
          <w:p>
            <w:pPr>
              <w:pStyle w:val="TableParagraph"/>
              <w:spacing w:line="272" w:lineRule="exact" w:before="1"/>
              <w:ind w:left="103" w:right="228"/>
              <w:jc w:val="left"/>
              <w:rPr>
                <w:rFonts w:ascii="宋体" w:hAnsi="宋体" w:cs="宋体" w:eastAsia="宋体" w:hint="default"/>
                <w:sz w:val="21"/>
                <w:szCs w:val="21"/>
              </w:rPr>
            </w:pPr>
            <w:r>
              <w:rPr>
                <w:rFonts w:ascii="宋体" w:hAnsi="宋体" w:cs="宋体" w:eastAsia="宋体" w:hint="default"/>
                <w:sz w:val="21"/>
                <w:szCs w:val="21"/>
              </w:rPr>
              <w:t>高级副总裁</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兼董事会秘</w:t>
            </w:r>
          </w:p>
          <w:p>
            <w:pPr>
              <w:pStyle w:val="TableParagraph"/>
              <w:spacing w:line="249"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书</w:t>
            </w:r>
          </w:p>
        </w:tc>
        <w:tc>
          <w:tcPr>
            <w:tcW w:w="1669"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right="125"/>
              <w:jc w:val="right"/>
              <w:rPr>
                <w:rFonts w:ascii="宋体" w:hAnsi="宋体" w:cs="宋体" w:eastAsia="宋体" w:hint="default"/>
                <w:sz w:val="21"/>
                <w:szCs w:val="21"/>
              </w:rPr>
            </w:pPr>
            <w:r>
              <w:rPr>
                <w:rFonts w:ascii="宋体"/>
                <w:w w:val="100"/>
                <w:sz w:val="21"/>
              </w:rPr>
              <w:t>0</w:t>
            </w:r>
          </w:p>
        </w:tc>
        <w:tc>
          <w:tcPr>
            <w:tcW w:w="1675"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right="125"/>
              <w:jc w:val="right"/>
              <w:rPr>
                <w:rFonts w:ascii="宋体" w:hAnsi="宋体" w:cs="宋体" w:eastAsia="宋体" w:hint="default"/>
                <w:sz w:val="21"/>
                <w:szCs w:val="21"/>
              </w:rPr>
            </w:pPr>
            <w:r>
              <w:rPr>
                <w:rFonts w:ascii="宋体"/>
                <w:spacing w:val="-1"/>
                <w:sz w:val="21"/>
              </w:rPr>
              <w:t>266,670</w:t>
            </w:r>
          </w:p>
        </w:tc>
        <w:tc>
          <w:tcPr>
            <w:tcW w:w="1676"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right="127"/>
              <w:jc w:val="right"/>
              <w:rPr>
                <w:rFonts w:ascii="宋体" w:hAnsi="宋体" w:cs="宋体" w:eastAsia="宋体" w:hint="default"/>
                <w:sz w:val="21"/>
                <w:szCs w:val="21"/>
              </w:rPr>
            </w:pPr>
            <w:r>
              <w:rPr>
                <w:rFonts w:ascii="宋体"/>
                <w:w w:val="100"/>
                <w:sz w:val="21"/>
              </w:rPr>
              <w:t>0</w:t>
            </w:r>
          </w:p>
        </w:tc>
        <w:tc>
          <w:tcPr>
            <w:tcW w:w="1673"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right="127"/>
              <w:jc w:val="right"/>
              <w:rPr>
                <w:rFonts w:ascii="宋体" w:hAnsi="宋体" w:cs="宋体" w:eastAsia="宋体" w:hint="default"/>
                <w:sz w:val="21"/>
                <w:szCs w:val="21"/>
              </w:rPr>
            </w:pPr>
            <w:r>
              <w:rPr>
                <w:rFonts w:ascii="宋体"/>
                <w:w w:val="100"/>
                <w:sz w:val="21"/>
              </w:rPr>
              <w:t>0</w:t>
            </w:r>
          </w:p>
        </w:tc>
        <w:tc>
          <w:tcPr>
            <w:tcW w:w="1537"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right="127"/>
              <w:jc w:val="right"/>
              <w:rPr>
                <w:rFonts w:ascii="宋体" w:hAnsi="宋体" w:cs="宋体" w:eastAsia="宋体" w:hint="default"/>
                <w:sz w:val="21"/>
                <w:szCs w:val="21"/>
              </w:rPr>
            </w:pPr>
            <w:r>
              <w:rPr>
                <w:rFonts w:ascii="宋体"/>
                <w:w w:val="100"/>
                <w:sz w:val="21"/>
              </w:rPr>
              <w:t>0</w:t>
            </w:r>
          </w:p>
        </w:tc>
        <w:tc>
          <w:tcPr>
            <w:tcW w:w="1531"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right="122"/>
              <w:jc w:val="right"/>
              <w:rPr>
                <w:rFonts w:ascii="宋体" w:hAnsi="宋体" w:cs="宋体" w:eastAsia="宋体" w:hint="default"/>
                <w:sz w:val="21"/>
                <w:szCs w:val="21"/>
              </w:rPr>
            </w:pPr>
            <w:r>
              <w:rPr>
                <w:rFonts w:ascii="宋体"/>
                <w:spacing w:val="-1"/>
                <w:sz w:val="21"/>
              </w:rPr>
              <w:t>266,670</w:t>
            </w:r>
          </w:p>
        </w:tc>
        <w:tc>
          <w:tcPr>
            <w:tcW w:w="1484"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right="123"/>
              <w:jc w:val="right"/>
              <w:rPr>
                <w:rFonts w:ascii="宋体" w:hAnsi="宋体" w:cs="宋体" w:eastAsia="宋体" w:hint="default"/>
                <w:sz w:val="21"/>
                <w:szCs w:val="21"/>
              </w:rPr>
            </w:pPr>
            <w:r>
              <w:rPr>
                <w:rFonts w:ascii="宋体"/>
                <w:sz w:val="21"/>
              </w:rPr>
              <w:t>21.15</w:t>
            </w:r>
          </w:p>
        </w:tc>
      </w:tr>
      <w:tr>
        <w:trPr>
          <w:trHeight w:val="283" w:hRule="exact"/>
        </w:trPr>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任志刚</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w w:val="100"/>
                <w:sz w:val="21"/>
              </w:rPr>
              <w:t>0</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spacing w:val="-1"/>
                <w:sz w:val="21"/>
              </w:rPr>
              <w:t>233,330</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2"/>
              <w:jc w:val="right"/>
              <w:rPr>
                <w:rFonts w:ascii="宋体" w:hAnsi="宋体" w:cs="宋体" w:eastAsia="宋体" w:hint="default"/>
                <w:sz w:val="21"/>
                <w:szCs w:val="21"/>
              </w:rPr>
            </w:pPr>
            <w:r>
              <w:rPr>
                <w:rFonts w:ascii="宋体"/>
                <w:spacing w:val="-1"/>
                <w:sz w:val="21"/>
              </w:rPr>
              <w:t>233,330</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3"/>
              <w:jc w:val="right"/>
              <w:rPr>
                <w:rFonts w:ascii="宋体" w:hAnsi="宋体" w:cs="宋体" w:eastAsia="宋体" w:hint="default"/>
                <w:sz w:val="21"/>
                <w:szCs w:val="21"/>
              </w:rPr>
            </w:pPr>
            <w:r>
              <w:rPr>
                <w:rFonts w:ascii="宋体"/>
                <w:sz w:val="21"/>
              </w:rPr>
              <w:t>21.15</w:t>
            </w:r>
          </w:p>
        </w:tc>
      </w:tr>
      <w:tr>
        <w:trPr>
          <w:trHeight w:val="281" w:hRule="exact"/>
        </w:trPr>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陈强兵</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执行总裁</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w w:val="100"/>
                <w:sz w:val="21"/>
              </w:rPr>
              <w:t>0</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spacing w:val="-1"/>
                <w:sz w:val="21"/>
              </w:rPr>
              <w:t>666,670</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2"/>
              <w:jc w:val="right"/>
              <w:rPr>
                <w:rFonts w:ascii="宋体" w:hAnsi="宋体" w:cs="宋体" w:eastAsia="宋体" w:hint="default"/>
                <w:sz w:val="21"/>
                <w:szCs w:val="21"/>
              </w:rPr>
            </w:pPr>
            <w:r>
              <w:rPr>
                <w:rFonts w:ascii="宋体"/>
                <w:spacing w:val="-1"/>
                <w:sz w:val="21"/>
              </w:rPr>
              <w:t>666,670</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3"/>
              <w:jc w:val="right"/>
              <w:rPr>
                <w:rFonts w:ascii="宋体" w:hAnsi="宋体" w:cs="宋体" w:eastAsia="宋体" w:hint="default"/>
                <w:sz w:val="21"/>
                <w:szCs w:val="21"/>
              </w:rPr>
            </w:pPr>
            <w:r>
              <w:rPr>
                <w:rFonts w:ascii="宋体"/>
                <w:sz w:val="21"/>
              </w:rPr>
              <w:t>21.15</w:t>
            </w:r>
          </w:p>
        </w:tc>
      </w:tr>
      <w:tr>
        <w:trPr>
          <w:trHeight w:val="283" w:hRule="exact"/>
        </w:trPr>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谢志华</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执行副总裁</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w w:val="100"/>
                <w:sz w:val="21"/>
              </w:rPr>
              <w:t>0</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spacing w:val="-1"/>
                <w:sz w:val="21"/>
              </w:rPr>
              <w:t>333,330</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2"/>
              <w:jc w:val="right"/>
              <w:rPr>
                <w:rFonts w:ascii="宋体" w:hAnsi="宋体" w:cs="宋体" w:eastAsia="宋体" w:hint="default"/>
                <w:sz w:val="21"/>
                <w:szCs w:val="21"/>
              </w:rPr>
            </w:pPr>
            <w:r>
              <w:rPr>
                <w:rFonts w:ascii="宋体"/>
                <w:spacing w:val="-1"/>
                <w:sz w:val="21"/>
              </w:rPr>
              <w:t>333,330</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3"/>
              <w:jc w:val="right"/>
              <w:rPr>
                <w:rFonts w:ascii="宋体" w:hAnsi="宋体" w:cs="宋体" w:eastAsia="宋体" w:hint="default"/>
                <w:sz w:val="21"/>
                <w:szCs w:val="21"/>
              </w:rPr>
            </w:pPr>
            <w:r>
              <w:rPr>
                <w:rFonts w:ascii="宋体"/>
                <w:sz w:val="21"/>
              </w:rPr>
              <w:t>21.15</w:t>
            </w:r>
          </w:p>
        </w:tc>
      </w:tr>
      <w:tr>
        <w:trPr>
          <w:trHeight w:val="283" w:hRule="exact"/>
        </w:trPr>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王健</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w w:val="100"/>
                <w:sz w:val="21"/>
              </w:rPr>
              <w:t>0</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spacing w:val="-1"/>
                <w:sz w:val="21"/>
              </w:rPr>
              <w:t>233,330</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2"/>
              <w:jc w:val="right"/>
              <w:rPr>
                <w:rFonts w:ascii="宋体" w:hAnsi="宋体" w:cs="宋体" w:eastAsia="宋体" w:hint="default"/>
                <w:sz w:val="21"/>
                <w:szCs w:val="21"/>
              </w:rPr>
            </w:pPr>
            <w:r>
              <w:rPr>
                <w:rFonts w:ascii="宋体"/>
                <w:spacing w:val="-1"/>
                <w:sz w:val="21"/>
              </w:rPr>
              <w:t>233,330</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3"/>
              <w:jc w:val="right"/>
              <w:rPr>
                <w:rFonts w:ascii="宋体" w:hAnsi="宋体" w:cs="宋体" w:eastAsia="宋体" w:hint="default"/>
                <w:sz w:val="21"/>
                <w:szCs w:val="21"/>
              </w:rPr>
            </w:pPr>
            <w:r>
              <w:rPr>
                <w:rFonts w:ascii="宋体"/>
                <w:sz w:val="21"/>
              </w:rPr>
              <w:t>21.15</w:t>
            </w:r>
          </w:p>
        </w:tc>
      </w:tr>
      <w:tr>
        <w:trPr>
          <w:trHeight w:val="281" w:hRule="exact"/>
        </w:trPr>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徐洋</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w w:val="100"/>
                <w:sz w:val="21"/>
              </w:rPr>
              <w:t>0</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spacing w:val="-1"/>
                <w:sz w:val="21"/>
              </w:rPr>
              <w:t>233,330</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2"/>
              <w:jc w:val="right"/>
              <w:rPr>
                <w:rFonts w:ascii="宋体" w:hAnsi="宋体" w:cs="宋体" w:eastAsia="宋体" w:hint="default"/>
                <w:sz w:val="21"/>
                <w:szCs w:val="21"/>
              </w:rPr>
            </w:pPr>
            <w:r>
              <w:rPr>
                <w:rFonts w:ascii="宋体"/>
                <w:spacing w:val="-1"/>
                <w:sz w:val="21"/>
              </w:rPr>
              <w:t>233,330</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3"/>
              <w:jc w:val="right"/>
              <w:rPr>
                <w:rFonts w:ascii="宋体" w:hAnsi="宋体" w:cs="宋体" w:eastAsia="宋体" w:hint="default"/>
                <w:sz w:val="21"/>
                <w:szCs w:val="21"/>
              </w:rPr>
            </w:pPr>
            <w:r>
              <w:rPr>
                <w:rFonts w:ascii="宋体"/>
                <w:sz w:val="21"/>
              </w:rPr>
              <w:t>21.15</w:t>
            </w:r>
          </w:p>
        </w:tc>
      </w:tr>
      <w:tr>
        <w:trPr>
          <w:trHeight w:val="284" w:hRule="exact"/>
        </w:trPr>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胡彬</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w w:val="100"/>
                <w:sz w:val="21"/>
              </w:rPr>
              <w:t>0</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spacing w:val="-1"/>
                <w:sz w:val="21"/>
              </w:rPr>
              <w:t>233,330</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2"/>
              <w:jc w:val="right"/>
              <w:rPr>
                <w:rFonts w:ascii="宋体" w:hAnsi="宋体" w:cs="宋体" w:eastAsia="宋体" w:hint="default"/>
                <w:sz w:val="21"/>
                <w:szCs w:val="21"/>
              </w:rPr>
            </w:pPr>
            <w:r>
              <w:rPr>
                <w:rFonts w:ascii="宋体"/>
                <w:spacing w:val="-1"/>
                <w:sz w:val="21"/>
              </w:rPr>
              <w:t>233,330</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3"/>
              <w:jc w:val="right"/>
              <w:rPr>
                <w:rFonts w:ascii="宋体" w:hAnsi="宋体" w:cs="宋体" w:eastAsia="宋体" w:hint="default"/>
                <w:sz w:val="21"/>
                <w:szCs w:val="21"/>
              </w:rPr>
            </w:pPr>
            <w:r>
              <w:rPr>
                <w:rFonts w:ascii="宋体"/>
                <w:sz w:val="21"/>
              </w:rPr>
              <w:t>21.15</w:t>
            </w:r>
          </w:p>
        </w:tc>
      </w:tr>
      <w:tr>
        <w:trPr>
          <w:trHeight w:val="283" w:hRule="exact"/>
        </w:trPr>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徐宝东</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w w:val="100"/>
                <w:sz w:val="21"/>
              </w:rPr>
              <w:t>0</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spacing w:val="-1"/>
                <w:sz w:val="21"/>
              </w:rPr>
              <w:t>233,330</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2"/>
              <w:jc w:val="right"/>
              <w:rPr>
                <w:rFonts w:ascii="宋体" w:hAnsi="宋体" w:cs="宋体" w:eastAsia="宋体" w:hint="default"/>
                <w:sz w:val="21"/>
                <w:szCs w:val="21"/>
              </w:rPr>
            </w:pPr>
            <w:r>
              <w:rPr>
                <w:rFonts w:ascii="宋体"/>
                <w:spacing w:val="-1"/>
                <w:sz w:val="21"/>
              </w:rPr>
              <w:t>233,330</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3"/>
              <w:jc w:val="right"/>
              <w:rPr>
                <w:rFonts w:ascii="宋体" w:hAnsi="宋体" w:cs="宋体" w:eastAsia="宋体" w:hint="default"/>
                <w:sz w:val="21"/>
                <w:szCs w:val="21"/>
              </w:rPr>
            </w:pPr>
            <w:r>
              <w:rPr>
                <w:rFonts w:ascii="宋体"/>
                <w:sz w:val="21"/>
              </w:rPr>
              <w:t>21.15</w:t>
            </w:r>
          </w:p>
        </w:tc>
      </w:tr>
      <w:tr>
        <w:trPr>
          <w:trHeight w:val="281" w:hRule="exact"/>
        </w:trPr>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杨晓柏</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w w:val="100"/>
                <w:sz w:val="21"/>
              </w:rPr>
              <w:t>0</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spacing w:val="-1"/>
                <w:sz w:val="21"/>
              </w:rPr>
              <w:t>233,330</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2"/>
              <w:jc w:val="right"/>
              <w:rPr>
                <w:rFonts w:ascii="宋体" w:hAnsi="宋体" w:cs="宋体" w:eastAsia="宋体" w:hint="default"/>
                <w:sz w:val="21"/>
                <w:szCs w:val="21"/>
              </w:rPr>
            </w:pPr>
            <w:r>
              <w:rPr>
                <w:rFonts w:ascii="宋体"/>
                <w:spacing w:val="-1"/>
                <w:sz w:val="21"/>
              </w:rPr>
              <w:t>233,330</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3"/>
              <w:jc w:val="right"/>
              <w:rPr>
                <w:rFonts w:ascii="宋体" w:hAnsi="宋体" w:cs="宋体" w:eastAsia="宋体" w:hint="default"/>
                <w:sz w:val="21"/>
                <w:szCs w:val="21"/>
              </w:rPr>
            </w:pPr>
            <w:r>
              <w:rPr>
                <w:rFonts w:ascii="宋体"/>
                <w:sz w:val="21"/>
              </w:rPr>
              <w:t>21.15</w:t>
            </w:r>
          </w:p>
        </w:tc>
      </w:tr>
      <w:tr>
        <w:trPr>
          <w:trHeight w:val="283" w:hRule="exact"/>
        </w:trPr>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左骏</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w w:val="100"/>
                <w:sz w:val="21"/>
              </w:rPr>
              <w:t>0</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spacing w:val="-1"/>
                <w:sz w:val="21"/>
              </w:rPr>
              <w:t>233,330</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2"/>
              <w:jc w:val="right"/>
              <w:rPr>
                <w:rFonts w:ascii="宋体" w:hAnsi="宋体" w:cs="宋体" w:eastAsia="宋体" w:hint="default"/>
                <w:sz w:val="21"/>
                <w:szCs w:val="21"/>
              </w:rPr>
            </w:pPr>
            <w:r>
              <w:rPr>
                <w:rFonts w:ascii="宋体"/>
                <w:spacing w:val="-1"/>
                <w:sz w:val="21"/>
              </w:rPr>
              <w:t>233,330</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3"/>
              <w:jc w:val="right"/>
              <w:rPr>
                <w:rFonts w:ascii="宋体" w:hAnsi="宋体" w:cs="宋体" w:eastAsia="宋体" w:hint="default"/>
                <w:sz w:val="21"/>
                <w:szCs w:val="21"/>
              </w:rPr>
            </w:pPr>
            <w:r>
              <w:rPr>
                <w:rFonts w:ascii="宋体"/>
                <w:sz w:val="21"/>
              </w:rPr>
              <w:t>21.15</w:t>
            </w:r>
          </w:p>
        </w:tc>
      </w:tr>
      <w:tr>
        <w:trPr>
          <w:trHeight w:val="283" w:hRule="exact"/>
        </w:trPr>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84"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center"/>
              <w:rPr>
                <w:rFonts w:ascii="宋体" w:hAnsi="宋体" w:cs="宋体" w:eastAsia="宋体" w:hint="default"/>
                <w:sz w:val="21"/>
                <w:szCs w:val="21"/>
              </w:rPr>
            </w:pPr>
            <w:r>
              <w:rPr>
                <w:rFonts w:ascii="宋体"/>
                <w:w w:val="100"/>
                <w:sz w:val="21"/>
              </w:rPr>
              <w:t>/</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w w:val="100"/>
                <w:sz w:val="21"/>
              </w:rPr>
              <w:t>0</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spacing w:val="-1"/>
                <w:sz w:val="21"/>
              </w:rPr>
              <w:t>3,766,640</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7"/>
              <w:jc w:val="right"/>
              <w:rPr>
                <w:rFonts w:ascii="宋体" w:hAnsi="宋体" w:cs="宋体" w:eastAsia="宋体" w:hint="default"/>
                <w:sz w:val="21"/>
                <w:szCs w:val="21"/>
              </w:rPr>
            </w:pPr>
            <w:r>
              <w:rPr>
                <w:rFonts w:ascii="宋体"/>
                <w:w w:val="100"/>
                <w:sz w:val="21"/>
              </w:rPr>
              <w:t>0</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center"/>
              <w:rPr>
                <w:rFonts w:ascii="宋体" w:hAnsi="宋体" w:cs="宋体" w:eastAsia="宋体" w:hint="default"/>
                <w:sz w:val="21"/>
                <w:szCs w:val="21"/>
              </w:rPr>
            </w:pPr>
            <w:r>
              <w:rPr>
                <w:rFonts w:ascii="宋体"/>
                <w:w w:val="100"/>
                <w:sz w:val="21"/>
              </w:rPr>
              <w:t>/</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2"/>
              <w:jc w:val="right"/>
              <w:rPr>
                <w:rFonts w:ascii="宋体" w:hAnsi="宋体" w:cs="宋体" w:eastAsia="宋体" w:hint="default"/>
                <w:sz w:val="21"/>
                <w:szCs w:val="21"/>
              </w:rPr>
            </w:pPr>
            <w:r>
              <w:rPr>
                <w:rFonts w:ascii="宋体"/>
                <w:spacing w:val="-1"/>
                <w:sz w:val="21"/>
              </w:rPr>
              <w:t>3,766,640</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center"/>
              <w:rPr>
                <w:rFonts w:ascii="宋体" w:hAnsi="宋体" w:cs="宋体" w:eastAsia="宋体" w:hint="default"/>
                <w:sz w:val="21"/>
                <w:szCs w:val="21"/>
              </w:rPr>
            </w:pPr>
            <w:r>
              <w:rPr>
                <w:rFonts w:ascii="宋体"/>
                <w:w w:val="100"/>
                <w:sz w:val="21"/>
              </w:rPr>
              <w:t>/</w:t>
            </w:r>
          </w:p>
        </w:tc>
      </w:tr>
    </w:tbl>
    <w:p>
      <w:pPr>
        <w:spacing w:line="240" w:lineRule="auto" w:before="0"/>
        <w:rPr>
          <w:rFonts w:ascii="宋体" w:hAnsi="宋体" w:cs="宋体" w:eastAsia="宋体" w:hint="default"/>
          <w:sz w:val="20"/>
          <w:szCs w:val="20"/>
        </w:rPr>
      </w:pPr>
      <w:r>
        <w:rPr/>
        <w:pict>
          <v:group style="position:absolute;margin-left:74.760002pt;margin-top:66.260010pt;width:696.6pt;height:.1pt;mso-position-horizontal-relative:page;mso-position-vertical-relative:page;z-index:-1046704" coordorigin="1495,1325" coordsize="13932,2">
            <v:shape style="position:absolute;left:1495;top:1325;width:13932;height:2" coordorigin="1495,1325" coordsize="13932,0" path="m1495,1325l15427,1325e" filled="false" stroked="true" strokeweight=".72pt" strokecolor="#000000">
              <v:path arrowok="t"/>
            </v:shape>
            <w10:wrap type="none"/>
          </v:group>
        </w:pict>
      </w:r>
    </w:p>
    <w:p>
      <w:pPr>
        <w:spacing w:line="240" w:lineRule="auto" w:before="13"/>
        <w:rPr>
          <w:rFonts w:ascii="宋体" w:hAnsi="宋体" w:cs="宋体" w:eastAsia="宋体" w:hint="default"/>
          <w:sz w:val="17"/>
          <w:szCs w:val="17"/>
        </w:rPr>
      </w:pPr>
    </w:p>
    <w:p>
      <w:pPr>
        <w:pStyle w:val="BodyText"/>
        <w:spacing w:line="240" w:lineRule="auto" w:before="36"/>
        <w:ind w:left="0" w:right="135"/>
        <w:jc w:val="right"/>
      </w:pPr>
      <w:r>
        <w:rPr>
          <w:spacing w:val="-1"/>
        </w:rPr>
        <w:t>单位</w:t>
      </w:r>
      <w:r>
        <w:rPr>
          <w:rFonts w:ascii="宋体" w:hAnsi="宋体" w:cs="宋体" w:eastAsia="宋体" w:hint="default"/>
          <w:spacing w:val="-1"/>
        </w:rPr>
        <w:t>:</w:t>
      </w:r>
      <w:r>
        <w:rPr>
          <w:spacing w:val="-1"/>
        </w:rPr>
        <w:t>股</w:t>
      </w:r>
    </w:p>
    <w:p>
      <w:pPr>
        <w:spacing w:line="240" w:lineRule="auto" w:before="4"/>
        <w:rPr>
          <w:rFonts w:ascii="宋体" w:hAnsi="宋体" w:cs="宋体" w:eastAsia="宋体" w:hint="default"/>
          <w:sz w:val="2"/>
          <w:szCs w:val="2"/>
        </w:rPr>
      </w:pPr>
    </w:p>
    <w:tbl>
      <w:tblPr>
        <w:tblW w:w="0" w:type="auto"/>
        <w:jc w:val="left"/>
        <w:tblInd w:w="111" w:type="dxa"/>
        <w:tblLayout w:type="fixed"/>
        <w:tblCellMar>
          <w:top w:w="0" w:type="dxa"/>
          <w:left w:w="0" w:type="dxa"/>
          <w:bottom w:w="0" w:type="dxa"/>
          <w:right w:w="0" w:type="dxa"/>
        </w:tblCellMar>
        <w:tblLook w:val="01E0"/>
      </w:tblPr>
      <w:tblGrid>
        <w:gridCol w:w="975"/>
        <w:gridCol w:w="1145"/>
        <w:gridCol w:w="1429"/>
        <w:gridCol w:w="1421"/>
        <w:gridCol w:w="1284"/>
        <w:gridCol w:w="1428"/>
        <w:gridCol w:w="1428"/>
        <w:gridCol w:w="1285"/>
        <w:gridCol w:w="3471"/>
      </w:tblGrid>
      <w:tr>
        <w:trPr>
          <w:trHeight w:val="828" w:hRule="exact"/>
        </w:trPr>
        <w:tc>
          <w:tcPr>
            <w:tcW w:w="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269"/>
              <w:jc w:val="right"/>
              <w:rPr>
                <w:rFonts w:ascii="宋体" w:hAnsi="宋体" w:cs="宋体" w:eastAsia="宋体" w:hint="default"/>
                <w:sz w:val="21"/>
                <w:szCs w:val="21"/>
              </w:rPr>
            </w:pPr>
            <w:r>
              <w:rPr>
                <w:rFonts w:ascii="宋体" w:hAnsi="宋体" w:cs="宋体" w:eastAsia="宋体" w:hint="default"/>
                <w:sz w:val="21"/>
                <w:szCs w:val="21"/>
              </w:rPr>
              <w:t>姓名</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职务</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84" w:right="0"/>
              <w:jc w:val="left"/>
              <w:rPr>
                <w:rFonts w:ascii="宋体" w:hAnsi="宋体" w:cs="宋体" w:eastAsia="宋体" w:hint="default"/>
                <w:sz w:val="21"/>
                <w:szCs w:val="21"/>
              </w:rPr>
            </w:pPr>
            <w:r>
              <w:rPr>
                <w:rFonts w:ascii="宋体" w:hAnsi="宋体" w:cs="宋体" w:eastAsia="宋体" w:hint="default"/>
                <w:sz w:val="21"/>
                <w:szCs w:val="21"/>
              </w:rPr>
              <w:t>年初持有限</w:t>
            </w:r>
          </w:p>
          <w:p>
            <w:pPr>
              <w:pStyle w:val="TableParagraph"/>
              <w:spacing w:line="272" w:lineRule="exact" w:before="27"/>
              <w:ind w:left="604" w:right="178" w:hanging="420"/>
              <w:jc w:val="left"/>
              <w:rPr>
                <w:rFonts w:ascii="宋体" w:hAnsi="宋体" w:cs="宋体" w:eastAsia="宋体" w:hint="default"/>
                <w:sz w:val="21"/>
                <w:szCs w:val="21"/>
              </w:rPr>
            </w:pPr>
            <w:r>
              <w:rPr>
                <w:rFonts w:ascii="宋体" w:hAnsi="宋体" w:cs="宋体" w:eastAsia="宋体" w:hint="default"/>
                <w:sz w:val="21"/>
                <w:szCs w:val="21"/>
              </w:rPr>
              <w:t>制性股票数</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量</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80" w:right="0"/>
              <w:jc w:val="left"/>
              <w:rPr>
                <w:rFonts w:ascii="宋体" w:hAnsi="宋体" w:cs="宋体" w:eastAsia="宋体" w:hint="default"/>
                <w:sz w:val="21"/>
                <w:szCs w:val="21"/>
              </w:rPr>
            </w:pPr>
            <w:r>
              <w:rPr>
                <w:rFonts w:ascii="宋体" w:hAnsi="宋体" w:cs="宋体" w:eastAsia="宋体" w:hint="default"/>
                <w:sz w:val="21"/>
                <w:szCs w:val="21"/>
              </w:rPr>
              <w:t>报告期新授</w:t>
            </w:r>
          </w:p>
          <w:p>
            <w:pPr>
              <w:pStyle w:val="TableParagraph"/>
              <w:spacing w:line="272" w:lineRule="exact" w:before="27"/>
              <w:ind w:left="391" w:right="175" w:hanging="212"/>
              <w:jc w:val="left"/>
              <w:rPr>
                <w:rFonts w:ascii="宋体" w:hAnsi="宋体" w:cs="宋体" w:eastAsia="宋体" w:hint="default"/>
                <w:sz w:val="21"/>
                <w:szCs w:val="21"/>
              </w:rPr>
            </w:pPr>
            <w:r>
              <w:rPr>
                <w:rFonts w:ascii="宋体" w:hAnsi="宋体" w:cs="宋体" w:eastAsia="宋体" w:hint="default"/>
                <w:sz w:val="21"/>
                <w:szCs w:val="21"/>
              </w:rPr>
              <w:t>予限制性股</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票数量</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4" w:right="0"/>
              <w:jc w:val="center"/>
              <w:rPr>
                <w:rFonts w:ascii="宋体" w:hAnsi="宋体" w:cs="宋体" w:eastAsia="宋体" w:hint="default"/>
                <w:sz w:val="21"/>
                <w:szCs w:val="21"/>
              </w:rPr>
            </w:pPr>
            <w:r>
              <w:rPr>
                <w:rFonts w:ascii="宋体" w:hAnsi="宋体" w:cs="宋体" w:eastAsia="宋体" w:hint="default"/>
                <w:sz w:val="21"/>
                <w:szCs w:val="21"/>
              </w:rPr>
              <w:t>限制性股票</w:t>
            </w:r>
          </w:p>
          <w:p>
            <w:pPr>
              <w:pStyle w:val="TableParagraph"/>
              <w:spacing w:line="273" w:lineRule="exact"/>
              <w:ind w:left="4" w:right="0"/>
              <w:jc w:val="center"/>
              <w:rPr>
                <w:rFonts w:ascii="宋体" w:hAnsi="宋体" w:cs="宋体" w:eastAsia="宋体" w:hint="default"/>
                <w:sz w:val="21"/>
                <w:szCs w:val="21"/>
              </w:rPr>
            </w:pPr>
            <w:r>
              <w:rPr>
                <w:rFonts w:ascii="宋体" w:hAnsi="宋体" w:cs="宋体" w:eastAsia="宋体" w:hint="default"/>
                <w:sz w:val="21"/>
                <w:szCs w:val="21"/>
              </w:rPr>
              <w:t>的授予价格</w:t>
            </w:r>
          </w:p>
          <w:p>
            <w:pPr>
              <w:pStyle w:val="TableParagraph"/>
              <w:spacing w:line="273" w:lineRule="exact"/>
              <w:ind w:left="7" w:right="0"/>
              <w:jc w:val="center"/>
              <w:rPr>
                <w:rFonts w:ascii="宋体" w:hAnsi="宋体" w:cs="宋体" w:eastAsia="宋体" w:hint="default"/>
                <w:sz w:val="21"/>
                <w:szCs w:val="21"/>
              </w:rPr>
            </w:pPr>
            <w:r>
              <w:rPr>
                <w:rFonts w:ascii="宋体" w:hAnsi="宋体" w:cs="宋体" w:eastAsia="宋体" w:hint="default"/>
                <w:sz w:val="21"/>
                <w:szCs w:val="21"/>
              </w:rPr>
              <w:t>（元）</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84" w:right="0"/>
              <w:jc w:val="left"/>
              <w:rPr>
                <w:rFonts w:ascii="宋体" w:hAnsi="宋体" w:cs="宋体" w:eastAsia="宋体" w:hint="default"/>
                <w:sz w:val="21"/>
                <w:szCs w:val="21"/>
              </w:rPr>
            </w:pPr>
            <w:r>
              <w:rPr>
                <w:rFonts w:ascii="宋体" w:hAnsi="宋体" w:cs="宋体" w:eastAsia="宋体" w:hint="default"/>
                <w:sz w:val="21"/>
                <w:szCs w:val="21"/>
              </w:rPr>
              <w:t>已解锁股份</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82" w:right="0"/>
              <w:jc w:val="left"/>
              <w:rPr>
                <w:rFonts w:ascii="宋体" w:hAnsi="宋体" w:cs="宋体" w:eastAsia="宋体" w:hint="default"/>
                <w:sz w:val="21"/>
                <w:szCs w:val="21"/>
              </w:rPr>
            </w:pPr>
            <w:r>
              <w:rPr>
                <w:rFonts w:ascii="宋体" w:hAnsi="宋体" w:cs="宋体" w:eastAsia="宋体" w:hint="default"/>
                <w:sz w:val="21"/>
                <w:szCs w:val="21"/>
              </w:rPr>
              <w:t>未解锁股份</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10" w:right="0"/>
              <w:jc w:val="left"/>
              <w:rPr>
                <w:rFonts w:ascii="宋体" w:hAnsi="宋体" w:cs="宋体" w:eastAsia="宋体" w:hint="default"/>
                <w:sz w:val="21"/>
                <w:szCs w:val="21"/>
              </w:rPr>
            </w:pPr>
            <w:r>
              <w:rPr>
                <w:rFonts w:ascii="宋体" w:hAnsi="宋体" w:cs="宋体" w:eastAsia="宋体" w:hint="default"/>
                <w:sz w:val="21"/>
                <w:szCs w:val="21"/>
              </w:rPr>
              <w:t>期末持有限</w:t>
            </w:r>
          </w:p>
          <w:p>
            <w:pPr>
              <w:pStyle w:val="TableParagraph"/>
              <w:spacing w:line="272" w:lineRule="exact" w:before="27"/>
              <w:ind w:left="530" w:right="108" w:hanging="420"/>
              <w:jc w:val="left"/>
              <w:rPr>
                <w:rFonts w:ascii="宋体" w:hAnsi="宋体" w:cs="宋体" w:eastAsia="宋体" w:hint="default"/>
                <w:sz w:val="21"/>
                <w:szCs w:val="21"/>
              </w:rPr>
            </w:pPr>
            <w:r>
              <w:rPr>
                <w:rFonts w:ascii="宋体" w:hAnsi="宋体" w:cs="宋体" w:eastAsia="宋体" w:hint="default"/>
                <w:sz w:val="21"/>
                <w:szCs w:val="21"/>
              </w:rPr>
              <w:t>制性股票数</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量</w:t>
            </w:r>
          </w:p>
        </w:tc>
        <w:tc>
          <w:tcPr>
            <w:tcW w:w="3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784" w:right="0"/>
              <w:jc w:val="left"/>
              <w:rPr>
                <w:rFonts w:ascii="宋体" w:hAnsi="宋体" w:cs="宋体" w:eastAsia="宋体" w:hint="default"/>
                <w:sz w:val="21"/>
                <w:szCs w:val="21"/>
              </w:rPr>
            </w:pPr>
            <w:r>
              <w:rPr>
                <w:rFonts w:ascii="宋体" w:hAnsi="宋体" w:cs="宋体" w:eastAsia="宋体" w:hint="default"/>
                <w:sz w:val="21"/>
                <w:szCs w:val="21"/>
              </w:rPr>
              <w:t>报告期末市价（元）</w:t>
            </w:r>
          </w:p>
        </w:tc>
      </w:tr>
      <w:tr>
        <w:trPr>
          <w:trHeight w:val="281" w:hRule="exact"/>
        </w:trPr>
        <w:tc>
          <w:tcPr>
            <w:tcW w:w="9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6"/>
              <w:jc w:val="right"/>
              <w:rPr>
                <w:rFonts w:ascii="宋体" w:hAnsi="宋体" w:cs="宋体" w:eastAsia="宋体" w:hint="default"/>
                <w:sz w:val="21"/>
                <w:szCs w:val="21"/>
              </w:rPr>
            </w:pPr>
            <w:r>
              <w:rPr>
                <w:rFonts w:ascii="宋体" w:hAnsi="宋体" w:cs="宋体" w:eastAsia="宋体" w:hint="default"/>
                <w:sz w:val="21"/>
                <w:szCs w:val="21"/>
              </w:rPr>
              <w:t>章培林</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84"/>
              <w:jc w:val="center"/>
              <w:rPr>
                <w:rFonts w:ascii="宋体" w:hAnsi="宋体" w:cs="宋体" w:eastAsia="宋体" w:hint="default"/>
                <w:sz w:val="21"/>
                <w:szCs w:val="21"/>
              </w:rPr>
            </w:pPr>
            <w:r>
              <w:rPr>
                <w:rFonts w:ascii="宋体" w:hAnsi="宋体" w:cs="宋体" w:eastAsia="宋体" w:hint="default"/>
                <w:sz w:val="21"/>
                <w:szCs w:val="21"/>
              </w:rPr>
              <w:t>财务总监</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20,160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166,670</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4.12</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186,830</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186,830</w:t>
            </w:r>
          </w:p>
        </w:tc>
        <w:tc>
          <w:tcPr>
            <w:tcW w:w="34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21.15</w:t>
            </w:r>
          </w:p>
        </w:tc>
      </w:tr>
      <w:tr>
        <w:trPr>
          <w:trHeight w:val="554" w:hRule="exact"/>
        </w:trPr>
        <w:tc>
          <w:tcPr>
            <w:tcW w:w="9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6"/>
              <w:jc w:val="right"/>
              <w:rPr>
                <w:rFonts w:ascii="宋体" w:hAnsi="宋体" w:cs="宋体" w:eastAsia="宋体" w:hint="default"/>
                <w:sz w:val="21"/>
                <w:szCs w:val="21"/>
              </w:rPr>
            </w:pPr>
            <w:r>
              <w:rPr>
                <w:rFonts w:ascii="宋体" w:hAnsi="宋体" w:cs="宋体" w:eastAsia="宋体" w:hint="default"/>
                <w:sz w:val="21"/>
                <w:szCs w:val="21"/>
              </w:rPr>
              <w:t>严绍业</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高</w:t>
            </w:r>
            <w:r>
              <w:rPr>
                <w:rFonts w:ascii="宋体" w:hAnsi="宋体" w:cs="宋体" w:eastAsia="宋体" w:hint="default"/>
                <w:spacing w:val="-76"/>
                <w:sz w:val="21"/>
                <w:szCs w:val="21"/>
              </w:rPr>
              <w:t> </w:t>
            </w:r>
            <w:r>
              <w:rPr>
                <w:rFonts w:ascii="宋体" w:hAnsi="宋体" w:cs="宋体" w:eastAsia="宋体" w:hint="default"/>
                <w:sz w:val="21"/>
                <w:szCs w:val="21"/>
              </w:rPr>
              <w:t>级</w:t>
            </w:r>
            <w:r>
              <w:rPr>
                <w:rFonts w:ascii="宋体" w:hAnsi="宋体" w:cs="宋体" w:eastAsia="宋体" w:hint="default"/>
                <w:spacing w:val="-76"/>
                <w:sz w:val="21"/>
                <w:szCs w:val="21"/>
              </w:rPr>
              <w:t> </w:t>
            </w:r>
            <w:r>
              <w:rPr>
                <w:rFonts w:ascii="宋体" w:hAnsi="宋体" w:cs="宋体" w:eastAsia="宋体" w:hint="default"/>
                <w:sz w:val="21"/>
                <w:szCs w:val="21"/>
              </w:rPr>
              <w:t>副</w:t>
            </w:r>
            <w:r>
              <w:rPr>
                <w:rFonts w:ascii="宋体" w:hAnsi="宋体" w:cs="宋体" w:eastAsia="宋体" w:hint="default"/>
                <w:spacing w:val="-73"/>
                <w:sz w:val="21"/>
                <w:szCs w:val="21"/>
              </w:rPr>
              <w:t> </w:t>
            </w:r>
            <w:r>
              <w:rPr>
                <w:rFonts w:ascii="宋体" w:hAnsi="宋体" w:cs="宋体" w:eastAsia="宋体" w:hint="default"/>
                <w:sz w:val="21"/>
                <w:szCs w:val="21"/>
              </w:rPr>
              <w:t>总</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裁</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15,120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116,670</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4.12</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116,670</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116,670</w:t>
            </w:r>
          </w:p>
        </w:tc>
        <w:tc>
          <w:tcPr>
            <w:tcW w:w="34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21.15</w:t>
            </w:r>
          </w:p>
        </w:tc>
      </w:tr>
      <w:tr>
        <w:trPr>
          <w:trHeight w:val="557" w:hRule="exact"/>
        </w:trPr>
        <w:tc>
          <w:tcPr>
            <w:tcW w:w="97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26"/>
              <w:jc w:val="right"/>
              <w:rPr>
                <w:rFonts w:ascii="宋体" w:hAnsi="宋体" w:cs="宋体" w:eastAsia="宋体" w:hint="default"/>
                <w:sz w:val="21"/>
                <w:szCs w:val="21"/>
              </w:rPr>
            </w:pPr>
            <w:r>
              <w:rPr>
                <w:rFonts w:ascii="宋体" w:hAnsi="宋体" w:cs="宋体" w:eastAsia="宋体" w:hint="default"/>
                <w:sz w:val="21"/>
                <w:szCs w:val="21"/>
              </w:rPr>
              <w:t>陈巧红</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w:t>
            </w:r>
            <w:r>
              <w:rPr>
                <w:rFonts w:ascii="宋体" w:hAnsi="宋体" w:cs="宋体" w:eastAsia="宋体" w:hint="default"/>
                <w:spacing w:val="-76"/>
                <w:sz w:val="21"/>
                <w:szCs w:val="21"/>
              </w:rPr>
              <w:t> </w:t>
            </w:r>
            <w:r>
              <w:rPr>
                <w:rFonts w:ascii="宋体" w:hAnsi="宋体" w:cs="宋体" w:eastAsia="宋体" w:hint="default"/>
                <w:sz w:val="21"/>
                <w:szCs w:val="21"/>
              </w:rPr>
              <w:t>级</w:t>
            </w:r>
            <w:r>
              <w:rPr>
                <w:rFonts w:ascii="宋体" w:hAnsi="宋体" w:cs="宋体" w:eastAsia="宋体" w:hint="default"/>
                <w:spacing w:val="-76"/>
                <w:sz w:val="21"/>
                <w:szCs w:val="21"/>
              </w:rPr>
              <w:t> </w:t>
            </w:r>
            <w:r>
              <w:rPr>
                <w:rFonts w:ascii="宋体" w:hAnsi="宋体" w:cs="宋体" w:eastAsia="宋体" w:hint="default"/>
                <w:sz w:val="21"/>
                <w:szCs w:val="21"/>
              </w:rPr>
              <w:t>副</w:t>
            </w:r>
            <w:r>
              <w:rPr>
                <w:rFonts w:ascii="宋体" w:hAnsi="宋体" w:cs="宋体" w:eastAsia="宋体" w:hint="default"/>
                <w:spacing w:val="-73"/>
                <w:sz w:val="21"/>
                <w:szCs w:val="21"/>
              </w:rPr>
              <w:t> </w:t>
            </w:r>
            <w:r>
              <w:rPr>
                <w:rFonts w:ascii="宋体" w:hAnsi="宋体" w:cs="宋体" w:eastAsia="宋体" w:hint="default"/>
                <w:sz w:val="21"/>
                <w:szCs w:val="21"/>
              </w:rPr>
              <w:t>总</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裁</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z w:val="21"/>
              </w:rPr>
              <w:t>14,400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116,670</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z w:val="21"/>
              </w:rPr>
              <w:t>4.12</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w w:val="100"/>
                <w:sz w:val="21"/>
              </w:rPr>
              <w:t>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116,670</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116,670</w:t>
            </w:r>
          </w:p>
        </w:tc>
        <w:tc>
          <w:tcPr>
            <w:tcW w:w="347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z w:val="21"/>
              </w:rPr>
              <w:t>21.15</w:t>
            </w:r>
          </w:p>
        </w:tc>
      </w:tr>
      <w:tr>
        <w:trPr>
          <w:trHeight w:val="554" w:hRule="exact"/>
        </w:trPr>
        <w:tc>
          <w:tcPr>
            <w:tcW w:w="9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6"/>
              <w:jc w:val="right"/>
              <w:rPr>
                <w:rFonts w:ascii="宋体" w:hAnsi="宋体" w:cs="宋体" w:eastAsia="宋体" w:hint="default"/>
                <w:sz w:val="21"/>
                <w:szCs w:val="21"/>
              </w:rPr>
            </w:pPr>
            <w:r>
              <w:rPr>
                <w:rFonts w:ascii="宋体" w:hAnsi="宋体" w:cs="宋体" w:eastAsia="宋体" w:hint="default"/>
                <w:sz w:val="21"/>
                <w:szCs w:val="21"/>
              </w:rPr>
              <w:t>张纪雄</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高</w:t>
            </w:r>
            <w:r>
              <w:rPr>
                <w:rFonts w:ascii="宋体" w:hAnsi="宋体" w:cs="宋体" w:eastAsia="宋体" w:hint="default"/>
                <w:spacing w:val="-76"/>
                <w:sz w:val="21"/>
                <w:szCs w:val="21"/>
              </w:rPr>
              <w:t> </w:t>
            </w:r>
            <w:r>
              <w:rPr>
                <w:rFonts w:ascii="宋体" w:hAnsi="宋体" w:cs="宋体" w:eastAsia="宋体" w:hint="default"/>
                <w:sz w:val="21"/>
                <w:szCs w:val="21"/>
              </w:rPr>
              <w:t>级</w:t>
            </w:r>
            <w:r>
              <w:rPr>
                <w:rFonts w:ascii="宋体" w:hAnsi="宋体" w:cs="宋体" w:eastAsia="宋体" w:hint="default"/>
                <w:spacing w:val="-76"/>
                <w:sz w:val="21"/>
                <w:szCs w:val="21"/>
              </w:rPr>
              <w:t> </w:t>
            </w:r>
            <w:r>
              <w:rPr>
                <w:rFonts w:ascii="宋体" w:hAnsi="宋体" w:cs="宋体" w:eastAsia="宋体" w:hint="default"/>
                <w:sz w:val="21"/>
                <w:szCs w:val="21"/>
              </w:rPr>
              <w:t>副</w:t>
            </w:r>
            <w:r>
              <w:rPr>
                <w:rFonts w:ascii="宋体" w:hAnsi="宋体" w:cs="宋体" w:eastAsia="宋体" w:hint="default"/>
                <w:spacing w:val="-73"/>
                <w:sz w:val="21"/>
                <w:szCs w:val="21"/>
              </w:rPr>
              <w:t> </w:t>
            </w:r>
            <w:r>
              <w:rPr>
                <w:rFonts w:ascii="宋体" w:hAnsi="宋体" w:cs="宋体" w:eastAsia="宋体" w:hint="default"/>
                <w:sz w:val="21"/>
                <w:szCs w:val="21"/>
              </w:rPr>
              <w:t>总</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裁</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33,330</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4.12</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33,330</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33,330</w:t>
            </w:r>
          </w:p>
        </w:tc>
        <w:tc>
          <w:tcPr>
            <w:tcW w:w="34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21.15</w:t>
            </w:r>
          </w:p>
        </w:tc>
      </w:tr>
      <w:tr>
        <w:trPr>
          <w:trHeight w:val="826" w:hRule="exact"/>
        </w:trPr>
        <w:tc>
          <w:tcPr>
            <w:tcW w:w="9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6"/>
              <w:jc w:val="right"/>
              <w:rPr>
                <w:rFonts w:ascii="宋体" w:hAnsi="宋体" w:cs="宋体" w:eastAsia="宋体" w:hint="default"/>
                <w:sz w:val="21"/>
                <w:szCs w:val="21"/>
              </w:rPr>
            </w:pPr>
            <w:r>
              <w:rPr>
                <w:rFonts w:ascii="宋体" w:hAnsi="宋体" w:cs="宋体" w:eastAsia="宋体" w:hint="default"/>
                <w:sz w:val="21"/>
                <w:szCs w:val="21"/>
              </w:rPr>
              <w:t>欧阳青</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高</w:t>
            </w:r>
            <w:r>
              <w:rPr>
                <w:rFonts w:ascii="宋体" w:hAnsi="宋体" w:cs="宋体" w:eastAsia="宋体" w:hint="default"/>
                <w:spacing w:val="-76"/>
                <w:sz w:val="21"/>
                <w:szCs w:val="21"/>
              </w:rPr>
              <w:t> </w:t>
            </w:r>
            <w:r>
              <w:rPr>
                <w:rFonts w:ascii="宋体" w:hAnsi="宋体" w:cs="宋体" w:eastAsia="宋体" w:hint="default"/>
                <w:sz w:val="21"/>
                <w:szCs w:val="21"/>
              </w:rPr>
              <w:t>级</w:t>
            </w:r>
            <w:r>
              <w:rPr>
                <w:rFonts w:ascii="宋体" w:hAnsi="宋体" w:cs="宋体" w:eastAsia="宋体" w:hint="default"/>
                <w:spacing w:val="-76"/>
                <w:sz w:val="21"/>
                <w:szCs w:val="21"/>
              </w:rPr>
              <w:t> </w:t>
            </w:r>
            <w:r>
              <w:rPr>
                <w:rFonts w:ascii="宋体" w:hAnsi="宋体" w:cs="宋体" w:eastAsia="宋体" w:hint="default"/>
                <w:sz w:val="21"/>
                <w:szCs w:val="21"/>
              </w:rPr>
              <w:t>副</w:t>
            </w:r>
            <w:r>
              <w:rPr>
                <w:rFonts w:ascii="宋体" w:hAnsi="宋体" w:cs="宋体" w:eastAsia="宋体" w:hint="default"/>
                <w:spacing w:val="-73"/>
                <w:sz w:val="21"/>
                <w:szCs w:val="21"/>
              </w:rPr>
              <w:t> </w:t>
            </w:r>
            <w:r>
              <w:rPr>
                <w:rFonts w:ascii="宋体" w:hAnsi="宋体" w:cs="宋体" w:eastAsia="宋体" w:hint="default"/>
                <w:sz w:val="21"/>
                <w:szCs w:val="21"/>
              </w:rPr>
              <w:t>总</w:t>
            </w:r>
          </w:p>
          <w:p>
            <w:pPr>
              <w:pStyle w:val="TableParagraph"/>
              <w:spacing w:line="240" w:lineRule="auto"/>
              <w:ind w:left="103" w:right="97"/>
              <w:jc w:val="left"/>
              <w:rPr>
                <w:rFonts w:ascii="宋体" w:hAnsi="宋体" w:cs="宋体" w:eastAsia="宋体" w:hint="default"/>
                <w:sz w:val="21"/>
                <w:szCs w:val="21"/>
              </w:rPr>
            </w:pPr>
            <w:r>
              <w:rPr>
                <w:rFonts w:ascii="宋体" w:hAnsi="宋体" w:cs="宋体" w:eastAsia="宋体" w:hint="default"/>
                <w:sz w:val="21"/>
                <w:szCs w:val="21"/>
              </w:rPr>
              <w:t>裁</w:t>
            </w:r>
            <w:r>
              <w:rPr>
                <w:rFonts w:ascii="宋体" w:hAnsi="宋体" w:cs="宋体" w:eastAsia="宋体" w:hint="default"/>
                <w:spacing w:val="-76"/>
                <w:sz w:val="21"/>
                <w:szCs w:val="21"/>
              </w:rPr>
              <w:t> </w:t>
            </w:r>
            <w:r>
              <w:rPr>
                <w:rFonts w:ascii="宋体" w:hAnsi="宋体" w:cs="宋体" w:eastAsia="宋体" w:hint="default"/>
                <w:sz w:val="21"/>
                <w:szCs w:val="21"/>
              </w:rPr>
              <w:t>兼</w:t>
            </w:r>
            <w:r>
              <w:rPr>
                <w:rFonts w:ascii="宋体" w:hAnsi="宋体" w:cs="宋体" w:eastAsia="宋体" w:hint="default"/>
                <w:spacing w:val="-76"/>
                <w:sz w:val="21"/>
                <w:szCs w:val="21"/>
              </w:rPr>
              <w:t> </w:t>
            </w:r>
            <w:r>
              <w:rPr>
                <w:rFonts w:ascii="宋体" w:hAnsi="宋体" w:cs="宋体" w:eastAsia="宋体" w:hint="default"/>
                <w:sz w:val="21"/>
                <w:szCs w:val="21"/>
              </w:rPr>
              <w:t>董</w:t>
            </w:r>
            <w:r>
              <w:rPr>
                <w:rFonts w:ascii="宋体" w:hAnsi="宋体" w:cs="宋体" w:eastAsia="宋体" w:hint="default"/>
                <w:spacing w:val="-73"/>
                <w:sz w:val="21"/>
                <w:szCs w:val="21"/>
              </w:rPr>
              <w:t> </w:t>
            </w:r>
            <w:r>
              <w:rPr>
                <w:rFonts w:ascii="宋体" w:hAnsi="宋体" w:cs="宋体" w:eastAsia="宋体" w:hint="default"/>
                <w:sz w:val="21"/>
                <w:szCs w:val="21"/>
              </w:rPr>
              <w:t>事</w:t>
            </w:r>
            <w:r>
              <w:rPr>
                <w:rFonts w:ascii="宋体" w:hAnsi="宋体" w:cs="宋体" w:eastAsia="宋体" w:hint="default"/>
                <w:w w:val="100"/>
                <w:sz w:val="21"/>
                <w:szCs w:val="21"/>
              </w:rPr>
              <w:t> </w:t>
            </w:r>
            <w:r>
              <w:rPr>
                <w:rFonts w:ascii="宋体" w:hAnsi="宋体" w:cs="宋体" w:eastAsia="宋体" w:hint="default"/>
                <w:sz w:val="21"/>
                <w:szCs w:val="21"/>
              </w:rPr>
              <w:t>会秘书</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15,120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133,330</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4.12</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133,330</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133,330</w:t>
            </w:r>
          </w:p>
        </w:tc>
        <w:tc>
          <w:tcPr>
            <w:tcW w:w="34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21.15</w:t>
            </w:r>
          </w:p>
        </w:tc>
      </w:tr>
      <w:tr>
        <w:trPr>
          <w:trHeight w:val="557" w:hRule="exact"/>
        </w:trPr>
        <w:tc>
          <w:tcPr>
            <w:tcW w:w="9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6"/>
              <w:jc w:val="right"/>
              <w:rPr>
                <w:rFonts w:ascii="宋体" w:hAnsi="宋体" w:cs="宋体" w:eastAsia="宋体" w:hint="default"/>
                <w:sz w:val="21"/>
                <w:szCs w:val="21"/>
              </w:rPr>
            </w:pPr>
            <w:r>
              <w:rPr>
                <w:rFonts w:ascii="宋体" w:hAnsi="宋体" w:cs="宋体" w:eastAsia="宋体" w:hint="default"/>
                <w:sz w:val="21"/>
                <w:szCs w:val="21"/>
              </w:rPr>
              <w:t>任志刚</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高</w:t>
            </w:r>
            <w:r>
              <w:rPr>
                <w:rFonts w:ascii="宋体" w:hAnsi="宋体" w:cs="宋体" w:eastAsia="宋体" w:hint="default"/>
                <w:spacing w:val="-76"/>
                <w:sz w:val="21"/>
                <w:szCs w:val="21"/>
              </w:rPr>
              <w:t> </w:t>
            </w:r>
            <w:r>
              <w:rPr>
                <w:rFonts w:ascii="宋体" w:hAnsi="宋体" w:cs="宋体" w:eastAsia="宋体" w:hint="default"/>
                <w:sz w:val="21"/>
                <w:szCs w:val="21"/>
              </w:rPr>
              <w:t>级</w:t>
            </w:r>
            <w:r>
              <w:rPr>
                <w:rFonts w:ascii="宋体" w:hAnsi="宋体" w:cs="宋体" w:eastAsia="宋体" w:hint="default"/>
                <w:spacing w:val="-76"/>
                <w:sz w:val="21"/>
                <w:szCs w:val="21"/>
              </w:rPr>
              <w:t> </w:t>
            </w:r>
            <w:r>
              <w:rPr>
                <w:rFonts w:ascii="宋体" w:hAnsi="宋体" w:cs="宋体" w:eastAsia="宋体" w:hint="default"/>
                <w:sz w:val="21"/>
                <w:szCs w:val="21"/>
              </w:rPr>
              <w:t>副</w:t>
            </w:r>
            <w:r>
              <w:rPr>
                <w:rFonts w:ascii="宋体" w:hAnsi="宋体" w:cs="宋体" w:eastAsia="宋体" w:hint="default"/>
                <w:spacing w:val="-73"/>
                <w:sz w:val="21"/>
                <w:szCs w:val="21"/>
              </w:rPr>
              <w:t> </w:t>
            </w:r>
            <w:r>
              <w:rPr>
                <w:rFonts w:ascii="宋体" w:hAnsi="宋体" w:cs="宋体" w:eastAsia="宋体" w:hint="default"/>
                <w:sz w:val="21"/>
                <w:szCs w:val="21"/>
              </w:rPr>
              <w:t>总</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裁</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10,800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116,670</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4.12</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116,670</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116,670</w:t>
            </w:r>
          </w:p>
        </w:tc>
        <w:tc>
          <w:tcPr>
            <w:tcW w:w="34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21.15</w:t>
            </w:r>
          </w:p>
        </w:tc>
      </w:tr>
    </w:tbl>
    <w:p>
      <w:pPr>
        <w:spacing w:after="0" w:line="241" w:lineRule="exact"/>
        <w:jc w:val="right"/>
        <w:rPr>
          <w:rFonts w:ascii="宋体" w:hAnsi="宋体" w:cs="宋体" w:eastAsia="宋体" w:hint="default"/>
          <w:sz w:val="21"/>
          <w:szCs w:val="21"/>
        </w:rPr>
        <w:sectPr>
          <w:pgSz w:w="16840" w:h="11910" w:orient="landscape"/>
          <w:pgMar w:header="855" w:footer="1195" w:top="1280" w:bottom="1380" w:left="1300" w:right="1300"/>
        </w:sectPr>
      </w:pPr>
    </w:p>
    <w:tbl>
      <w:tblPr>
        <w:tblW w:w="0" w:type="auto"/>
        <w:jc w:val="left"/>
        <w:tblInd w:w="111" w:type="dxa"/>
        <w:tblLayout w:type="fixed"/>
        <w:tblCellMar>
          <w:top w:w="0" w:type="dxa"/>
          <w:left w:w="0" w:type="dxa"/>
          <w:bottom w:w="0" w:type="dxa"/>
          <w:right w:w="0" w:type="dxa"/>
        </w:tblCellMar>
        <w:tblLook w:val="01E0"/>
      </w:tblPr>
      <w:tblGrid>
        <w:gridCol w:w="975"/>
        <w:gridCol w:w="1145"/>
        <w:gridCol w:w="1429"/>
        <w:gridCol w:w="1421"/>
        <w:gridCol w:w="1284"/>
        <w:gridCol w:w="1428"/>
        <w:gridCol w:w="1428"/>
        <w:gridCol w:w="1285"/>
        <w:gridCol w:w="3471"/>
      </w:tblGrid>
      <w:tr>
        <w:trPr>
          <w:trHeight w:val="295" w:hRule="exact"/>
        </w:trPr>
        <w:tc>
          <w:tcPr>
            <w:tcW w:w="975"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陈强兵</w:t>
            </w:r>
          </w:p>
        </w:tc>
        <w:tc>
          <w:tcPr>
            <w:tcW w:w="1145"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right="84"/>
              <w:jc w:val="center"/>
              <w:rPr>
                <w:rFonts w:ascii="宋体" w:hAnsi="宋体" w:cs="宋体" w:eastAsia="宋体" w:hint="default"/>
                <w:sz w:val="21"/>
                <w:szCs w:val="21"/>
              </w:rPr>
            </w:pPr>
            <w:r>
              <w:rPr>
                <w:rFonts w:ascii="宋体" w:hAnsi="宋体" w:cs="宋体" w:eastAsia="宋体" w:hint="default"/>
                <w:sz w:val="21"/>
                <w:szCs w:val="21"/>
              </w:rPr>
              <w:t>执行总裁</w:t>
            </w:r>
          </w:p>
        </w:tc>
        <w:tc>
          <w:tcPr>
            <w:tcW w:w="1429"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right="99"/>
              <w:jc w:val="right"/>
              <w:rPr>
                <w:rFonts w:ascii="宋体" w:hAnsi="宋体" w:cs="宋体" w:eastAsia="宋体" w:hint="default"/>
                <w:sz w:val="21"/>
                <w:szCs w:val="21"/>
              </w:rPr>
            </w:pPr>
            <w:r>
              <w:rPr>
                <w:rFonts w:ascii="宋体"/>
                <w:sz w:val="21"/>
              </w:rPr>
              <w:t>10,080</w:t>
            </w:r>
          </w:p>
        </w:tc>
        <w:tc>
          <w:tcPr>
            <w:tcW w:w="1421"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right="96"/>
              <w:jc w:val="right"/>
              <w:rPr>
                <w:rFonts w:ascii="宋体" w:hAnsi="宋体" w:cs="宋体" w:eastAsia="宋体" w:hint="default"/>
                <w:sz w:val="21"/>
                <w:szCs w:val="21"/>
              </w:rPr>
            </w:pPr>
            <w:r>
              <w:rPr>
                <w:rFonts w:ascii="宋体"/>
                <w:spacing w:val="-1"/>
                <w:sz w:val="21"/>
              </w:rPr>
              <w:t>333,330</w:t>
            </w:r>
          </w:p>
        </w:tc>
        <w:tc>
          <w:tcPr>
            <w:tcW w:w="1284"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right="96"/>
              <w:jc w:val="right"/>
              <w:rPr>
                <w:rFonts w:ascii="宋体" w:hAnsi="宋体" w:cs="宋体" w:eastAsia="宋体" w:hint="default"/>
                <w:sz w:val="21"/>
                <w:szCs w:val="21"/>
              </w:rPr>
            </w:pPr>
            <w:r>
              <w:rPr>
                <w:rFonts w:ascii="宋体"/>
                <w:sz w:val="21"/>
              </w:rPr>
              <w:t>4.12</w:t>
            </w:r>
          </w:p>
        </w:tc>
        <w:tc>
          <w:tcPr>
            <w:tcW w:w="1428"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right="98"/>
              <w:jc w:val="right"/>
              <w:rPr>
                <w:rFonts w:ascii="宋体" w:hAnsi="宋体" w:cs="宋体" w:eastAsia="宋体" w:hint="default"/>
                <w:sz w:val="21"/>
                <w:szCs w:val="21"/>
              </w:rPr>
            </w:pPr>
            <w:r>
              <w:rPr>
                <w:rFonts w:ascii="宋体"/>
                <w:w w:val="100"/>
                <w:sz w:val="21"/>
              </w:rPr>
              <w:t>0</w:t>
            </w:r>
          </w:p>
        </w:tc>
        <w:tc>
          <w:tcPr>
            <w:tcW w:w="1428"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right="98"/>
              <w:jc w:val="right"/>
              <w:rPr>
                <w:rFonts w:ascii="宋体" w:hAnsi="宋体" w:cs="宋体" w:eastAsia="宋体" w:hint="default"/>
                <w:sz w:val="21"/>
                <w:szCs w:val="21"/>
              </w:rPr>
            </w:pPr>
            <w:r>
              <w:rPr>
                <w:rFonts w:ascii="宋体"/>
                <w:spacing w:val="-1"/>
                <w:sz w:val="21"/>
              </w:rPr>
              <w:t>333,330</w:t>
            </w:r>
          </w:p>
        </w:tc>
        <w:tc>
          <w:tcPr>
            <w:tcW w:w="1285"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right="99"/>
              <w:jc w:val="right"/>
              <w:rPr>
                <w:rFonts w:ascii="宋体" w:hAnsi="宋体" w:cs="宋体" w:eastAsia="宋体" w:hint="default"/>
                <w:sz w:val="21"/>
                <w:szCs w:val="21"/>
              </w:rPr>
            </w:pPr>
            <w:r>
              <w:rPr>
                <w:rFonts w:ascii="宋体"/>
                <w:spacing w:val="-1"/>
                <w:sz w:val="21"/>
              </w:rPr>
              <w:t>333,330</w:t>
            </w:r>
          </w:p>
        </w:tc>
        <w:tc>
          <w:tcPr>
            <w:tcW w:w="3471"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right="99"/>
              <w:jc w:val="right"/>
              <w:rPr>
                <w:rFonts w:ascii="宋体" w:hAnsi="宋体" w:cs="宋体" w:eastAsia="宋体" w:hint="default"/>
                <w:sz w:val="21"/>
                <w:szCs w:val="21"/>
              </w:rPr>
            </w:pPr>
            <w:r>
              <w:rPr>
                <w:rFonts w:ascii="宋体"/>
                <w:sz w:val="21"/>
              </w:rPr>
              <w:t>21.15</w:t>
            </w:r>
          </w:p>
        </w:tc>
      </w:tr>
      <w:tr>
        <w:trPr>
          <w:trHeight w:val="554" w:hRule="exact"/>
        </w:trPr>
        <w:tc>
          <w:tcPr>
            <w:tcW w:w="9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谢志华</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执</w:t>
            </w:r>
            <w:r>
              <w:rPr>
                <w:rFonts w:ascii="宋体" w:hAnsi="宋体" w:cs="宋体" w:eastAsia="宋体" w:hint="default"/>
                <w:spacing w:val="-76"/>
                <w:sz w:val="21"/>
                <w:szCs w:val="21"/>
              </w:rPr>
              <w:t> </w:t>
            </w:r>
            <w:r>
              <w:rPr>
                <w:rFonts w:ascii="宋体" w:hAnsi="宋体" w:cs="宋体" w:eastAsia="宋体" w:hint="default"/>
                <w:sz w:val="21"/>
                <w:szCs w:val="21"/>
              </w:rPr>
              <w:t>行</w:t>
            </w:r>
            <w:r>
              <w:rPr>
                <w:rFonts w:ascii="宋体" w:hAnsi="宋体" w:cs="宋体" w:eastAsia="宋体" w:hint="default"/>
                <w:spacing w:val="-76"/>
                <w:sz w:val="21"/>
                <w:szCs w:val="21"/>
              </w:rPr>
              <w:t> </w:t>
            </w:r>
            <w:r>
              <w:rPr>
                <w:rFonts w:ascii="宋体" w:hAnsi="宋体" w:cs="宋体" w:eastAsia="宋体" w:hint="default"/>
                <w:sz w:val="21"/>
                <w:szCs w:val="21"/>
              </w:rPr>
              <w:t>副</w:t>
            </w:r>
            <w:r>
              <w:rPr>
                <w:rFonts w:ascii="宋体" w:hAnsi="宋体" w:cs="宋体" w:eastAsia="宋体" w:hint="default"/>
                <w:spacing w:val="-73"/>
                <w:sz w:val="21"/>
                <w:szCs w:val="21"/>
              </w:rPr>
              <w:t> </w:t>
            </w:r>
            <w:r>
              <w:rPr>
                <w:rFonts w:ascii="宋体" w:hAnsi="宋体" w:cs="宋体" w:eastAsia="宋体" w:hint="default"/>
                <w:sz w:val="21"/>
                <w:szCs w:val="21"/>
              </w:rPr>
              <w:t>总</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裁</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17,280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166,670</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4.12</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166,670</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166,670</w:t>
            </w:r>
          </w:p>
        </w:tc>
        <w:tc>
          <w:tcPr>
            <w:tcW w:w="34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21.15</w:t>
            </w:r>
          </w:p>
        </w:tc>
      </w:tr>
      <w:tr>
        <w:trPr>
          <w:trHeight w:val="554" w:hRule="exact"/>
        </w:trPr>
        <w:tc>
          <w:tcPr>
            <w:tcW w:w="9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王健</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高</w:t>
            </w:r>
            <w:r>
              <w:rPr>
                <w:rFonts w:ascii="宋体" w:hAnsi="宋体" w:cs="宋体" w:eastAsia="宋体" w:hint="default"/>
                <w:spacing w:val="-76"/>
                <w:sz w:val="21"/>
                <w:szCs w:val="21"/>
              </w:rPr>
              <w:t> </w:t>
            </w:r>
            <w:r>
              <w:rPr>
                <w:rFonts w:ascii="宋体" w:hAnsi="宋体" w:cs="宋体" w:eastAsia="宋体" w:hint="default"/>
                <w:sz w:val="21"/>
                <w:szCs w:val="21"/>
              </w:rPr>
              <w:t>级</w:t>
            </w:r>
            <w:r>
              <w:rPr>
                <w:rFonts w:ascii="宋体" w:hAnsi="宋体" w:cs="宋体" w:eastAsia="宋体" w:hint="default"/>
                <w:spacing w:val="-76"/>
                <w:sz w:val="21"/>
                <w:szCs w:val="21"/>
              </w:rPr>
              <w:t> </w:t>
            </w:r>
            <w:r>
              <w:rPr>
                <w:rFonts w:ascii="宋体" w:hAnsi="宋体" w:cs="宋体" w:eastAsia="宋体" w:hint="default"/>
                <w:sz w:val="21"/>
                <w:szCs w:val="21"/>
              </w:rPr>
              <w:t>副</w:t>
            </w:r>
            <w:r>
              <w:rPr>
                <w:rFonts w:ascii="宋体" w:hAnsi="宋体" w:cs="宋体" w:eastAsia="宋体" w:hint="default"/>
                <w:spacing w:val="-73"/>
                <w:sz w:val="21"/>
                <w:szCs w:val="21"/>
              </w:rPr>
              <w:t> </w:t>
            </w:r>
            <w:r>
              <w:rPr>
                <w:rFonts w:ascii="宋体" w:hAnsi="宋体" w:cs="宋体" w:eastAsia="宋体" w:hint="default"/>
                <w:sz w:val="21"/>
                <w:szCs w:val="21"/>
              </w:rPr>
              <w:t>总</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裁</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9,792</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116,670</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4.12</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116,670</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116,670</w:t>
            </w:r>
          </w:p>
        </w:tc>
        <w:tc>
          <w:tcPr>
            <w:tcW w:w="34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21.15</w:t>
            </w:r>
          </w:p>
        </w:tc>
      </w:tr>
      <w:tr>
        <w:trPr>
          <w:trHeight w:val="554" w:hRule="exact"/>
        </w:trPr>
        <w:tc>
          <w:tcPr>
            <w:tcW w:w="9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徐洋</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高</w:t>
            </w:r>
            <w:r>
              <w:rPr>
                <w:rFonts w:ascii="宋体" w:hAnsi="宋体" w:cs="宋体" w:eastAsia="宋体" w:hint="default"/>
                <w:spacing w:val="-76"/>
                <w:sz w:val="21"/>
                <w:szCs w:val="21"/>
              </w:rPr>
              <w:t> </w:t>
            </w:r>
            <w:r>
              <w:rPr>
                <w:rFonts w:ascii="宋体" w:hAnsi="宋体" w:cs="宋体" w:eastAsia="宋体" w:hint="default"/>
                <w:sz w:val="21"/>
                <w:szCs w:val="21"/>
              </w:rPr>
              <w:t>级</w:t>
            </w:r>
            <w:r>
              <w:rPr>
                <w:rFonts w:ascii="宋体" w:hAnsi="宋体" w:cs="宋体" w:eastAsia="宋体" w:hint="default"/>
                <w:spacing w:val="-76"/>
                <w:sz w:val="21"/>
                <w:szCs w:val="21"/>
              </w:rPr>
              <w:t> </w:t>
            </w:r>
            <w:r>
              <w:rPr>
                <w:rFonts w:ascii="宋体" w:hAnsi="宋体" w:cs="宋体" w:eastAsia="宋体" w:hint="default"/>
                <w:sz w:val="21"/>
                <w:szCs w:val="21"/>
              </w:rPr>
              <w:t>副</w:t>
            </w:r>
            <w:r>
              <w:rPr>
                <w:rFonts w:ascii="宋体" w:hAnsi="宋体" w:cs="宋体" w:eastAsia="宋体" w:hint="default"/>
                <w:spacing w:val="-73"/>
                <w:sz w:val="21"/>
                <w:szCs w:val="21"/>
              </w:rPr>
              <w:t> </w:t>
            </w:r>
            <w:r>
              <w:rPr>
                <w:rFonts w:ascii="宋体" w:hAnsi="宋体" w:cs="宋体" w:eastAsia="宋体" w:hint="default"/>
                <w:sz w:val="21"/>
                <w:szCs w:val="21"/>
              </w:rPr>
              <w:t>总</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裁</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7,920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116,670</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4.12</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116,670</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116,670</w:t>
            </w:r>
          </w:p>
        </w:tc>
        <w:tc>
          <w:tcPr>
            <w:tcW w:w="34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21.15</w:t>
            </w:r>
          </w:p>
        </w:tc>
      </w:tr>
      <w:tr>
        <w:trPr>
          <w:trHeight w:val="557" w:hRule="exact"/>
        </w:trPr>
        <w:tc>
          <w:tcPr>
            <w:tcW w:w="97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胡彬</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w:t>
            </w:r>
            <w:r>
              <w:rPr>
                <w:rFonts w:ascii="宋体" w:hAnsi="宋体" w:cs="宋体" w:eastAsia="宋体" w:hint="default"/>
                <w:spacing w:val="-76"/>
                <w:sz w:val="21"/>
                <w:szCs w:val="21"/>
              </w:rPr>
              <w:t> </w:t>
            </w:r>
            <w:r>
              <w:rPr>
                <w:rFonts w:ascii="宋体" w:hAnsi="宋体" w:cs="宋体" w:eastAsia="宋体" w:hint="default"/>
                <w:sz w:val="21"/>
                <w:szCs w:val="21"/>
              </w:rPr>
              <w:t>级</w:t>
            </w:r>
            <w:r>
              <w:rPr>
                <w:rFonts w:ascii="宋体" w:hAnsi="宋体" w:cs="宋体" w:eastAsia="宋体" w:hint="default"/>
                <w:spacing w:val="-76"/>
                <w:sz w:val="21"/>
                <w:szCs w:val="21"/>
              </w:rPr>
              <w:t> </w:t>
            </w:r>
            <w:r>
              <w:rPr>
                <w:rFonts w:ascii="宋体" w:hAnsi="宋体" w:cs="宋体" w:eastAsia="宋体" w:hint="default"/>
                <w:sz w:val="21"/>
                <w:szCs w:val="21"/>
              </w:rPr>
              <w:t>副</w:t>
            </w:r>
            <w:r>
              <w:rPr>
                <w:rFonts w:ascii="宋体" w:hAnsi="宋体" w:cs="宋体" w:eastAsia="宋体" w:hint="default"/>
                <w:spacing w:val="-73"/>
                <w:sz w:val="21"/>
                <w:szCs w:val="21"/>
              </w:rPr>
              <w:t> </w:t>
            </w:r>
            <w:r>
              <w:rPr>
                <w:rFonts w:ascii="宋体" w:hAnsi="宋体" w:cs="宋体" w:eastAsia="宋体" w:hint="default"/>
                <w:sz w:val="21"/>
                <w:szCs w:val="21"/>
              </w:rPr>
              <w:t>总</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裁</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z w:val="21"/>
              </w:rPr>
              <w:t>14,688</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116,670</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z w:val="21"/>
              </w:rPr>
              <w:t>4.12</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w w:val="100"/>
                <w:sz w:val="21"/>
              </w:rPr>
              <w:t>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116,670</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116,670</w:t>
            </w:r>
          </w:p>
        </w:tc>
        <w:tc>
          <w:tcPr>
            <w:tcW w:w="347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z w:val="21"/>
              </w:rPr>
              <w:t>21.15</w:t>
            </w:r>
          </w:p>
        </w:tc>
      </w:tr>
      <w:tr>
        <w:trPr>
          <w:trHeight w:val="554" w:hRule="exact"/>
        </w:trPr>
        <w:tc>
          <w:tcPr>
            <w:tcW w:w="9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徐宝东</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高</w:t>
            </w:r>
            <w:r>
              <w:rPr>
                <w:rFonts w:ascii="宋体" w:hAnsi="宋体" w:cs="宋体" w:eastAsia="宋体" w:hint="default"/>
                <w:spacing w:val="-76"/>
                <w:sz w:val="21"/>
                <w:szCs w:val="21"/>
              </w:rPr>
              <w:t> </w:t>
            </w:r>
            <w:r>
              <w:rPr>
                <w:rFonts w:ascii="宋体" w:hAnsi="宋体" w:cs="宋体" w:eastAsia="宋体" w:hint="default"/>
                <w:sz w:val="21"/>
                <w:szCs w:val="21"/>
              </w:rPr>
              <w:t>级</w:t>
            </w:r>
            <w:r>
              <w:rPr>
                <w:rFonts w:ascii="宋体" w:hAnsi="宋体" w:cs="宋体" w:eastAsia="宋体" w:hint="default"/>
                <w:spacing w:val="-76"/>
                <w:sz w:val="21"/>
                <w:szCs w:val="21"/>
              </w:rPr>
              <w:t> </w:t>
            </w:r>
            <w:r>
              <w:rPr>
                <w:rFonts w:ascii="宋体" w:hAnsi="宋体" w:cs="宋体" w:eastAsia="宋体" w:hint="default"/>
                <w:sz w:val="21"/>
                <w:szCs w:val="21"/>
              </w:rPr>
              <w:t>副</w:t>
            </w:r>
            <w:r>
              <w:rPr>
                <w:rFonts w:ascii="宋体" w:hAnsi="宋体" w:cs="宋体" w:eastAsia="宋体" w:hint="default"/>
                <w:spacing w:val="-73"/>
                <w:sz w:val="21"/>
                <w:szCs w:val="21"/>
              </w:rPr>
              <w:t> </w:t>
            </w:r>
            <w:r>
              <w:rPr>
                <w:rFonts w:ascii="宋体" w:hAnsi="宋体" w:cs="宋体" w:eastAsia="宋体" w:hint="default"/>
                <w:sz w:val="21"/>
                <w:szCs w:val="21"/>
              </w:rPr>
              <w:t>总</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裁</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15,120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116,670</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4.12</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116,670</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116,670</w:t>
            </w:r>
          </w:p>
        </w:tc>
        <w:tc>
          <w:tcPr>
            <w:tcW w:w="34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21.15</w:t>
            </w:r>
          </w:p>
        </w:tc>
      </w:tr>
      <w:tr>
        <w:trPr>
          <w:trHeight w:val="554" w:hRule="exact"/>
        </w:trPr>
        <w:tc>
          <w:tcPr>
            <w:tcW w:w="9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杨晓柏</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高</w:t>
            </w:r>
            <w:r>
              <w:rPr>
                <w:rFonts w:ascii="宋体" w:hAnsi="宋体" w:cs="宋体" w:eastAsia="宋体" w:hint="default"/>
                <w:spacing w:val="-76"/>
                <w:sz w:val="21"/>
                <w:szCs w:val="21"/>
              </w:rPr>
              <w:t> </w:t>
            </w:r>
            <w:r>
              <w:rPr>
                <w:rFonts w:ascii="宋体" w:hAnsi="宋体" w:cs="宋体" w:eastAsia="宋体" w:hint="default"/>
                <w:sz w:val="21"/>
                <w:szCs w:val="21"/>
              </w:rPr>
              <w:t>级</w:t>
            </w:r>
            <w:r>
              <w:rPr>
                <w:rFonts w:ascii="宋体" w:hAnsi="宋体" w:cs="宋体" w:eastAsia="宋体" w:hint="default"/>
                <w:spacing w:val="-76"/>
                <w:sz w:val="21"/>
                <w:szCs w:val="21"/>
              </w:rPr>
              <w:t> </w:t>
            </w:r>
            <w:r>
              <w:rPr>
                <w:rFonts w:ascii="宋体" w:hAnsi="宋体" w:cs="宋体" w:eastAsia="宋体" w:hint="default"/>
                <w:sz w:val="21"/>
                <w:szCs w:val="21"/>
              </w:rPr>
              <w:t>副</w:t>
            </w:r>
            <w:r>
              <w:rPr>
                <w:rFonts w:ascii="宋体" w:hAnsi="宋体" w:cs="宋体" w:eastAsia="宋体" w:hint="default"/>
                <w:spacing w:val="-73"/>
                <w:sz w:val="21"/>
                <w:szCs w:val="21"/>
              </w:rPr>
              <w:t> </w:t>
            </w:r>
            <w:r>
              <w:rPr>
                <w:rFonts w:ascii="宋体" w:hAnsi="宋体" w:cs="宋体" w:eastAsia="宋体" w:hint="default"/>
                <w:sz w:val="21"/>
                <w:szCs w:val="21"/>
              </w:rPr>
              <w:t>总</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裁</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15,840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116,670</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4.12</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116,670</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116,670</w:t>
            </w:r>
          </w:p>
        </w:tc>
        <w:tc>
          <w:tcPr>
            <w:tcW w:w="34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21.15</w:t>
            </w:r>
          </w:p>
        </w:tc>
      </w:tr>
      <w:tr>
        <w:trPr>
          <w:trHeight w:val="554" w:hRule="exact"/>
        </w:trPr>
        <w:tc>
          <w:tcPr>
            <w:tcW w:w="9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左骏</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高</w:t>
            </w:r>
            <w:r>
              <w:rPr>
                <w:rFonts w:ascii="宋体" w:hAnsi="宋体" w:cs="宋体" w:eastAsia="宋体" w:hint="default"/>
                <w:spacing w:val="-76"/>
                <w:sz w:val="21"/>
                <w:szCs w:val="21"/>
              </w:rPr>
              <w:t> </w:t>
            </w:r>
            <w:r>
              <w:rPr>
                <w:rFonts w:ascii="宋体" w:hAnsi="宋体" w:cs="宋体" w:eastAsia="宋体" w:hint="default"/>
                <w:sz w:val="21"/>
                <w:szCs w:val="21"/>
              </w:rPr>
              <w:t>级</w:t>
            </w:r>
            <w:r>
              <w:rPr>
                <w:rFonts w:ascii="宋体" w:hAnsi="宋体" w:cs="宋体" w:eastAsia="宋体" w:hint="default"/>
                <w:spacing w:val="-76"/>
                <w:sz w:val="21"/>
                <w:szCs w:val="21"/>
              </w:rPr>
              <w:t> </w:t>
            </w:r>
            <w:r>
              <w:rPr>
                <w:rFonts w:ascii="宋体" w:hAnsi="宋体" w:cs="宋体" w:eastAsia="宋体" w:hint="default"/>
                <w:sz w:val="21"/>
                <w:szCs w:val="21"/>
              </w:rPr>
              <w:t>副</w:t>
            </w:r>
            <w:r>
              <w:rPr>
                <w:rFonts w:ascii="宋体" w:hAnsi="宋体" w:cs="宋体" w:eastAsia="宋体" w:hint="default"/>
                <w:spacing w:val="-73"/>
                <w:sz w:val="21"/>
                <w:szCs w:val="21"/>
              </w:rPr>
              <w:t> </w:t>
            </w:r>
            <w:r>
              <w:rPr>
                <w:rFonts w:ascii="宋体" w:hAnsi="宋体" w:cs="宋体" w:eastAsia="宋体" w:hint="default"/>
                <w:sz w:val="21"/>
                <w:szCs w:val="21"/>
              </w:rPr>
              <w:t>总</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裁</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10,080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116,670</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4.12</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116,670</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116,670</w:t>
            </w:r>
          </w:p>
        </w:tc>
        <w:tc>
          <w:tcPr>
            <w:tcW w:w="34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21.15</w:t>
            </w:r>
          </w:p>
        </w:tc>
      </w:tr>
      <w:tr>
        <w:trPr>
          <w:trHeight w:val="283" w:hRule="exact"/>
        </w:trPr>
        <w:tc>
          <w:tcPr>
            <w:tcW w:w="9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71"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w w:val="100"/>
                <w:sz w:val="21"/>
              </w:rPr>
              <w:t>/</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176,400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1,883,360</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w w:val="100"/>
                <w:sz w:val="21"/>
              </w:rPr>
              <w:t>/</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1,903,520</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1,903,520</w:t>
            </w:r>
          </w:p>
        </w:tc>
        <w:tc>
          <w:tcPr>
            <w:tcW w:w="34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203" w:right="0"/>
              <w:jc w:val="left"/>
              <w:rPr>
                <w:rFonts w:ascii="宋体" w:hAnsi="宋体" w:cs="宋体" w:eastAsia="宋体" w:hint="default"/>
                <w:sz w:val="21"/>
                <w:szCs w:val="21"/>
              </w:rPr>
            </w:pPr>
            <w:r>
              <w:rPr>
                <w:rFonts w:ascii="宋体"/>
                <w:w w:val="100"/>
                <w:sz w:val="21"/>
              </w:rPr>
              <w:t>/</w:t>
            </w:r>
          </w:p>
        </w:tc>
      </w:tr>
    </w:tbl>
    <w:p>
      <w:pPr>
        <w:spacing w:line="240" w:lineRule="auto" w:before="1"/>
        <w:rPr>
          <w:rFonts w:ascii="宋体" w:hAnsi="宋体" w:cs="宋体" w:eastAsia="宋体" w:hint="default"/>
          <w:sz w:val="17"/>
          <w:szCs w:val="17"/>
        </w:rPr>
      </w:pPr>
      <w:r>
        <w:rPr/>
        <w:pict>
          <v:group style="position:absolute;margin-left:74.760002pt;margin-top:66.260010pt;width:696.6pt;height:.1pt;mso-position-horizontal-relative:page;mso-position-vertical-relative:page;z-index:-1046680" coordorigin="1495,1325" coordsize="13932,2">
            <v:shape style="position:absolute;left:1495;top:1325;width:13932;height:2" coordorigin="1495,1325" coordsize="13932,0" path="m1495,1325l15427,1325e" filled="false" stroked="true" strokeweight=".72pt" strokecolor="#000000">
              <v:path arrowok="t"/>
            </v:shape>
            <w10:wrap type="none"/>
          </v:group>
        </w:pict>
      </w:r>
    </w:p>
    <w:p>
      <w:pPr>
        <w:pStyle w:val="BodyText"/>
        <w:spacing w:line="240" w:lineRule="auto" w:before="36"/>
        <w:ind w:left="224" w:right="0"/>
        <w:jc w:val="left"/>
      </w:pPr>
      <w:r>
        <w:rPr/>
        <w:t>注：公司于</w:t>
      </w:r>
      <w:r>
        <w:rPr>
          <w:spacing w:val="-53"/>
        </w:rPr>
        <w:t> </w:t>
      </w:r>
      <w:r>
        <w:rPr>
          <w:rFonts w:ascii="宋体" w:hAnsi="宋体" w:cs="宋体" w:eastAsia="宋体" w:hint="default"/>
        </w:rPr>
        <w:t>2017</w:t>
      </w:r>
      <w:r>
        <w:rPr>
          <w:rFonts w:ascii="宋体" w:hAnsi="宋体" w:cs="宋体" w:eastAsia="宋体" w:hint="default"/>
          <w:spacing w:val="-54"/>
        </w:rPr>
        <w:t> </w:t>
      </w:r>
      <w:r>
        <w:rPr/>
        <w:t>年</w:t>
      </w:r>
      <w:r>
        <w:rPr>
          <w:spacing w:val="-56"/>
        </w:rPr>
        <w:t> </w:t>
      </w:r>
      <w:r>
        <w:rPr>
          <w:rFonts w:ascii="宋体" w:hAnsi="宋体" w:cs="宋体" w:eastAsia="宋体" w:hint="default"/>
        </w:rPr>
        <w:t>3</w:t>
      </w:r>
      <w:r>
        <w:rPr>
          <w:rFonts w:ascii="宋体" w:hAnsi="宋体" w:cs="宋体" w:eastAsia="宋体" w:hint="default"/>
          <w:spacing w:val="-54"/>
        </w:rPr>
        <w:t> </w:t>
      </w:r>
      <w:r>
        <w:rPr/>
        <w:t>月</w:t>
      </w:r>
      <w:r>
        <w:rPr>
          <w:spacing w:val="-56"/>
        </w:rPr>
        <w:t> </w:t>
      </w:r>
      <w:r>
        <w:rPr>
          <w:rFonts w:ascii="宋体" w:hAnsi="宋体" w:cs="宋体" w:eastAsia="宋体" w:hint="default"/>
        </w:rPr>
        <w:t>8</w:t>
      </w:r>
      <w:r>
        <w:rPr>
          <w:rFonts w:ascii="宋体" w:hAnsi="宋体" w:cs="宋体" w:eastAsia="宋体" w:hint="default"/>
          <w:spacing w:val="-56"/>
        </w:rPr>
        <w:t> </w:t>
      </w:r>
      <w:r>
        <w:rPr/>
        <w:t>日披露了《公司关于注销已回购股权激励股份的公告》，注销部分已回购的股份限制性股票。</w:t>
      </w:r>
    </w:p>
    <w:p>
      <w:pPr>
        <w:spacing w:line="240" w:lineRule="auto" w:before="3"/>
        <w:rPr>
          <w:rFonts w:ascii="宋体" w:hAnsi="宋体" w:cs="宋体" w:eastAsia="宋体" w:hint="default"/>
          <w:sz w:val="25"/>
          <w:szCs w:val="25"/>
        </w:rPr>
      </w:pPr>
    </w:p>
    <w:p>
      <w:pPr>
        <w:pStyle w:val="Heading3"/>
        <w:spacing w:line="240" w:lineRule="auto"/>
        <w:ind w:left="224" w:right="0"/>
        <w:jc w:val="left"/>
        <w:rPr>
          <w:b w:val="0"/>
          <w:bCs w:val="0"/>
        </w:rPr>
      </w:pPr>
      <w:r>
        <w:rPr/>
        <w:t>二、现任及报告期内离任董事、监事和高级管理人员的任职情况</w:t>
      </w:r>
      <w:r>
        <w:rPr>
          <w:b w:val="0"/>
          <w:bCs w:val="0"/>
        </w:rPr>
      </w:r>
    </w:p>
    <w:p>
      <w:pPr>
        <w:pStyle w:val="Heading3"/>
        <w:spacing w:line="240" w:lineRule="auto" w:before="58"/>
        <w:ind w:left="224" w:right="0"/>
        <w:jc w:val="left"/>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38"/>
        </w:rPr>
        <w:t> </w:t>
      </w:r>
      <w:r>
        <w:rPr/>
        <w:t>在股东单位任职情况</w:t>
      </w:r>
      <w:r>
        <w:rPr>
          <w:b w:val="0"/>
          <w:bCs w:val="0"/>
        </w:rPr>
      </w:r>
    </w:p>
    <w:p>
      <w:pPr>
        <w:pStyle w:val="BodyText"/>
        <w:spacing w:line="240" w:lineRule="auto" w:before="29"/>
        <w:ind w:left="224" w:right="0"/>
        <w:jc w:val="left"/>
      </w:pPr>
      <w:r>
        <w:rPr/>
        <w:t>√适用 □不适用</w:t>
      </w:r>
    </w:p>
    <w:p>
      <w:pPr>
        <w:spacing w:line="240" w:lineRule="auto" w:before="7"/>
        <w:rPr>
          <w:rFonts w:ascii="宋体" w:hAnsi="宋体" w:cs="宋体" w:eastAsia="宋体" w:hint="default"/>
          <w:sz w:val="2"/>
          <w:szCs w:val="2"/>
        </w:rPr>
      </w:pPr>
    </w:p>
    <w:tbl>
      <w:tblPr>
        <w:tblW w:w="0" w:type="auto"/>
        <w:jc w:val="left"/>
        <w:tblInd w:w="111" w:type="dxa"/>
        <w:tblLayout w:type="fixed"/>
        <w:tblCellMar>
          <w:top w:w="0" w:type="dxa"/>
          <w:left w:w="0" w:type="dxa"/>
          <w:bottom w:w="0" w:type="dxa"/>
          <w:right w:w="0" w:type="dxa"/>
        </w:tblCellMar>
        <w:tblLook w:val="01E0"/>
      </w:tblPr>
      <w:tblGrid>
        <w:gridCol w:w="2756"/>
        <w:gridCol w:w="3622"/>
        <w:gridCol w:w="2787"/>
        <w:gridCol w:w="2357"/>
        <w:gridCol w:w="2343"/>
      </w:tblGrid>
      <w:tr>
        <w:trPr>
          <w:trHeight w:val="281" w:hRule="exact"/>
        </w:trPr>
        <w:tc>
          <w:tcPr>
            <w:tcW w:w="27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41" w:right="0"/>
              <w:jc w:val="left"/>
              <w:rPr>
                <w:rFonts w:ascii="宋体" w:hAnsi="宋体" w:cs="宋体" w:eastAsia="宋体" w:hint="default"/>
                <w:sz w:val="21"/>
                <w:szCs w:val="21"/>
              </w:rPr>
            </w:pPr>
            <w:r>
              <w:rPr>
                <w:rFonts w:ascii="宋体" w:hAnsi="宋体" w:cs="宋体" w:eastAsia="宋体" w:hint="default"/>
                <w:sz w:val="21"/>
                <w:szCs w:val="21"/>
              </w:rPr>
              <w:t>任职人员姓名</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176" w:right="0"/>
              <w:jc w:val="left"/>
              <w:rPr>
                <w:rFonts w:ascii="宋体" w:hAnsi="宋体" w:cs="宋体" w:eastAsia="宋体" w:hint="default"/>
                <w:sz w:val="21"/>
                <w:szCs w:val="21"/>
              </w:rPr>
            </w:pPr>
            <w:r>
              <w:rPr>
                <w:rFonts w:ascii="宋体" w:hAnsi="宋体" w:cs="宋体" w:eastAsia="宋体" w:hint="default"/>
                <w:sz w:val="21"/>
                <w:szCs w:val="21"/>
              </w:rPr>
              <w:t>股东单位名称</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38" w:right="0"/>
              <w:jc w:val="left"/>
              <w:rPr>
                <w:rFonts w:ascii="宋体" w:hAnsi="宋体" w:cs="宋体" w:eastAsia="宋体" w:hint="default"/>
                <w:sz w:val="21"/>
                <w:szCs w:val="21"/>
              </w:rPr>
            </w:pPr>
            <w:r>
              <w:rPr>
                <w:rFonts w:ascii="宋体" w:hAnsi="宋体" w:cs="宋体" w:eastAsia="宋体" w:hint="default"/>
                <w:sz w:val="21"/>
                <w:szCs w:val="21"/>
              </w:rPr>
              <w:t>在股东单位担任的职务</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42" w:right="0"/>
              <w:jc w:val="left"/>
              <w:rPr>
                <w:rFonts w:ascii="宋体" w:hAnsi="宋体" w:cs="宋体" w:eastAsia="宋体" w:hint="default"/>
                <w:sz w:val="21"/>
                <w:szCs w:val="21"/>
              </w:rPr>
            </w:pPr>
            <w:r>
              <w:rPr>
                <w:rFonts w:ascii="宋体" w:hAnsi="宋体" w:cs="宋体" w:eastAsia="宋体" w:hint="default"/>
                <w:sz w:val="21"/>
                <w:szCs w:val="21"/>
              </w:rPr>
              <w:t>任期起始日期</w:t>
            </w:r>
          </w:p>
        </w:tc>
        <w:tc>
          <w:tcPr>
            <w:tcW w:w="23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37" w:right="0"/>
              <w:jc w:val="left"/>
              <w:rPr>
                <w:rFonts w:ascii="宋体" w:hAnsi="宋体" w:cs="宋体" w:eastAsia="宋体" w:hint="default"/>
                <w:sz w:val="21"/>
                <w:szCs w:val="21"/>
              </w:rPr>
            </w:pPr>
            <w:r>
              <w:rPr>
                <w:rFonts w:ascii="宋体" w:hAnsi="宋体" w:cs="宋体" w:eastAsia="宋体" w:hint="default"/>
                <w:sz w:val="21"/>
                <w:szCs w:val="21"/>
              </w:rPr>
              <w:t>任期终止日期</w:t>
            </w:r>
          </w:p>
        </w:tc>
      </w:tr>
      <w:tr>
        <w:trPr>
          <w:trHeight w:val="283" w:hRule="exact"/>
        </w:trPr>
        <w:tc>
          <w:tcPr>
            <w:tcW w:w="27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北京用友科技有限公司</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2015-6-15</w:t>
            </w:r>
          </w:p>
        </w:tc>
        <w:tc>
          <w:tcPr>
            <w:tcW w:w="23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2018-6-14</w:t>
            </w:r>
          </w:p>
        </w:tc>
      </w:tr>
      <w:tr>
        <w:trPr>
          <w:trHeight w:val="283" w:hRule="exact"/>
        </w:trPr>
        <w:tc>
          <w:tcPr>
            <w:tcW w:w="27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北京用友企业管理研究所有限公司</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2015-6-15</w:t>
            </w:r>
          </w:p>
        </w:tc>
        <w:tc>
          <w:tcPr>
            <w:tcW w:w="23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2018-6-14</w:t>
            </w:r>
          </w:p>
        </w:tc>
      </w:tr>
      <w:tr>
        <w:trPr>
          <w:trHeight w:val="281" w:hRule="exact"/>
        </w:trPr>
        <w:tc>
          <w:tcPr>
            <w:tcW w:w="27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上海用友科技咨询有限公司</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2015-6-15</w:t>
            </w:r>
          </w:p>
        </w:tc>
        <w:tc>
          <w:tcPr>
            <w:tcW w:w="23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2018-6-14</w:t>
            </w:r>
          </w:p>
        </w:tc>
      </w:tr>
      <w:tr>
        <w:trPr>
          <w:trHeight w:val="284" w:hRule="exact"/>
        </w:trPr>
        <w:tc>
          <w:tcPr>
            <w:tcW w:w="27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郭新平</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上海益倍管理咨询有限公司</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2015-6-15</w:t>
            </w:r>
          </w:p>
        </w:tc>
        <w:tc>
          <w:tcPr>
            <w:tcW w:w="23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2018-6-14</w:t>
            </w:r>
          </w:p>
        </w:tc>
      </w:tr>
      <w:tr>
        <w:trPr>
          <w:trHeight w:val="281" w:hRule="exact"/>
        </w:trPr>
        <w:tc>
          <w:tcPr>
            <w:tcW w:w="27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郭新平</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北京用友企业管理研究所有限公司</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2015-6-15</w:t>
            </w:r>
          </w:p>
        </w:tc>
        <w:tc>
          <w:tcPr>
            <w:tcW w:w="23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2018-6-14</w:t>
            </w:r>
          </w:p>
        </w:tc>
      </w:tr>
      <w:tr>
        <w:trPr>
          <w:trHeight w:val="557" w:hRule="exact"/>
        </w:trPr>
        <w:tc>
          <w:tcPr>
            <w:tcW w:w="275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共青城优富投资管理合伙企业（有限</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合伙）</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sz w:val="21"/>
              </w:rPr>
              <w:t>2015-6-15</w:t>
            </w:r>
          </w:p>
        </w:tc>
        <w:tc>
          <w:tcPr>
            <w:tcW w:w="234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sz w:val="21"/>
              </w:rPr>
              <w:t>2018-6-14</w:t>
            </w:r>
          </w:p>
        </w:tc>
      </w:tr>
    </w:tbl>
    <w:p>
      <w:pPr>
        <w:spacing w:after="0" w:line="243" w:lineRule="exact"/>
        <w:jc w:val="left"/>
        <w:rPr>
          <w:rFonts w:ascii="宋体" w:hAnsi="宋体" w:cs="宋体" w:eastAsia="宋体" w:hint="default"/>
          <w:sz w:val="21"/>
          <w:szCs w:val="21"/>
        </w:rPr>
        <w:sectPr>
          <w:pgSz w:w="16840" w:h="11910" w:orient="landscape"/>
          <w:pgMar w:header="855" w:footer="1195" w:top="1280" w:bottom="1380" w:left="1300" w:right="1300"/>
        </w:sectPr>
      </w:pPr>
    </w:p>
    <w:tbl>
      <w:tblPr>
        <w:tblW w:w="0" w:type="auto"/>
        <w:jc w:val="left"/>
        <w:tblInd w:w="111" w:type="dxa"/>
        <w:tblLayout w:type="fixed"/>
        <w:tblCellMar>
          <w:top w:w="0" w:type="dxa"/>
          <w:left w:w="0" w:type="dxa"/>
          <w:bottom w:w="0" w:type="dxa"/>
          <w:right w:w="0" w:type="dxa"/>
        </w:tblCellMar>
        <w:tblLook w:val="01E0"/>
      </w:tblPr>
      <w:tblGrid>
        <w:gridCol w:w="2756"/>
        <w:gridCol w:w="3622"/>
        <w:gridCol w:w="2787"/>
        <w:gridCol w:w="2357"/>
        <w:gridCol w:w="2343"/>
      </w:tblGrid>
      <w:tr>
        <w:trPr>
          <w:trHeight w:val="295" w:hRule="exact"/>
        </w:trPr>
        <w:tc>
          <w:tcPr>
            <w:tcW w:w="2756"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3622"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北京用友企业管理研究所有限公司</w:t>
            </w:r>
          </w:p>
        </w:tc>
        <w:tc>
          <w:tcPr>
            <w:tcW w:w="2787"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357"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sz w:val="21"/>
              </w:rPr>
              <w:t>2015-6-15</w:t>
            </w:r>
          </w:p>
        </w:tc>
        <w:tc>
          <w:tcPr>
            <w:tcW w:w="2343"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sz w:val="21"/>
              </w:rPr>
              <w:t>2018-6-14</w:t>
            </w:r>
          </w:p>
        </w:tc>
      </w:tr>
      <w:tr>
        <w:trPr>
          <w:trHeight w:val="283" w:hRule="exact"/>
        </w:trPr>
        <w:tc>
          <w:tcPr>
            <w:tcW w:w="27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在股东单位任职情况的说明</w:t>
            </w:r>
          </w:p>
        </w:tc>
        <w:tc>
          <w:tcPr>
            <w:tcW w:w="11109"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无</w:t>
            </w:r>
          </w:p>
        </w:tc>
      </w:tr>
    </w:tbl>
    <w:p>
      <w:pPr>
        <w:spacing w:line="240" w:lineRule="auto" w:before="9"/>
        <w:rPr>
          <w:rFonts w:ascii="宋体" w:hAnsi="宋体" w:cs="宋体" w:eastAsia="宋体" w:hint="default"/>
          <w:sz w:val="21"/>
          <w:szCs w:val="21"/>
        </w:rPr>
      </w:pPr>
    </w:p>
    <w:p>
      <w:pPr>
        <w:pStyle w:val="Heading3"/>
        <w:spacing w:line="240" w:lineRule="auto" w:before="36"/>
        <w:ind w:left="224" w:right="0"/>
        <w:jc w:val="left"/>
        <w:rPr>
          <w:b w:val="0"/>
          <w:bCs w:val="0"/>
        </w:rPr>
      </w:pPr>
      <w:r>
        <w:rPr/>
        <w:pict>
          <v:group style="position:absolute;margin-left:74.760002pt;margin-top:-42.216328pt;width:696.6pt;height:.1pt;mso-position-horizontal-relative:page;mso-position-vertical-relative:paragraph;z-index:-1046656" coordorigin="1495,-844" coordsize="13932,2">
            <v:shape style="position:absolute;left:1495;top:-844;width:13932;height:2" coordorigin="1495,-844" coordsize="13932,0" path="m1495,-844l15427,-844e" filled="false" stroked="true" strokeweight=".72pt" strokecolor="#000000">
              <v:path arrowok="t"/>
            </v:shape>
            <w10:wrap type="none"/>
          </v:group>
        </w:pict>
      </w:r>
      <w:r>
        <w:rPr>
          <w:rFonts w:ascii="Calibri" w:hAnsi="Calibri" w:cs="Calibri" w:eastAsia="Calibri" w:hint="default"/>
        </w:rPr>
        <w:t>(</w:t>
      </w:r>
      <w:r>
        <w:rPr/>
        <w:t>二</w:t>
      </w:r>
      <w:r>
        <w:rPr>
          <w:rFonts w:ascii="Calibri" w:hAnsi="Calibri" w:cs="Calibri" w:eastAsia="Calibri" w:hint="default"/>
        </w:rPr>
        <w:t>)</w:t>
      </w:r>
      <w:r>
        <w:rPr>
          <w:rFonts w:ascii="Calibri" w:hAnsi="Calibri" w:cs="Calibri" w:eastAsia="Calibri" w:hint="default"/>
          <w:spacing w:val="38"/>
        </w:rPr>
        <w:t> </w:t>
      </w:r>
      <w:r>
        <w:rPr/>
        <w:t>在其他单位任职情况</w:t>
      </w:r>
      <w:r>
        <w:rPr>
          <w:b w:val="0"/>
          <w:bCs w:val="0"/>
        </w:rPr>
      </w:r>
    </w:p>
    <w:p>
      <w:pPr>
        <w:pStyle w:val="BodyText"/>
        <w:spacing w:line="240" w:lineRule="auto" w:before="32"/>
        <w:ind w:left="224" w:right="0"/>
        <w:jc w:val="left"/>
      </w:pPr>
      <w:r>
        <w:rPr/>
        <w:t>√适用 □不适用</w:t>
      </w:r>
    </w:p>
    <w:p>
      <w:pPr>
        <w:spacing w:line="240" w:lineRule="auto" w:before="4"/>
        <w:rPr>
          <w:rFonts w:ascii="宋体" w:hAnsi="宋体" w:cs="宋体" w:eastAsia="宋体" w:hint="default"/>
          <w:sz w:val="2"/>
          <w:szCs w:val="2"/>
        </w:rPr>
      </w:pPr>
    </w:p>
    <w:tbl>
      <w:tblPr>
        <w:tblW w:w="0" w:type="auto"/>
        <w:jc w:val="left"/>
        <w:tblInd w:w="111" w:type="dxa"/>
        <w:tblLayout w:type="fixed"/>
        <w:tblCellMar>
          <w:top w:w="0" w:type="dxa"/>
          <w:left w:w="0" w:type="dxa"/>
          <w:bottom w:w="0" w:type="dxa"/>
          <w:right w:w="0" w:type="dxa"/>
        </w:tblCellMar>
        <w:tblLook w:val="01E0"/>
      </w:tblPr>
      <w:tblGrid>
        <w:gridCol w:w="1702"/>
        <w:gridCol w:w="6728"/>
        <w:gridCol w:w="1712"/>
        <w:gridCol w:w="1858"/>
        <w:gridCol w:w="1865"/>
      </w:tblGrid>
      <w:tr>
        <w:trPr>
          <w:trHeight w:val="55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6" w:right="0"/>
              <w:jc w:val="left"/>
              <w:rPr>
                <w:rFonts w:ascii="宋体" w:hAnsi="宋体" w:cs="宋体" w:eastAsia="宋体" w:hint="default"/>
                <w:sz w:val="21"/>
                <w:szCs w:val="21"/>
              </w:rPr>
            </w:pPr>
            <w:r>
              <w:rPr>
                <w:rFonts w:ascii="宋体" w:hAnsi="宋体" w:cs="宋体" w:eastAsia="宋体" w:hint="default"/>
                <w:sz w:val="21"/>
                <w:szCs w:val="21"/>
              </w:rPr>
              <w:t>任职人员姓名</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7" w:right="0"/>
              <w:jc w:val="center"/>
              <w:rPr>
                <w:rFonts w:ascii="宋体" w:hAnsi="宋体" w:cs="宋体" w:eastAsia="宋体" w:hint="default"/>
                <w:sz w:val="21"/>
                <w:szCs w:val="21"/>
              </w:rPr>
            </w:pPr>
            <w:r>
              <w:rPr>
                <w:rFonts w:ascii="宋体" w:hAnsi="宋体" w:cs="宋体" w:eastAsia="宋体" w:hint="default"/>
                <w:sz w:val="21"/>
                <w:szCs w:val="21"/>
              </w:rPr>
              <w:t>其他单位名称</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 w:right="0"/>
              <w:jc w:val="center"/>
              <w:rPr>
                <w:rFonts w:ascii="宋体" w:hAnsi="宋体" w:cs="宋体" w:eastAsia="宋体" w:hint="default"/>
                <w:sz w:val="21"/>
                <w:szCs w:val="21"/>
              </w:rPr>
            </w:pPr>
            <w:r>
              <w:rPr>
                <w:rFonts w:ascii="宋体" w:hAnsi="宋体" w:cs="宋体" w:eastAsia="宋体" w:hint="default"/>
                <w:sz w:val="21"/>
                <w:szCs w:val="21"/>
              </w:rPr>
              <w:t>在其他单位担任</w:t>
            </w:r>
          </w:p>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的职务</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92" w:right="0"/>
              <w:jc w:val="left"/>
              <w:rPr>
                <w:rFonts w:ascii="宋体" w:hAnsi="宋体" w:cs="宋体" w:eastAsia="宋体" w:hint="default"/>
                <w:sz w:val="21"/>
                <w:szCs w:val="21"/>
              </w:rPr>
            </w:pPr>
            <w:r>
              <w:rPr>
                <w:rFonts w:ascii="宋体" w:hAnsi="宋体" w:cs="宋体" w:eastAsia="宋体" w:hint="default"/>
                <w:sz w:val="21"/>
                <w:szCs w:val="21"/>
              </w:rPr>
              <w:t>任期起始日期</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97" w:right="0"/>
              <w:jc w:val="left"/>
              <w:rPr>
                <w:rFonts w:ascii="宋体" w:hAnsi="宋体" w:cs="宋体" w:eastAsia="宋体" w:hint="default"/>
                <w:sz w:val="21"/>
                <w:szCs w:val="21"/>
              </w:rPr>
            </w:pPr>
            <w:r>
              <w:rPr>
                <w:rFonts w:ascii="宋体" w:hAnsi="宋体" w:cs="宋体" w:eastAsia="宋体" w:hint="default"/>
                <w:sz w:val="21"/>
                <w:szCs w:val="21"/>
              </w:rPr>
              <w:t>任期终止日期</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畅捷通信息技术股份有限公司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sz w:val="21"/>
              </w:rPr>
              <w:t>2016/3/17</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sz w:val="21"/>
              </w:rPr>
              <w:t>2019/3/16</w:t>
            </w:r>
          </w:p>
        </w:tc>
      </w:tr>
      <w:tr>
        <w:trPr>
          <w:trHeight w:val="28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北京用友政务软件有限公司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2016/11/10</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2019/11/9</w:t>
            </w:r>
          </w:p>
        </w:tc>
      </w:tr>
      <w:tr>
        <w:trPr>
          <w:trHeight w:val="28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用友汽车信息科技（上海）股份有限公司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2015/6/29</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2018/6/28</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新道科技股份有限公司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sz w:val="21"/>
              </w:rPr>
              <w:t>2015/6/11</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sz w:val="21"/>
              </w:rPr>
              <w:t>2018/2/27</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厦门用友烟草软件有限责任公司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2014/8/22</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2017/8/21</w:t>
            </w:r>
          </w:p>
        </w:tc>
      </w:tr>
      <w:tr>
        <w:trPr>
          <w:trHeight w:val="28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用友金融信息技术股份有限公司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2016/5/9</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2019/5/8</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用友医疗卫生信息系统有限公司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2016/4/19</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2019/4/18</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北京用友审计软件有限公司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2015/9/25</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2018/9/24</w:t>
            </w:r>
          </w:p>
        </w:tc>
      </w:tr>
      <w:tr>
        <w:trPr>
          <w:trHeight w:val="28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用友移动通信技术服务有限公司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2014/3/4</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2017/3/3</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用友建筑云服务有限公司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2016/12/29</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2019/12/28</w:t>
            </w:r>
          </w:p>
        </w:tc>
      </w:tr>
      <w:tr>
        <w:trPr>
          <w:trHeight w:val="28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北京用友薪福社云科技有限公司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2016/1/29</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2019/1/28</w:t>
            </w:r>
          </w:p>
        </w:tc>
      </w:tr>
      <w:tr>
        <w:trPr>
          <w:trHeight w:val="28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color w:val="333333"/>
                <w:sz w:val="21"/>
                <w:szCs w:val="21"/>
              </w:rPr>
              <w:t>用友能源科技有限公司</w:t>
            </w:r>
            <w:r>
              <w:rPr>
                <w:rFonts w:ascii="宋体" w:hAnsi="宋体" w:cs="宋体" w:eastAsia="宋体" w:hint="default"/>
                <w:sz w:val="21"/>
                <w:szCs w:val="21"/>
              </w:rPr>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color w:val="333333"/>
                <w:sz w:val="21"/>
                <w:szCs w:val="21"/>
              </w:rPr>
              <w:t>执行董事</w:t>
            </w:r>
            <w:r>
              <w:rPr>
                <w:rFonts w:ascii="宋体" w:hAnsi="宋体" w:cs="宋体" w:eastAsia="宋体" w:hint="default"/>
                <w:sz w:val="21"/>
                <w:szCs w:val="21"/>
              </w:rPr>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333333"/>
                <w:sz w:val="21"/>
              </w:rPr>
              <w:t>2015/5/27</w:t>
            </w:r>
            <w:r>
              <w:rPr>
                <w:rFonts w:ascii="宋体"/>
                <w:sz w:val="21"/>
              </w:rPr>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333333"/>
                <w:sz w:val="21"/>
              </w:rPr>
              <w:t>2018/5/27</w:t>
            </w:r>
            <w:r>
              <w:rPr>
                <w:rFonts w:ascii="宋体"/>
                <w:sz w:val="21"/>
              </w:rPr>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color w:val="333333"/>
                <w:sz w:val="21"/>
                <w:szCs w:val="21"/>
              </w:rPr>
              <w:t>用友广信网络科技有限公司</w:t>
            </w:r>
            <w:r>
              <w:rPr>
                <w:rFonts w:ascii="宋体" w:hAnsi="宋体" w:cs="宋体" w:eastAsia="宋体" w:hint="default"/>
                <w:sz w:val="21"/>
                <w:szCs w:val="21"/>
              </w:rPr>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color w:val="333333"/>
                <w:sz w:val="21"/>
                <w:szCs w:val="21"/>
              </w:rPr>
              <w:t>执行董事</w:t>
            </w:r>
            <w:r>
              <w:rPr>
                <w:rFonts w:ascii="宋体" w:hAnsi="宋体" w:cs="宋体" w:eastAsia="宋体" w:hint="default"/>
                <w:sz w:val="21"/>
                <w:szCs w:val="21"/>
              </w:rPr>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333333"/>
                <w:sz w:val="21"/>
              </w:rPr>
              <w:t>2015/5/14</w:t>
            </w:r>
            <w:r>
              <w:rPr>
                <w:rFonts w:ascii="宋体"/>
                <w:sz w:val="21"/>
              </w:rPr>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333333"/>
                <w:sz w:val="21"/>
              </w:rPr>
              <w:t>2018/5/14</w:t>
            </w:r>
            <w:r>
              <w:rPr>
                <w:rFonts w:ascii="宋体"/>
                <w:sz w:val="21"/>
              </w:rPr>
            </w:r>
          </w:p>
        </w:tc>
      </w:tr>
      <w:tr>
        <w:trPr>
          <w:trHeight w:val="28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上海秉钧网络科技股份有限公司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2015/11/5</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2018/11/4</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color w:val="333333"/>
                <w:sz w:val="21"/>
                <w:szCs w:val="21"/>
              </w:rPr>
              <w:t>红火台餐饮云服务有限公司</w:t>
            </w:r>
            <w:r>
              <w:rPr>
                <w:rFonts w:ascii="宋体" w:hAnsi="宋体" w:cs="宋体" w:eastAsia="宋体" w:hint="default"/>
                <w:sz w:val="21"/>
                <w:szCs w:val="21"/>
              </w:rPr>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sz w:val="21"/>
              </w:rPr>
              <w:t>2017/3/10</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sz w:val="21"/>
              </w:rPr>
              <w:t>2020/3/10</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北京畅捷通支付技术有限公司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2016/7/29</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2019/7/28</w:t>
            </w:r>
          </w:p>
        </w:tc>
      </w:tr>
      <w:tr>
        <w:trPr>
          <w:trHeight w:val="28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深圳前海用友力合金融服务有限公司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2014/8/15</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2017/8/14</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三亚用友软件科技有限公司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sz w:val="21"/>
              </w:rPr>
              <w:t>2016/3/11</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sz w:val="21"/>
              </w:rPr>
              <w:t>2019/3/10</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tabs>
                <w:tab w:pos="1473" w:val="left" w:leader="none"/>
                <w:tab w:pos="5146" w:val="left" w:leader="none"/>
              </w:tabs>
              <w:spacing w:line="241" w:lineRule="exact"/>
              <w:ind w:left="105" w:right="0"/>
              <w:jc w:val="left"/>
              <w:rPr>
                <w:rFonts w:ascii="宋体" w:hAnsi="宋体" w:cs="宋体" w:eastAsia="宋体" w:hint="default"/>
                <w:sz w:val="21"/>
                <w:szCs w:val="21"/>
              </w:rPr>
            </w:pPr>
            <w:r>
              <w:rPr>
                <w:rFonts w:ascii="宋体"/>
                <w:sz w:val="21"/>
              </w:rPr>
              <w:t>YONYOU</w:t>
              <w:tab/>
              <w:t>INTERNATIONAL</w:t>
            </w:r>
            <w:r>
              <w:rPr>
                <w:rFonts w:ascii="宋体"/>
                <w:spacing w:val="-5"/>
                <w:sz w:val="21"/>
              </w:rPr>
              <w:t> </w:t>
            </w:r>
            <w:r>
              <w:rPr>
                <w:rFonts w:ascii="宋体"/>
                <w:sz w:val="21"/>
              </w:rPr>
              <w:t>HOLDINGS.,</w:t>
              <w:tab/>
              <w:t>LTD.</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2016/4/3</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2019/4/2</w:t>
            </w:r>
          </w:p>
        </w:tc>
      </w:tr>
      <w:tr>
        <w:trPr>
          <w:trHeight w:val="28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tabs>
                <w:tab w:pos="1156" w:val="left" w:leader="none"/>
                <w:tab w:pos="2626" w:val="left" w:leader="none"/>
                <w:tab w:pos="4517" w:val="left" w:leader="none"/>
              </w:tabs>
              <w:spacing w:line="241" w:lineRule="exact"/>
              <w:ind w:left="105" w:right="0"/>
              <w:jc w:val="left"/>
              <w:rPr>
                <w:rFonts w:ascii="宋体" w:hAnsi="宋体" w:cs="宋体" w:eastAsia="宋体" w:hint="default"/>
                <w:sz w:val="21"/>
                <w:szCs w:val="21"/>
              </w:rPr>
            </w:pPr>
            <w:r>
              <w:rPr>
                <w:rFonts w:ascii="宋体"/>
                <w:sz w:val="21"/>
              </w:rPr>
              <w:t>WECOO</w:t>
              <w:tab/>
            </w:r>
            <w:r>
              <w:rPr>
                <w:rFonts w:ascii="宋体"/>
                <w:spacing w:val="-1"/>
                <w:sz w:val="21"/>
              </w:rPr>
              <w:t>NETWORK</w:t>
              <w:tab/>
              <w:t>TECHNOLOGES</w:t>
              <w:tab/>
              <w:t>CO.,LTD.</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2015/6/28</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2018/6/27</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tabs>
                <w:tab w:pos="1682" w:val="left" w:leader="none"/>
                <w:tab w:pos="3362" w:val="left" w:leader="none"/>
                <w:tab w:pos="5040" w:val="left" w:leader="none"/>
              </w:tabs>
              <w:spacing w:line="241" w:lineRule="exact"/>
              <w:ind w:left="105" w:right="0"/>
              <w:jc w:val="left"/>
              <w:rPr>
                <w:rFonts w:ascii="宋体" w:hAnsi="宋体" w:cs="宋体" w:eastAsia="宋体" w:hint="default"/>
                <w:sz w:val="21"/>
                <w:szCs w:val="21"/>
              </w:rPr>
            </w:pPr>
            <w:r>
              <w:rPr>
                <w:rFonts w:ascii="宋体"/>
                <w:sz w:val="21"/>
              </w:rPr>
              <w:t>YONYOU</w:t>
              <w:tab/>
            </w:r>
            <w:r>
              <w:rPr>
                <w:rFonts w:ascii="宋体"/>
                <w:spacing w:val="-1"/>
                <w:sz w:val="21"/>
              </w:rPr>
              <w:t>(SINGAPORE)</w:t>
              <w:tab/>
              <w:t>PRIVATE</w:t>
              <w:tab/>
              <w:t>LIMITED</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2016/8/27</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2019/8/26</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tabs>
                <w:tab w:pos="1682" w:val="left" w:leader="none"/>
                <w:tab w:pos="3362" w:val="left" w:leader="none"/>
                <w:tab w:pos="5566" w:val="left" w:leader="none"/>
              </w:tabs>
              <w:spacing w:line="241" w:lineRule="exact"/>
              <w:ind w:left="105" w:right="0"/>
              <w:jc w:val="left"/>
              <w:rPr>
                <w:rFonts w:ascii="宋体" w:hAnsi="宋体" w:cs="宋体" w:eastAsia="宋体" w:hint="default"/>
                <w:sz w:val="21"/>
                <w:szCs w:val="21"/>
              </w:rPr>
            </w:pPr>
            <w:r>
              <w:rPr>
                <w:rFonts w:ascii="宋体"/>
                <w:sz w:val="21"/>
              </w:rPr>
              <w:t>YONYOU</w:t>
              <w:tab/>
            </w:r>
            <w:r>
              <w:rPr>
                <w:rFonts w:ascii="宋体"/>
                <w:spacing w:val="-1"/>
                <w:sz w:val="21"/>
              </w:rPr>
              <w:t>(HONG</w:t>
            </w:r>
            <w:r>
              <w:rPr>
                <w:rFonts w:ascii="宋体"/>
                <w:spacing w:val="12"/>
                <w:sz w:val="21"/>
              </w:rPr>
              <w:t> </w:t>
            </w:r>
            <w:r>
              <w:rPr>
                <w:rFonts w:ascii="宋体"/>
                <w:spacing w:val="-2"/>
                <w:sz w:val="21"/>
              </w:rPr>
              <w:t>KONG)</w:t>
              <w:tab/>
            </w:r>
            <w:r>
              <w:rPr>
                <w:rFonts w:ascii="宋体"/>
                <w:spacing w:val="-1"/>
                <w:sz w:val="21"/>
              </w:rPr>
              <w:t>COMPANY</w:t>
              <w:tab/>
              <w:t>LIMITED</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2015/6/27</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2018/6/26</w:t>
            </w:r>
          </w:p>
        </w:tc>
      </w:tr>
      <w:tr>
        <w:trPr>
          <w:trHeight w:val="28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tabs>
                <w:tab w:pos="1682" w:val="left" w:leader="none"/>
                <w:tab w:pos="4202" w:val="left" w:leader="none"/>
              </w:tabs>
              <w:spacing w:line="241" w:lineRule="exact"/>
              <w:ind w:left="105" w:right="0"/>
              <w:jc w:val="left"/>
              <w:rPr>
                <w:rFonts w:ascii="宋体" w:hAnsi="宋体" w:cs="宋体" w:eastAsia="宋体" w:hint="default"/>
                <w:sz w:val="21"/>
                <w:szCs w:val="21"/>
              </w:rPr>
            </w:pPr>
            <w:r>
              <w:rPr>
                <w:rFonts w:ascii="宋体"/>
                <w:sz w:val="21"/>
              </w:rPr>
              <w:t>YONYOU</w:t>
              <w:tab/>
              <w:t>SOFTWARE (MACAU)</w:t>
            </w:r>
            <w:r>
              <w:rPr>
                <w:rFonts w:ascii="宋体"/>
                <w:spacing w:val="-3"/>
                <w:sz w:val="21"/>
              </w:rPr>
              <w:t> </w:t>
            </w:r>
            <w:r>
              <w:rPr>
                <w:rFonts w:ascii="宋体"/>
                <w:sz w:val="21"/>
              </w:rPr>
              <w:t>CO.,</w:t>
              <w:tab/>
              <w:t>LTD.</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2016/3/17</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2019/3/16</w:t>
            </w:r>
          </w:p>
        </w:tc>
      </w:tr>
    </w:tbl>
    <w:p>
      <w:pPr>
        <w:spacing w:after="0" w:line="241" w:lineRule="exact"/>
        <w:jc w:val="left"/>
        <w:rPr>
          <w:rFonts w:ascii="宋体" w:hAnsi="宋体" w:cs="宋体" w:eastAsia="宋体" w:hint="default"/>
          <w:sz w:val="21"/>
          <w:szCs w:val="21"/>
        </w:rPr>
        <w:sectPr>
          <w:pgSz w:w="16840" w:h="11910" w:orient="landscape"/>
          <w:pgMar w:header="855" w:footer="1195" w:top="1280" w:bottom="1380" w:left="1300" w:right="1300"/>
        </w:sectPr>
      </w:pPr>
    </w:p>
    <w:tbl>
      <w:tblPr>
        <w:tblW w:w="0" w:type="auto"/>
        <w:jc w:val="left"/>
        <w:tblInd w:w="111" w:type="dxa"/>
        <w:tblLayout w:type="fixed"/>
        <w:tblCellMar>
          <w:top w:w="0" w:type="dxa"/>
          <w:left w:w="0" w:type="dxa"/>
          <w:bottom w:w="0" w:type="dxa"/>
          <w:right w:w="0" w:type="dxa"/>
        </w:tblCellMar>
        <w:tblLook w:val="01E0"/>
      </w:tblPr>
      <w:tblGrid>
        <w:gridCol w:w="1702"/>
        <w:gridCol w:w="6728"/>
        <w:gridCol w:w="1712"/>
        <w:gridCol w:w="1858"/>
        <w:gridCol w:w="1865"/>
      </w:tblGrid>
      <w:tr>
        <w:trPr>
          <w:trHeight w:val="295" w:hRule="exact"/>
        </w:trPr>
        <w:tc>
          <w:tcPr>
            <w:tcW w:w="1702" w:type="dxa"/>
            <w:tcBorders>
              <w:top w:val="single" w:sz="10"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郭新平</w:t>
            </w:r>
          </w:p>
        </w:tc>
        <w:tc>
          <w:tcPr>
            <w:tcW w:w="6728" w:type="dxa"/>
            <w:tcBorders>
              <w:top w:val="single" w:sz="10"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用友（南昌）产业基地发展有限公司</w:t>
            </w:r>
          </w:p>
        </w:tc>
        <w:tc>
          <w:tcPr>
            <w:tcW w:w="1712" w:type="dxa"/>
            <w:tcBorders>
              <w:top w:val="single" w:sz="10"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1858" w:type="dxa"/>
            <w:tcBorders>
              <w:top w:val="single" w:sz="10"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sz w:val="21"/>
              </w:rPr>
              <w:t>2015/9/7</w:t>
            </w:r>
          </w:p>
        </w:tc>
        <w:tc>
          <w:tcPr>
            <w:tcW w:w="1865" w:type="dxa"/>
            <w:tcBorders>
              <w:top w:val="single" w:sz="10"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sz w:val="21"/>
              </w:rPr>
              <w:t>2018/9/6</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郭新平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畅捷通信息技术股份有限公司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2016/3/17</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2019/3/16</w:t>
            </w:r>
          </w:p>
        </w:tc>
      </w:tr>
      <w:tr>
        <w:trPr>
          <w:trHeight w:val="28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郭新平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北京用友政务软件有限公司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2016/11/10</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2019/11/9</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郭新平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sz w:val="21"/>
                <w:szCs w:val="21"/>
              </w:rPr>
              <w:t>用友汽车信息科技（上海）股份有限公司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sz w:val="21"/>
              </w:rPr>
              <w:t>2015/6/29</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sz w:val="21"/>
              </w:rPr>
              <w:t>2018/6/28</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郭新平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新道科技股份有限公司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2015/6/11</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2018/2/27</w:t>
            </w:r>
          </w:p>
        </w:tc>
      </w:tr>
      <w:tr>
        <w:trPr>
          <w:trHeight w:val="28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郭新平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厦门用友烟草软件有限责任公司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2014/8/21</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2017/8/21</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郭新平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用友金融信息技术股份有限公司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2016/5/9</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2019/5/8</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郭新平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用友移动通信技术服务有限公司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2014/3/4</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2017/3/3</w:t>
            </w:r>
          </w:p>
        </w:tc>
      </w:tr>
      <w:tr>
        <w:trPr>
          <w:trHeight w:val="28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hAnsi="宋体" w:cs="宋体" w:eastAsia="宋体" w:hint="default"/>
                <w:sz w:val="21"/>
                <w:szCs w:val="21"/>
              </w:rPr>
              <w:t>郭新平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5" w:right="0"/>
              <w:jc w:val="left"/>
              <w:rPr>
                <w:rFonts w:ascii="宋体" w:hAnsi="宋体" w:cs="宋体" w:eastAsia="宋体" w:hint="default"/>
                <w:sz w:val="21"/>
                <w:szCs w:val="21"/>
              </w:rPr>
            </w:pPr>
            <w:r>
              <w:rPr>
                <w:rFonts w:ascii="宋体" w:hAnsi="宋体" w:cs="宋体" w:eastAsia="宋体" w:hint="default"/>
                <w:sz w:val="21"/>
                <w:szCs w:val="21"/>
              </w:rPr>
              <w:t>上海秉钧网络科技股份有限公司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sz w:val="21"/>
              </w:rPr>
              <w:t>2015/11/5</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sz w:val="21"/>
              </w:rPr>
              <w:t>2018/11/4</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郭新平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北京畅捷通支付技术有限公司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2016/7/29</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2019/7/28</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郭新平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深圳前海用友力合金融服务有限公司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2014/8/15</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2017/8/15</w:t>
            </w:r>
          </w:p>
        </w:tc>
      </w:tr>
      <w:tr>
        <w:trPr>
          <w:trHeight w:val="28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郭新平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三亚用友软件科技有限公司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2016/2/11</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2019/2/10</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郭新平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北京用友幸福投资管理有限公司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2016/5/12</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2019/5/11</w:t>
            </w:r>
          </w:p>
        </w:tc>
      </w:tr>
      <w:tr>
        <w:trPr>
          <w:trHeight w:val="28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郭新平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tabs>
                <w:tab w:pos="1682" w:val="left" w:leader="none"/>
                <w:tab w:pos="3362" w:val="left" w:leader="none"/>
                <w:tab w:pos="5463" w:val="left" w:leader="none"/>
              </w:tabs>
              <w:spacing w:line="236" w:lineRule="exact"/>
              <w:ind w:left="105" w:right="0"/>
              <w:jc w:val="left"/>
              <w:rPr>
                <w:rFonts w:ascii="宋体" w:hAnsi="宋体" w:cs="宋体" w:eastAsia="宋体" w:hint="default"/>
                <w:sz w:val="21"/>
                <w:szCs w:val="21"/>
              </w:rPr>
            </w:pPr>
            <w:r>
              <w:rPr>
                <w:rFonts w:ascii="宋体"/>
                <w:sz w:val="21"/>
              </w:rPr>
              <w:t>YONYOU</w:t>
              <w:tab/>
            </w:r>
            <w:r>
              <w:rPr>
                <w:rFonts w:ascii="宋体"/>
                <w:spacing w:val="-1"/>
                <w:sz w:val="21"/>
              </w:rPr>
              <w:t>(SINGAPORE)</w:t>
              <w:tab/>
              <w:t>PRIVATE</w:t>
              <w:tab/>
              <w:t>LIMITED</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2016/8/27</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2019/8/26</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郭新平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tabs>
                <w:tab w:pos="1682" w:val="left" w:leader="none"/>
                <w:tab w:pos="4411" w:val="left" w:leader="none"/>
              </w:tabs>
              <w:spacing w:line="238" w:lineRule="exact"/>
              <w:ind w:left="105" w:right="0"/>
              <w:jc w:val="left"/>
              <w:rPr>
                <w:rFonts w:ascii="宋体" w:hAnsi="宋体" w:cs="宋体" w:eastAsia="宋体" w:hint="default"/>
                <w:sz w:val="21"/>
                <w:szCs w:val="21"/>
              </w:rPr>
            </w:pPr>
            <w:r>
              <w:rPr>
                <w:rFonts w:ascii="宋体"/>
                <w:sz w:val="21"/>
              </w:rPr>
              <w:t>YONYOU</w:t>
              <w:tab/>
              <w:t>(HONG KONG)</w:t>
            </w:r>
            <w:r>
              <w:rPr>
                <w:rFonts w:ascii="宋体"/>
                <w:spacing w:val="-5"/>
                <w:sz w:val="21"/>
              </w:rPr>
              <w:t> </w:t>
            </w:r>
            <w:r>
              <w:rPr>
                <w:rFonts w:ascii="宋体"/>
                <w:sz w:val="21"/>
              </w:rPr>
              <w:t>COMPANY</w:t>
              <w:tab/>
              <w:t>LIMITED</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sz w:val="21"/>
              </w:rPr>
              <w:t>2009/6/27</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sz w:val="21"/>
              </w:rPr>
              <w:t>2018/6/26</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北京用友幸福投资管理有限公司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2016/5/12</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2019/5/11</w:t>
            </w:r>
          </w:p>
        </w:tc>
      </w:tr>
      <w:tr>
        <w:trPr>
          <w:trHeight w:val="28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畅捷通信息技术股份有限公司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2016/3/17</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2019/3/16</w:t>
            </w:r>
          </w:p>
        </w:tc>
      </w:tr>
      <w:tr>
        <w:trPr>
          <w:trHeight w:val="28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5" w:right="0"/>
              <w:jc w:val="left"/>
              <w:rPr>
                <w:rFonts w:ascii="宋体" w:hAnsi="宋体" w:cs="宋体" w:eastAsia="宋体" w:hint="default"/>
                <w:sz w:val="21"/>
                <w:szCs w:val="21"/>
              </w:rPr>
            </w:pPr>
            <w:r>
              <w:rPr>
                <w:rFonts w:ascii="宋体" w:hAnsi="宋体" w:cs="宋体" w:eastAsia="宋体" w:hint="default"/>
                <w:sz w:val="21"/>
                <w:szCs w:val="21"/>
              </w:rPr>
              <w:t>北京用友政务软件有限公司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sz w:val="21"/>
              </w:rPr>
              <w:t>2016/11/10</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sz w:val="21"/>
              </w:rPr>
              <w:t>2019/11/9</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用友汽车信息科技（上海）股份有限公司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2015/6/29</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2018/6/28</w:t>
            </w:r>
          </w:p>
        </w:tc>
      </w:tr>
      <w:tr>
        <w:trPr>
          <w:trHeight w:val="28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新道科技股份有限公司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2015/6/11</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2018/2/27</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厦门用友烟草软件有限责任公司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2014/8/21</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2017/8/20</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用友金融信息技术股份有限公司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2016/5/9</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2019/5/8</w:t>
            </w:r>
          </w:p>
        </w:tc>
      </w:tr>
      <w:tr>
        <w:trPr>
          <w:trHeight w:val="28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用友医疗卫生信息系统有限公司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2018/9/16</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2018/9/15</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北京用友审计软件有限公司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2015/3/8</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2018/3/7</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用友移动通信技术服务有限公司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2014/3/4</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2017/3/3</w:t>
            </w:r>
          </w:p>
        </w:tc>
      </w:tr>
      <w:tr>
        <w:trPr>
          <w:trHeight w:val="28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上海秉钧网络科技股份有限公司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2015/11/5</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2018/11/4</w:t>
            </w:r>
          </w:p>
        </w:tc>
      </w:tr>
      <w:tr>
        <w:trPr>
          <w:trHeight w:val="28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5" w:right="0"/>
              <w:jc w:val="left"/>
              <w:rPr>
                <w:rFonts w:ascii="宋体" w:hAnsi="宋体" w:cs="宋体" w:eastAsia="宋体" w:hint="default"/>
                <w:sz w:val="21"/>
                <w:szCs w:val="21"/>
              </w:rPr>
            </w:pPr>
            <w:r>
              <w:rPr>
                <w:rFonts w:ascii="宋体" w:hAnsi="宋体" w:cs="宋体" w:eastAsia="宋体" w:hint="default"/>
                <w:sz w:val="21"/>
                <w:szCs w:val="21"/>
              </w:rPr>
              <w:t>深圳前海用友力合金融服务有限公司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sz w:val="21"/>
              </w:rPr>
              <w:t>2014/8/15</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sz w:val="21"/>
              </w:rPr>
              <w:t>2017/8/15</w:t>
            </w:r>
          </w:p>
        </w:tc>
      </w:tr>
      <w:tr>
        <w:trPr>
          <w:trHeight w:val="28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用友（南昌）产业基地发展有限公司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2015/9/7</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2018/9/6</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sz w:val="21"/>
                <w:szCs w:val="21"/>
              </w:rPr>
              <w:t>三亚用友软件科技有限公司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sz w:val="21"/>
              </w:rPr>
              <w:t>2016/2/11</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sz w:val="21"/>
              </w:rPr>
              <w:t>2019/2/10</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北京用友审计软件有限公司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2015-3-8</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2018-3-7</w:t>
            </w: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672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用友（南昌）产业基地发展有限公司</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2015-9-7</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2018-9-6</w:t>
            </w:r>
          </w:p>
        </w:tc>
      </w:tr>
    </w:tbl>
    <w:p>
      <w:pPr>
        <w:rPr>
          <w:sz w:val="2"/>
          <w:szCs w:val="2"/>
        </w:rPr>
      </w:pPr>
      <w:r>
        <w:rPr/>
        <w:pict>
          <v:group style="position:absolute;margin-left:74.760002pt;margin-top:66.260010pt;width:696.6pt;height:.1pt;mso-position-horizontal-relative:page;mso-position-vertical-relative:page;z-index:-1046632" coordorigin="1495,1325" coordsize="13932,2">
            <v:shape style="position:absolute;left:1495;top:1325;width:13932;height:2" coordorigin="1495,1325" coordsize="13932,0" path="m1495,1325l15427,1325e" filled="false" stroked="true" strokeweight=".72pt" strokecolor="#000000">
              <v:path arrowok="t"/>
            </v:shape>
            <w10:wrap type="none"/>
          </v:group>
        </w:pict>
      </w:r>
    </w:p>
    <w:p>
      <w:pPr>
        <w:spacing w:after="0"/>
        <w:rPr>
          <w:sz w:val="2"/>
          <w:szCs w:val="2"/>
        </w:rPr>
        <w:sectPr>
          <w:footerReference w:type="default" r:id="rId48"/>
          <w:pgSz w:w="16840" w:h="11910" w:orient="landscape"/>
          <w:pgMar w:footer="1195" w:header="855" w:top="1300" w:bottom="1380" w:left="1300" w:right="1300"/>
        </w:sectPr>
      </w:pPr>
    </w:p>
    <w:tbl>
      <w:tblPr>
        <w:tblW w:w="0" w:type="auto"/>
        <w:jc w:val="left"/>
        <w:tblInd w:w="111" w:type="dxa"/>
        <w:tblLayout w:type="fixed"/>
        <w:tblCellMar>
          <w:top w:w="0" w:type="dxa"/>
          <w:left w:w="0" w:type="dxa"/>
          <w:bottom w:w="0" w:type="dxa"/>
          <w:right w:w="0" w:type="dxa"/>
        </w:tblCellMar>
        <w:tblLook w:val="01E0"/>
      </w:tblPr>
      <w:tblGrid>
        <w:gridCol w:w="1702"/>
        <w:gridCol w:w="6728"/>
        <w:gridCol w:w="1712"/>
        <w:gridCol w:w="1858"/>
        <w:gridCol w:w="1865"/>
      </w:tblGrid>
      <w:tr>
        <w:trPr>
          <w:trHeight w:val="295" w:hRule="exact"/>
        </w:trPr>
        <w:tc>
          <w:tcPr>
            <w:tcW w:w="1702"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6728"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left="105" w:right="0"/>
              <w:jc w:val="left"/>
              <w:rPr>
                <w:rFonts w:ascii="宋体" w:hAnsi="宋体" w:cs="宋体" w:eastAsia="宋体" w:hint="default"/>
                <w:sz w:val="21"/>
                <w:szCs w:val="21"/>
              </w:rPr>
            </w:pPr>
            <w:r>
              <w:rPr>
                <w:rFonts w:ascii="宋体" w:hAnsi="宋体" w:cs="宋体" w:eastAsia="宋体" w:hint="default"/>
                <w:sz w:val="21"/>
                <w:szCs w:val="21"/>
              </w:rPr>
              <w:t>三亚用友软件科技有限公司</w:t>
            </w:r>
          </w:p>
        </w:tc>
        <w:tc>
          <w:tcPr>
            <w:tcW w:w="1712"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858"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sz w:val="21"/>
              </w:rPr>
              <w:t>2016-2-11</w:t>
            </w:r>
          </w:p>
        </w:tc>
        <w:tc>
          <w:tcPr>
            <w:tcW w:w="1865"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sz w:val="21"/>
              </w:rPr>
              <w:t>2019-2-10</w:t>
            </w:r>
          </w:p>
        </w:tc>
      </w:tr>
      <w:tr>
        <w:trPr>
          <w:trHeight w:val="55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在其他单位任职</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情况的说明</w:t>
            </w:r>
          </w:p>
        </w:tc>
        <w:tc>
          <w:tcPr>
            <w:tcW w:w="1216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无</w:t>
            </w:r>
          </w:p>
        </w:tc>
      </w:tr>
    </w:tbl>
    <w:p>
      <w:pPr>
        <w:spacing w:line="240" w:lineRule="auto" w:before="11"/>
        <w:rPr>
          <w:rFonts w:ascii="宋体" w:hAnsi="宋体" w:cs="宋体" w:eastAsia="宋体" w:hint="default"/>
          <w:sz w:val="21"/>
          <w:szCs w:val="21"/>
        </w:rPr>
      </w:pPr>
    </w:p>
    <w:p>
      <w:pPr>
        <w:pStyle w:val="Heading3"/>
        <w:spacing w:line="240" w:lineRule="auto" w:before="36"/>
        <w:ind w:left="224" w:right="0"/>
        <w:jc w:val="left"/>
        <w:rPr>
          <w:b w:val="0"/>
          <w:bCs w:val="0"/>
        </w:rPr>
      </w:pPr>
      <w:r>
        <w:rPr/>
        <w:pict>
          <v:group style="position:absolute;margin-left:74.760002pt;margin-top:-55.89632pt;width:696.6pt;height:.1pt;mso-position-horizontal-relative:page;mso-position-vertical-relative:paragraph;z-index:-1046608" coordorigin="1495,-1118" coordsize="13932,2">
            <v:shape style="position:absolute;left:1495;top:-1118;width:13932;height:2" coordorigin="1495,-1118" coordsize="13932,0" path="m1495,-1118l15427,-1118e" filled="false" stroked="true" strokeweight=".72pt" strokecolor="#000000">
              <v:path arrowok="t"/>
            </v:shape>
            <w10:wrap type="none"/>
          </v:group>
        </w:pict>
      </w:r>
      <w:r>
        <w:rPr/>
        <w:t>三、董事、监事、高级管理人员报酬情况</w:t>
      </w:r>
      <w:r>
        <w:rPr>
          <w:b w:val="0"/>
          <w:bCs w:val="0"/>
        </w:rPr>
      </w:r>
    </w:p>
    <w:p>
      <w:pPr>
        <w:pStyle w:val="BodyText"/>
        <w:spacing w:line="240" w:lineRule="auto" w:before="56"/>
        <w:ind w:left="224" w:right="0"/>
        <w:jc w:val="left"/>
      </w:pPr>
      <w:r>
        <w:rPr/>
        <w:t>√适用 □不适用</w:t>
      </w:r>
    </w:p>
    <w:p>
      <w:pPr>
        <w:spacing w:line="240" w:lineRule="auto" w:before="7"/>
        <w:rPr>
          <w:rFonts w:ascii="宋体" w:hAnsi="宋体" w:cs="宋体" w:eastAsia="宋体" w:hint="default"/>
          <w:sz w:val="2"/>
          <w:szCs w:val="2"/>
        </w:rPr>
      </w:pPr>
    </w:p>
    <w:tbl>
      <w:tblPr>
        <w:tblW w:w="0" w:type="auto"/>
        <w:jc w:val="left"/>
        <w:tblInd w:w="111" w:type="dxa"/>
        <w:tblLayout w:type="fixed"/>
        <w:tblCellMar>
          <w:top w:w="0" w:type="dxa"/>
          <w:left w:w="0" w:type="dxa"/>
          <w:bottom w:w="0" w:type="dxa"/>
          <w:right w:w="0" w:type="dxa"/>
        </w:tblCellMar>
        <w:tblLook w:val="01E0"/>
      </w:tblPr>
      <w:tblGrid>
        <w:gridCol w:w="4297"/>
        <w:gridCol w:w="9568"/>
      </w:tblGrid>
      <w:tr>
        <w:trPr>
          <w:trHeight w:val="2189"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董事、监事、高级管理人员报酬的决策程序</w:t>
            </w:r>
          </w:p>
        </w:tc>
        <w:tc>
          <w:tcPr>
            <w:tcW w:w="956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both"/>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、公司按年度对公司董事、监事和高级管理人员的业绩和履行职责情况进行考评，并不定期进行可比</w:t>
            </w:r>
          </w:p>
          <w:p>
            <w:pPr>
              <w:pStyle w:val="TableParagraph"/>
              <w:spacing w:line="237" w:lineRule="auto"/>
              <w:ind w:left="103" w:right="96"/>
              <w:jc w:val="both"/>
              <w:rPr>
                <w:rFonts w:ascii="宋体" w:hAnsi="宋体" w:cs="宋体" w:eastAsia="宋体" w:hint="default"/>
                <w:sz w:val="21"/>
                <w:szCs w:val="21"/>
              </w:rPr>
            </w:pPr>
            <w:r>
              <w:rPr>
                <w:rFonts w:ascii="宋体" w:hAnsi="宋体" w:cs="宋体" w:eastAsia="宋体" w:hint="default"/>
                <w:spacing w:val="-2"/>
                <w:sz w:val="21"/>
                <w:szCs w:val="21"/>
              </w:rPr>
              <w:t>企业董事、监事和高级管理人员市场薪酬调查。</w:t>
            </w:r>
            <w:r>
              <w:rPr>
                <w:rFonts w:ascii="宋体" w:hAnsi="宋体" w:cs="宋体" w:eastAsia="宋体" w:hint="default"/>
                <w:spacing w:val="-2"/>
                <w:sz w:val="21"/>
                <w:szCs w:val="21"/>
              </w:rPr>
              <w:t>2</w:t>
            </w:r>
            <w:r>
              <w:rPr>
                <w:rFonts w:ascii="宋体" w:hAnsi="宋体" w:cs="宋体" w:eastAsia="宋体" w:hint="default"/>
                <w:spacing w:val="-2"/>
                <w:sz w:val="21"/>
                <w:szCs w:val="21"/>
              </w:rPr>
              <w:t>、公司根据绩效考评结果和报酬调查结果，确定有竞</w:t>
            </w:r>
            <w:r>
              <w:rPr>
                <w:rFonts w:ascii="宋体" w:hAnsi="宋体" w:cs="宋体" w:eastAsia="宋体" w:hint="default"/>
                <w:spacing w:val="-20"/>
                <w:sz w:val="21"/>
                <w:szCs w:val="21"/>
              </w:rPr>
              <w:t> </w:t>
            </w:r>
            <w:r>
              <w:rPr>
                <w:rFonts w:ascii="宋体" w:hAnsi="宋体" w:cs="宋体" w:eastAsia="宋体" w:hint="default"/>
                <w:spacing w:val="-20"/>
                <w:sz w:val="21"/>
                <w:szCs w:val="21"/>
              </w:rPr>
            </w:r>
            <w:r>
              <w:rPr>
                <w:rFonts w:ascii="宋体" w:hAnsi="宋体" w:cs="宋体" w:eastAsia="宋体" w:hint="default"/>
                <w:spacing w:val="-2"/>
                <w:sz w:val="21"/>
                <w:szCs w:val="21"/>
              </w:rPr>
              <w:t>争力的年薪报酬和薪酬结构。</w:t>
            </w:r>
            <w:r>
              <w:rPr>
                <w:rFonts w:ascii="宋体" w:hAnsi="宋体" w:cs="宋体" w:eastAsia="宋体" w:hint="default"/>
                <w:spacing w:val="-2"/>
                <w:sz w:val="21"/>
                <w:szCs w:val="21"/>
              </w:rPr>
              <w:t>3</w:t>
            </w:r>
            <w:r>
              <w:rPr>
                <w:rFonts w:ascii="宋体" w:hAnsi="宋体" w:cs="宋体" w:eastAsia="宋体" w:hint="default"/>
                <w:spacing w:val="-2"/>
                <w:sz w:val="21"/>
                <w:szCs w:val="21"/>
              </w:rPr>
              <w:t>、公司董事、监事和高级管理人员奖金报酬与公司经营业绩结果直接挂</w:t>
            </w:r>
            <w:r>
              <w:rPr>
                <w:rFonts w:ascii="宋体" w:hAnsi="宋体" w:cs="宋体" w:eastAsia="宋体" w:hint="default"/>
                <w:spacing w:val="-19"/>
                <w:sz w:val="21"/>
                <w:szCs w:val="21"/>
              </w:rPr>
              <w:t> </w:t>
            </w:r>
            <w:r>
              <w:rPr>
                <w:rFonts w:ascii="宋体" w:hAnsi="宋体" w:cs="宋体" w:eastAsia="宋体" w:hint="default"/>
                <w:spacing w:val="-19"/>
                <w:sz w:val="21"/>
                <w:szCs w:val="21"/>
              </w:rPr>
            </w:r>
            <w:r>
              <w:rPr>
                <w:rFonts w:ascii="宋体" w:hAnsi="宋体" w:cs="宋体" w:eastAsia="宋体" w:hint="default"/>
                <w:spacing w:val="-4"/>
                <w:sz w:val="21"/>
                <w:szCs w:val="21"/>
              </w:rPr>
              <w:t>钩。公司每年年初审定批准公司年度经营计划和业绩目标，年度结束后根据实际业绩结果完成情况，核</w:t>
            </w:r>
            <w:r>
              <w:rPr>
                <w:rFonts w:ascii="宋体" w:hAnsi="宋体" w:cs="宋体" w:eastAsia="宋体" w:hint="default"/>
                <w:spacing w:val="-32"/>
                <w:sz w:val="21"/>
                <w:szCs w:val="21"/>
              </w:rPr>
              <w:t> </w:t>
            </w:r>
            <w:r>
              <w:rPr>
                <w:rFonts w:ascii="宋体" w:hAnsi="宋体" w:cs="宋体" w:eastAsia="宋体" w:hint="default"/>
                <w:spacing w:val="-32"/>
                <w:sz w:val="21"/>
                <w:szCs w:val="21"/>
              </w:rPr>
            </w:r>
            <w:r>
              <w:rPr>
                <w:rFonts w:ascii="宋体" w:hAnsi="宋体" w:cs="宋体" w:eastAsia="宋体" w:hint="default"/>
                <w:spacing w:val="-4"/>
                <w:sz w:val="21"/>
                <w:szCs w:val="21"/>
              </w:rPr>
              <w:t>定批准公司董事、监事和高级管理人员的奖金数。公司董事、监事的薪酬方案及薪酬情况，需提交公司</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4"/>
                <w:sz w:val="21"/>
                <w:szCs w:val="21"/>
              </w:rPr>
              <w:t>董事会、监事会审议后，报股东大会审议批准。公司高级管理人员的薪酬方案及薪酬情况，需提交公司</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pacing w:val="-2"/>
                <w:sz w:val="21"/>
                <w:szCs w:val="21"/>
              </w:rPr>
              <w:t>董事会审议批准。</w:t>
            </w:r>
            <w:r>
              <w:rPr>
                <w:rFonts w:ascii="宋体" w:hAnsi="宋体" w:cs="宋体" w:eastAsia="宋体" w:hint="default"/>
                <w:spacing w:val="-2"/>
                <w:sz w:val="21"/>
                <w:szCs w:val="21"/>
              </w:rPr>
              <w:t>4</w:t>
            </w:r>
            <w:r>
              <w:rPr>
                <w:rFonts w:ascii="宋体" w:hAnsi="宋体" w:cs="宋体" w:eastAsia="宋体" w:hint="default"/>
                <w:spacing w:val="-2"/>
                <w:sz w:val="21"/>
                <w:szCs w:val="21"/>
              </w:rPr>
              <w:t>、独立董事实行年度津贴制，由公司董事会确定年度津贴标准议案，报经股东大会</w:t>
            </w:r>
            <w:r>
              <w:rPr>
                <w:rFonts w:ascii="宋体" w:hAnsi="宋体" w:cs="宋体" w:eastAsia="宋体" w:hint="default"/>
                <w:spacing w:val="-19"/>
                <w:sz w:val="21"/>
                <w:szCs w:val="21"/>
              </w:rPr>
              <w:t> </w:t>
            </w:r>
            <w:r>
              <w:rPr>
                <w:rFonts w:ascii="宋体" w:hAnsi="宋体" w:cs="宋体" w:eastAsia="宋体" w:hint="default"/>
                <w:spacing w:val="-19"/>
                <w:sz w:val="21"/>
                <w:szCs w:val="21"/>
              </w:rPr>
            </w:r>
            <w:r>
              <w:rPr>
                <w:rFonts w:ascii="宋体" w:hAnsi="宋体" w:cs="宋体" w:eastAsia="宋体" w:hint="default"/>
                <w:sz w:val="21"/>
                <w:szCs w:val="21"/>
              </w:rPr>
              <w:t>批准执行。</w:t>
            </w:r>
          </w:p>
        </w:tc>
      </w:tr>
      <w:tr>
        <w:trPr>
          <w:trHeight w:val="554"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董事、监事、高级管理人员报酬确定依据</w:t>
            </w:r>
          </w:p>
        </w:tc>
        <w:tc>
          <w:tcPr>
            <w:tcW w:w="956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4"/>
                <w:sz w:val="21"/>
                <w:szCs w:val="21"/>
              </w:rPr>
              <w:t>公司董事、监事、高级管理人员报酬确定依据主要是年度绩效考评结果、公司年度业绩完成率和可比企</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业董事、监事、高级管理人员报酬行情。</w:t>
            </w:r>
          </w:p>
        </w:tc>
      </w:tr>
      <w:tr>
        <w:trPr>
          <w:trHeight w:val="555"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董事、监事和高级管理人员报酬的实际支付</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情况</w:t>
            </w:r>
          </w:p>
        </w:tc>
        <w:tc>
          <w:tcPr>
            <w:tcW w:w="95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报告期内，董事、监事和高级管理人员应付报酬合计</w:t>
            </w:r>
            <w:r>
              <w:rPr>
                <w:rFonts w:ascii="宋体" w:hAnsi="宋体" w:cs="宋体" w:eastAsia="宋体" w:hint="default"/>
                <w:spacing w:val="-55"/>
                <w:sz w:val="21"/>
                <w:szCs w:val="21"/>
              </w:rPr>
              <w:t> </w:t>
            </w:r>
            <w:r>
              <w:rPr>
                <w:rFonts w:ascii="宋体" w:hAnsi="宋体" w:cs="宋体" w:eastAsia="宋体" w:hint="default"/>
                <w:sz w:val="21"/>
                <w:szCs w:val="21"/>
              </w:rPr>
              <w:t>3,036.26</w:t>
            </w:r>
            <w:r>
              <w:rPr>
                <w:rFonts w:ascii="宋体" w:hAnsi="宋体" w:cs="宋体" w:eastAsia="宋体" w:hint="default"/>
                <w:spacing w:val="-54"/>
                <w:sz w:val="21"/>
                <w:szCs w:val="21"/>
              </w:rPr>
              <w:t> </w:t>
            </w:r>
            <w:r>
              <w:rPr>
                <w:rFonts w:ascii="宋体" w:hAnsi="宋体" w:cs="宋体" w:eastAsia="宋体" w:hint="default"/>
                <w:sz w:val="21"/>
                <w:szCs w:val="21"/>
              </w:rPr>
              <w:t>万元。</w:t>
            </w:r>
          </w:p>
        </w:tc>
      </w:tr>
      <w:tr>
        <w:trPr>
          <w:trHeight w:val="554"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报告期末全体董事、监事和高级管理人员实</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际获得的报酬合计</w:t>
            </w:r>
          </w:p>
        </w:tc>
        <w:tc>
          <w:tcPr>
            <w:tcW w:w="95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报告期末，全体董事、监事和高级管理人员实际获得的报酬为</w:t>
            </w:r>
            <w:r>
              <w:rPr>
                <w:rFonts w:ascii="宋体" w:hAnsi="宋体" w:cs="宋体" w:eastAsia="宋体" w:hint="default"/>
                <w:spacing w:val="-54"/>
                <w:sz w:val="21"/>
                <w:szCs w:val="21"/>
              </w:rPr>
              <w:t> </w:t>
            </w:r>
            <w:r>
              <w:rPr>
                <w:rFonts w:ascii="宋体" w:hAnsi="宋体" w:cs="宋体" w:eastAsia="宋体" w:hint="default"/>
                <w:sz w:val="21"/>
                <w:szCs w:val="21"/>
              </w:rPr>
              <w:t>3,036.26</w:t>
            </w:r>
            <w:r>
              <w:rPr>
                <w:rFonts w:ascii="宋体" w:hAnsi="宋体" w:cs="宋体" w:eastAsia="宋体" w:hint="default"/>
                <w:spacing w:val="-54"/>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r>
    </w:tbl>
    <w:p>
      <w:pPr>
        <w:spacing w:line="240" w:lineRule="auto" w:before="2"/>
        <w:rPr>
          <w:rFonts w:ascii="宋体" w:hAnsi="宋体" w:cs="宋体" w:eastAsia="宋体" w:hint="default"/>
          <w:sz w:val="20"/>
          <w:szCs w:val="20"/>
        </w:rPr>
      </w:pPr>
    </w:p>
    <w:p>
      <w:pPr>
        <w:pStyle w:val="Heading3"/>
        <w:spacing w:line="240" w:lineRule="auto" w:before="36"/>
        <w:ind w:left="224" w:right="0"/>
        <w:jc w:val="left"/>
        <w:rPr>
          <w:b w:val="0"/>
          <w:bCs w:val="0"/>
        </w:rPr>
      </w:pPr>
      <w:r>
        <w:rPr/>
        <w:t>四、公司董事、监事、高级管理人员变动情况</w:t>
      </w:r>
      <w:r>
        <w:rPr>
          <w:b w:val="0"/>
          <w:bCs w:val="0"/>
        </w:rPr>
      </w:r>
    </w:p>
    <w:p>
      <w:pPr>
        <w:pStyle w:val="BodyText"/>
        <w:spacing w:line="240" w:lineRule="auto" w:before="56"/>
        <w:ind w:left="224" w:right="0"/>
        <w:jc w:val="left"/>
      </w:pPr>
      <w:r>
        <w:rPr/>
        <w:t>√适用 □不适用</w:t>
      </w:r>
    </w:p>
    <w:p>
      <w:pPr>
        <w:spacing w:line="240" w:lineRule="auto" w:before="7"/>
        <w:rPr>
          <w:rFonts w:ascii="宋体" w:hAnsi="宋体" w:cs="宋体" w:eastAsia="宋体" w:hint="default"/>
          <w:sz w:val="2"/>
          <w:szCs w:val="2"/>
        </w:rPr>
      </w:pPr>
    </w:p>
    <w:tbl>
      <w:tblPr>
        <w:tblW w:w="0" w:type="auto"/>
        <w:jc w:val="left"/>
        <w:tblInd w:w="111" w:type="dxa"/>
        <w:tblLayout w:type="fixed"/>
        <w:tblCellMar>
          <w:top w:w="0" w:type="dxa"/>
          <w:left w:w="0" w:type="dxa"/>
          <w:bottom w:w="0" w:type="dxa"/>
          <w:right w:w="0" w:type="dxa"/>
        </w:tblCellMar>
        <w:tblLook w:val="01E0"/>
      </w:tblPr>
      <w:tblGrid>
        <w:gridCol w:w="3466"/>
        <w:gridCol w:w="3466"/>
        <w:gridCol w:w="3466"/>
        <w:gridCol w:w="3466"/>
      </w:tblGrid>
      <w:tr>
        <w:trPr>
          <w:trHeight w:val="281"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担任的职务</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变动情形</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变动原因</w:t>
            </w:r>
          </w:p>
        </w:tc>
      </w:tr>
      <w:tr>
        <w:trPr>
          <w:trHeight w:val="283"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总裁</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新聘任</w:t>
            </w:r>
          </w:p>
        </w:tc>
      </w:tr>
      <w:tr>
        <w:trPr>
          <w:trHeight w:val="283"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章培林</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财务总监</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新聘任</w:t>
            </w:r>
          </w:p>
        </w:tc>
      </w:tr>
      <w:tr>
        <w:trPr>
          <w:trHeight w:val="281"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严绍业</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新聘任</w:t>
            </w:r>
          </w:p>
        </w:tc>
      </w:tr>
      <w:tr>
        <w:trPr>
          <w:trHeight w:val="283"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陈巧红</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新聘任</w:t>
            </w:r>
          </w:p>
        </w:tc>
      </w:tr>
      <w:tr>
        <w:trPr>
          <w:trHeight w:val="283"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张纪雄</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新聘任</w:t>
            </w:r>
          </w:p>
        </w:tc>
      </w:tr>
      <w:tr>
        <w:trPr>
          <w:trHeight w:val="281"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欧阳青</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高级副总裁兼董事会秘书</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新聘任</w:t>
            </w:r>
          </w:p>
        </w:tc>
      </w:tr>
    </w:tbl>
    <w:p>
      <w:pPr>
        <w:spacing w:after="0" w:line="241" w:lineRule="exact"/>
        <w:jc w:val="left"/>
        <w:rPr>
          <w:rFonts w:ascii="宋体" w:hAnsi="宋体" w:cs="宋体" w:eastAsia="宋体" w:hint="default"/>
          <w:sz w:val="21"/>
          <w:szCs w:val="21"/>
        </w:rPr>
        <w:sectPr>
          <w:footerReference w:type="default" r:id="rId49"/>
          <w:pgSz w:w="16840" w:h="11910" w:orient="landscape"/>
          <w:pgMar w:footer="1195" w:header="855" w:top="1280" w:bottom="1380" w:left="1300" w:right="1300"/>
          <w:pgNumType w:start="71"/>
        </w:sectPr>
      </w:pPr>
    </w:p>
    <w:tbl>
      <w:tblPr>
        <w:tblW w:w="0" w:type="auto"/>
        <w:jc w:val="left"/>
        <w:tblInd w:w="111" w:type="dxa"/>
        <w:tblLayout w:type="fixed"/>
        <w:tblCellMar>
          <w:top w:w="0" w:type="dxa"/>
          <w:left w:w="0" w:type="dxa"/>
          <w:bottom w:w="0" w:type="dxa"/>
          <w:right w:w="0" w:type="dxa"/>
        </w:tblCellMar>
        <w:tblLook w:val="01E0"/>
      </w:tblPr>
      <w:tblGrid>
        <w:gridCol w:w="3466"/>
        <w:gridCol w:w="3466"/>
        <w:gridCol w:w="3466"/>
        <w:gridCol w:w="3466"/>
      </w:tblGrid>
      <w:tr>
        <w:trPr>
          <w:trHeight w:val="295" w:hRule="exact"/>
        </w:trPr>
        <w:tc>
          <w:tcPr>
            <w:tcW w:w="3466"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任志刚</w:t>
            </w:r>
          </w:p>
        </w:tc>
        <w:tc>
          <w:tcPr>
            <w:tcW w:w="3466"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3466"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3466"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新聘任</w:t>
            </w:r>
          </w:p>
        </w:tc>
      </w:tr>
      <w:tr>
        <w:trPr>
          <w:trHeight w:val="283"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陈强兵</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执行总裁</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新聘任</w:t>
            </w:r>
          </w:p>
        </w:tc>
      </w:tr>
      <w:tr>
        <w:trPr>
          <w:trHeight w:val="281"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谢志华</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执行副总裁</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新聘任</w:t>
            </w:r>
          </w:p>
        </w:tc>
      </w:tr>
      <w:tr>
        <w:trPr>
          <w:trHeight w:val="283"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王健</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新聘任</w:t>
            </w:r>
          </w:p>
        </w:tc>
      </w:tr>
      <w:tr>
        <w:trPr>
          <w:trHeight w:val="283"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徐洋</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新聘任</w:t>
            </w:r>
          </w:p>
        </w:tc>
      </w:tr>
      <w:tr>
        <w:trPr>
          <w:trHeight w:val="281"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胡彬</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新聘任</w:t>
            </w:r>
          </w:p>
        </w:tc>
      </w:tr>
      <w:tr>
        <w:trPr>
          <w:trHeight w:val="283"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徐宝东</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新聘任</w:t>
            </w:r>
          </w:p>
        </w:tc>
      </w:tr>
      <w:tr>
        <w:trPr>
          <w:trHeight w:val="283"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杨晓柏</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新聘任</w:t>
            </w:r>
          </w:p>
        </w:tc>
      </w:tr>
      <w:tr>
        <w:trPr>
          <w:trHeight w:val="281"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左骏</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新聘任</w:t>
            </w:r>
          </w:p>
        </w:tc>
      </w:tr>
      <w:tr>
        <w:trPr>
          <w:trHeight w:val="283"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季学庆</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解聘</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解任</w:t>
            </w:r>
          </w:p>
        </w:tc>
      </w:tr>
    </w:tbl>
    <w:p>
      <w:pPr>
        <w:spacing w:line="240" w:lineRule="auto" w:before="11"/>
        <w:rPr>
          <w:rFonts w:ascii="宋体" w:hAnsi="宋体" w:cs="宋体" w:eastAsia="宋体" w:hint="default"/>
          <w:sz w:val="21"/>
          <w:szCs w:val="21"/>
        </w:rPr>
      </w:pPr>
      <w:r>
        <w:rPr/>
        <w:pict>
          <v:group style="position:absolute;margin-left:74.760002pt;margin-top:66.260010pt;width:696.6pt;height:.1pt;mso-position-horizontal-relative:page;mso-position-vertical-relative:page;z-index:-1046584" coordorigin="1495,1325" coordsize="13932,2">
            <v:shape style="position:absolute;left:1495;top:1325;width:13932;height:2" coordorigin="1495,1325" coordsize="13932,0" path="m1495,1325l15427,1325e" filled="false" stroked="true" strokeweight=".72pt" strokecolor="#000000">
              <v:path arrowok="t"/>
            </v:shape>
            <w10:wrap type="none"/>
          </v:group>
        </w:pict>
      </w:r>
    </w:p>
    <w:p>
      <w:pPr>
        <w:pStyle w:val="Heading3"/>
        <w:spacing w:line="240" w:lineRule="auto" w:before="36"/>
        <w:ind w:left="224" w:right="0"/>
        <w:jc w:val="left"/>
        <w:rPr>
          <w:b w:val="0"/>
          <w:bCs w:val="0"/>
        </w:rPr>
      </w:pPr>
      <w:r>
        <w:rPr/>
        <w:t>五、近三年受证券监管机构处罚的情况说明</w:t>
      </w:r>
      <w:r>
        <w:rPr>
          <w:b w:val="0"/>
          <w:bCs w:val="0"/>
        </w:rPr>
      </w:r>
    </w:p>
    <w:p>
      <w:pPr>
        <w:pStyle w:val="BodyText"/>
        <w:spacing w:line="240" w:lineRule="auto" w:before="56"/>
        <w:ind w:left="224" w:right="0"/>
        <w:jc w:val="left"/>
      </w:pPr>
      <w:r>
        <w:rPr/>
        <w:t>□适用 √不适用</w:t>
      </w:r>
    </w:p>
    <w:p>
      <w:pPr>
        <w:spacing w:after="0" w:line="240" w:lineRule="auto"/>
        <w:jc w:val="left"/>
        <w:sectPr>
          <w:pgSz w:w="16840" w:h="11910" w:orient="landscape"/>
          <w:pgMar w:header="855" w:footer="1195" w:top="1280" w:bottom="1380" w:left="1300" w:right="1300"/>
        </w:sectPr>
      </w:pPr>
    </w:p>
    <w:p>
      <w:pPr>
        <w:spacing w:line="240" w:lineRule="auto" w:before="0"/>
        <w:rPr>
          <w:rFonts w:ascii="宋体" w:hAnsi="宋体" w:cs="宋体" w:eastAsia="宋体" w:hint="default"/>
          <w:sz w:val="20"/>
          <w:szCs w:val="20"/>
        </w:rPr>
      </w:pPr>
      <w:r>
        <w:rPr/>
        <w:pict>
          <v:shape style="position:absolute;margin-left:89.849998pt;margin-top:450.839996pt;width:346.945737pt;height:287.76pt;mso-position-horizontal-relative:page;mso-position-vertical-relative:page;z-index:-1046560" type="#_x0000_t75" stroked="false">
            <v:imagedata r:id="rId52" o:title=""/>
          </v:shape>
        </w:pict>
      </w:r>
    </w:p>
    <w:p>
      <w:pPr>
        <w:spacing w:line="240" w:lineRule="auto" w:before="8"/>
        <w:rPr>
          <w:rFonts w:ascii="宋体" w:hAnsi="宋体" w:cs="宋体" w:eastAsia="宋体" w:hint="default"/>
          <w:sz w:val="14"/>
          <w:szCs w:val="14"/>
        </w:rPr>
      </w:pPr>
    </w:p>
    <w:p>
      <w:pPr>
        <w:pStyle w:val="Heading3"/>
        <w:spacing w:line="240" w:lineRule="auto" w:before="36"/>
        <w:ind w:right="147"/>
        <w:jc w:val="left"/>
        <w:rPr>
          <w:b w:val="0"/>
          <w:bCs w:val="0"/>
        </w:rPr>
      </w:pPr>
      <w:r>
        <w:rPr/>
        <w:t>六、母公司和主要子公司的员工情况</w:t>
      </w:r>
      <w:r>
        <w:rPr>
          <w:b w:val="0"/>
          <w:bCs w:val="0"/>
        </w:rPr>
      </w:r>
    </w:p>
    <w:p>
      <w:pPr>
        <w:pStyle w:val="Heading3"/>
        <w:spacing w:line="240" w:lineRule="auto" w:before="56"/>
        <w:ind w:right="147"/>
        <w:jc w:val="left"/>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36"/>
        </w:rPr>
        <w:t> </w:t>
      </w:r>
      <w:r>
        <w:rPr/>
        <w:t>员工情况</w:t>
      </w:r>
      <w:r>
        <w:rPr>
          <w:b w:val="0"/>
          <w:bCs w:val="0"/>
        </w:rPr>
      </w:r>
    </w:p>
    <w:p>
      <w:pPr>
        <w:spacing w:line="240" w:lineRule="auto" w:before="1"/>
        <w:rPr>
          <w:rFonts w:ascii="宋体" w:hAnsi="宋体" w:cs="宋体" w:eastAsia="宋体" w:hint="default"/>
          <w:b/>
          <w:bCs/>
          <w:sz w:val="5"/>
          <w:szCs w:val="5"/>
        </w:rPr>
      </w:pPr>
    </w:p>
    <w:tbl>
      <w:tblPr>
        <w:tblW w:w="0" w:type="auto"/>
        <w:jc w:val="left"/>
        <w:tblInd w:w="105" w:type="dxa"/>
        <w:tblLayout w:type="fixed"/>
        <w:tblCellMar>
          <w:top w:w="0" w:type="dxa"/>
          <w:left w:w="0" w:type="dxa"/>
          <w:bottom w:w="0" w:type="dxa"/>
          <w:right w:w="0" w:type="dxa"/>
        </w:tblCellMar>
        <w:tblLook w:val="01E0"/>
      </w:tblPr>
      <w:tblGrid>
        <w:gridCol w:w="4412"/>
        <w:gridCol w:w="4412"/>
      </w:tblGrid>
      <w:tr>
        <w:trPr>
          <w:trHeight w:val="281"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母公司在职员工的数量</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6,562</w:t>
            </w:r>
          </w:p>
        </w:tc>
      </w:tr>
      <w:tr>
        <w:trPr>
          <w:trHeight w:val="283"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主要子公司在职员工的数量</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8,632</w:t>
            </w:r>
          </w:p>
        </w:tc>
      </w:tr>
      <w:tr>
        <w:trPr>
          <w:trHeight w:val="283"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在职员工的数量合计</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15,194</w:t>
            </w:r>
          </w:p>
        </w:tc>
      </w:tr>
      <w:tr>
        <w:trPr>
          <w:trHeight w:val="554"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8"/>
                <w:sz w:val="21"/>
                <w:szCs w:val="21"/>
              </w:rPr>
              <w:t>母公司及主要子公司需承担费用的离退休职</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工人数</w:t>
            </w:r>
          </w:p>
        </w:tc>
        <w:tc>
          <w:tcPr>
            <w:tcW w:w="441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882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专业构成</w:t>
            </w:r>
          </w:p>
        </w:tc>
      </w:tr>
      <w:tr>
        <w:trPr>
          <w:trHeight w:val="281"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568"/>
              <w:jc w:val="right"/>
              <w:rPr>
                <w:rFonts w:ascii="宋体" w:hAnsi="宋体" w:cs="宋体" w:eastAsia="宋体" w:hint="default"/>
                <w:sz w:val="21"/>
                <w:szCs w:val="21"/>
              </w:rPr>
            </w:pPr>
            <w:r>
              <w:rPr>
                <w:rFonts w:ascii="宋体" w:hAnsi="宋体" w:cs="宋体" w:eastAsia="宋体" w:hint="default"/>
                <w:spacing w:val="-1"/>
                <w:sz w:val="21"/>
                <w:szCs w:val="21"/>
              </w:rPr>
              <w:t>专业构成类别</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专业构成人数</w:t>
            </w:r>
          </w:p>
        </w:tc>
      </w:tr>
      <w:tr>
        <w:trPr>
          <w:trHeight w:val="283"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生产人员</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10</w:t>
            </w:r>
          </w:p>
        </w:tc>
      </w:tr>
      <w:tr>
        <w:trPr>
          <w:trHeight w:val="281"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销售人员</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2,854</w:t>
            </w:r>
          </w:p>
        </w:tc>
      </w:tr>
      <w:tr>
        <w:trPr>
          <w:trHeight w:val="283"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 w:right="0"/>
              <w:jc w:val="center"/>
              <w:rPr>
                <w:rFonts w:ascii="宋体" w:hAnsi="宋体" w:cs="宋体" w:eastAsia="宋体" w:hint="default"/>
                <w:sz w:val="21"/>
                <w:szCs w:val="21"/>
              </w:rPr>
            </w:pPr>
            <w:r>
              <w:rPr>
                <w:rFonts w:ascii="宋体" w:hAnsi="宋体" w:cs="宋体" w:eastAsia="宋体" w:hint="default"/>
                <w:sz w:val="21"/>
                <w:szCs w:val="21"/>
              </w:rPr>
              <w:t>技术人员</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5,189</w:t>
            </w:r>
          </w:p>
        </w:tc>
      </w:tr>
      <w:tr>
        <w:trPr>
          <w:trHeight w:val="283"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财务人员</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302</w:t>
            </w:r>
          </w:p>
        </w:tc>
      </w:tr>
      <w:tr>
        <w:trPr>
          <w:trHeight w:val="281"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行政人员</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940</w:t>
            </w:r>
          </w:p>
        </w:tc>
      </w:tr>
      <w:tr>
        <w:trPr>
          <w:trHeight w:val="283"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568"/>
              <w:jc w:val="right"/>
              <w:rPr>
                <w:rFonts w:ascii="宋体" w:hAnsi="宋体" w:cs="宋体" w:eastAsia="宋体" w:hint="default"/>
                <w:sz w:val="21"/>
                <w:szCs w:val="21"/>
              </w:rPr>
            </w:pPr>
            <w:r>
              <w:rPr>
                <w:rFonts w:ascii="宋体" w:hAnsi="宋体" w:cs="宋体" w:eastAsia="宋体" w:hint="default"/>
                <w:spacing w:val="-1"/>
                <w:sz w:val="21"/>
                <w:szCs w:val="21"/>
              </w:rPr>
              <w:t>支持服务人员</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1,566</w:t>
            </w:r>
          </w:p>
        </w:tc>
      </w:tr>
      <w:tr>
        <w:trPr>
          <w:trHeight w:val="283"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568"/>
              <w:jc w:val="right"/>
              <w:rPr>
                <w:rFonts w:ascii="宋体" w:hAnsi="宋体" w:cs="宋体" w:eastAsia="宋体" w:hint="default"/>
                <w:sz w:val="21"/>
                <w:szCs w:val="21"/>
              </w:rPr>
            </w:pPr>
            <w:r>
              <w:rPr>
                <w:rFonts w:ascii="宋体" w:hAnsi="宋体" w:cs="宋体" w:eastAsia="宋体" w:hint="default"/>
                <w:spacing w:val="-1"/>
                <w:sz w:val="21"/>
                <w:szCs w:val="21"/>
              </w:rPr>
              <w:t>咨询实施人员</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4,333</w:t>
            </w:r>
          </w:p>
        </w:tc>
      </w:tr>
      <w:tr>
        <w:trPr>
          <w:trHeight w:val="281"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15,194</w:t>
            </w:r>
          </w:p>
        </w:tc>
      </w:tr>
      <w:tr>
        <w:trPr>
          <w:trHeight w:val="283" w:hRule="exact"/>
        </w:trPr>
        <w:tc>
          <w:tcPr>
            <w:tcW w:w="882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教育程度</w:t>
            </w:r>
          </w:p>
        </w:tc>
      </w:tr>
      <w:tr>
        <w:trPr>
          <w:trHeight w:val="283"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568"/>
              <w:jc w:val="right"/>
              <w:rPr>
                <w:rFonts w:ascii="宋体" w:hAnsi="宋体" w:cs="宋体" w:eastAsia="宋体" w:hint="default"/>
                <w:sz w:val="21"/>
                <w:szCs w:val="21"/>
              </w:rPr>
            </w:pPr>
            <w:r>
              <w:rPr>
                <w:rFonts w:ascii="宋体" w:hAnsi="宋体" w:cs="宋体" w:eastAsia="宋体" w:hint="default"/>
                <w:spacing w:val="-1"/>
                <w:sz w:val="21"/>
                <w:szCs w:val="21"/>
              </w:rPr>
              <w:t>教育程度类别</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数量（人）</w:t>
            </w:r>
          </w:p>
        </w:tc>
      </w:tr>
      <w:tr>
        <w:trPr>
          <w:trHeight w:val="281"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博士</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28</w:t>
            </w:r>
          </w:p>
        </w:tc>
      </w:tr>
      <w:tr>
        <w:trPr>
          <w:trHeight w:val="283"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硕士</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1,210</w:t>
            </w:r>
          </w:p>
        </w:tc>
      </w:tr>
      <w:tr>
        <w:trPr>
          <w:trHeight w:val="284"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本科</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11,317</w:t>
            </w:r>
          </w:p>
        </w:tc>
      </w:tr>
      <w:tr>
        <w:trPr>
          <w:trHeight w:val="281"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大专</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2,486</w:t>
            </w:r>
          </w:p>
        </w:tc>
      </w:tr>
      <w:tr>
        <w:trPr>
          <w:trHeight w:val="283"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大专以下</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153</w:t>
            </w:r>
          </w:p>
        </w:tc>
      </w:tr>
      <w:tr>
        <w:trPr>
          <w:trHeight w:val="283"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15,194</w:t>
            </w:r>
          </w:p>
        </w:tc>
      </w:tr>
    </w:tbl>
    <w:p>
      <w:pPr>
        <w:spacing w:after="0" w:line="241" w:lineRule="exact"/>
        <w:jc w:val="right"/>
        <w:rPr>
          <w:rFonts w:ascii="宋体" w:hAnsi="宋体" w:cs="宋体" w:eastAsia="宋体" w:hint="default"/>
          <w:sz w:val="21"/>
          <w:szCs w:val="21"/>
        </w:rPr>
        <w:sectPr>
          <w:headerReference w:type="default" r:id="rId50"/>
          <w:footerReference w:type="default" r:id="rId51"/>
          <w:pgSz w:w="11910" w:h="16840"/>
          <w:pgMar w:header="857" w:footer="1195" w:top="1320" w:bottom="1380" w:left="1580" w:right="1120"/>
          <w:pgNumType w:start="73"/>
        </w:sectPr>
      </w:pPr>
    </w:p>
    <w:p>
      <w:pPr>
        <w:spacing w:line="240" w:lineRule="auto" w:before="2"/>
        <w:rPr>
          <w:rFonts w:ascii="宋体" w:hAnsi="宋体" w:cs="宋体" w:eastAsia="宋体" w:hint="default"/>
          <w:b/>
          <w:bCs/>
          <w:sz w:val="9"/>
          <w:szCs w:val="9"/>
        </w:rPr>
      </w:pPr>
    </w:p>
    <w:p>
      <w:pPr>
        <w:pStyle w:val="Heading3"/>
        <w:spacing w:line="240" w:lineRule="auto" w:before="36"/>
        <w:ind w:left="138" w:right="0"/>
        <w:jc w:val="left"/>
        <w:rPr>
          <w:b w:val="0"/>
          <w:bCs w:val="0"/>
        </w:rPr>
      </w:pPr>
      <w:r>
        <w:rPr>
          <w:rFonts w:ascii="Calibri" w:hAnsi="Calibri" w:cs="Calibri" w:eastAsia="Calibri" w:hint="default"/>
        </w:rPr>
        <w:t>(</w:t>
      </w:r>
      <w:r>
        <w:rPr/>
        <w:t>二</w:t>
      </w:r>
      <w:r>
        <w:rPr>
          <w:rFonts w:ascii="Calibri" w:hAnsi="Calibri" w:cs="Calibri" w:eastAsia="Calibri" w:hint="default"/>
        </w:rPr>
        <w:t>)</w:t>
      </w:r>
      <w:r>
        <w:rPr>
          <w:rFonts w:ascii="Calibri" w:hAnsi="Calibri" w:cs="Calibri" w:eastAsia="Calibri" w:hint="default"/>
          <w:spacing w:val="36"/>
        </w:rPr>
        <w:t> </w:t>
      </w:r>
      <w:r>
        <w:rPr/>
        <w:t>薪酬政策</w:t>
      </w:r>
      <w:r>
        <w:rPr>
          <w:b w:val="0"/>
          <w:bCs w:val="0"/>
        </w:rPr>
      </w:r>
    </w:p>
    <w:p>
      <w:pPr>
        <w:pStyle w:val="BodyText"/>
        <w:tabs>
          <w:tab w:pos="980" w:val="left" w:leader="none"/>
        </w:tabs>
        <w:spacing w:line="272" w:lineRule="exact" w:before="59"/>
        <w:ind w:left="558" w:right="157" w:hanging="420"/>
        <w:jc w:val="left"/>
      </w:pPr>
      <w:r>
        <w:rPr>
          <w:spacing w:val="-1"/>
        </w:rPr>
        <w:t>√适用</w:t>
        <w:tab/>
      </w:r>
      <w:r>
        <w:rPr>
          <w:spacing w:val="-2"/>
        </w:rPr>
        <w:t>□不适用</w:t>
      </w:r>
      <w:r>
        <w:rPr>
          <w:spacing w:val="-99"/>
        </w:rPr>
        <w:t> </w:t>
      </w:r>
      <w:r>
        <w:rPr>
          <w:spacing w:val="-99"/>
        </w:rPr>
      </w:r>
      <w:r>
        <w:rPr>
          <w:spacing w:val="-2"/>
        </w:rPr>
        <w:t>公司员工薪酬主要由月度基本工资、季度绩效工资、年度绩效奖金等组成，其中季度绩效工</w:t>
      </w:r>
    </w:p>
    <w:p>
      <w:pPr>
        <w:pStyle w:val="BodyText"/>
        <w:spacing w:line="355" w:lineRule="auto" w:before="110"/>
        <w:ind w:left="138" w:right="0"/>
        <w:jc w:val="left"/>
      </w:pPr>
      <w:r>
        <w:rPr>
          <w:spacing w:val="-2"/>
        </w:rPr>
        <w:t>资与员工季度个人业绩挂钩，属于短期激励；年度绩效奖金与公司经营目标完成情况、部门目标</w:t>
      </w:r>
      <w:r>
        <w:rPr>
          <w:spacing w:val="-25"/>
        </w:rPr>
        <w:t> </w:t>
      </w:r>
      <w:r>
        <w:rPr>
          <w:spacing w:val="-25"/>
        </w:rPr>
      </w:r>
      <w:r>
        <w:rPr/>
        <w:t>实现情况、个人年度绩效挂钩，属于中短期激励。</w:t>
      </w:r>
    </w:p>
    <w:p>
      <w:pPr>
        <w:pStyle w:val="BodyText"/>
        <w:spacing w:line="355" w:lineRule="auto" w:before="32"/>
        <w:ind w:left="558" w:right="0"/>
        <w:jc w:val="left"/>
      </w:pPr>
      <w:r>
        <w:rPr/>
        <w:t>公司还实行期权计划、其他股权激励计划等中长期激励措施。</w:t>
      </w:r>
      <w:r>
        <w:rPr>
          <w:w w:val="100"/>
        </w:rPr>
        <w:t> </w:t>
      </w:r>
      <w:r>
        <w:rPr>
          <w:spacing w:val="-2"/>
        </w:rPr>
        <w:t>公司建立有完善的社会福利体系，并建立了基础性商业保险制度。</w:t>
      </w:r>
    </w:p>
    <w:p>
      <w:pPr>
        <w:pStyle w:val="Heading3"/>
        <w:spacing w:line="240" w:lineRule="auto" w:before="92"/>
        <w:ind w:left="138" w:right="0"/>
        <w:jc w:val="left"/>
        <w:rPr>
          <w:b w:val="0"/>
          <w:bCs w:val="0"/>
        </w:rPr>
      </w:pPr>
      <w:r>
        <w:rPr>
          <w:rFonts w:ascii="Calibri" w:hAnsi="Calibri" w:cs="Calibri" w:eastAsia="Calibri" w:hint="default"/>
        </w:rPr>
        <w:t>(</w:t>
      </w:r>
      <w:r>
        <w:rPr/>
        <w:t>三</w:t>
      </w:r>
      <w:r>
        <w:rPr>
          <w:rFonts w:ascii="Calibri" w:hAnsi="Calibri" w:cs="Calibri" w:eastAsia="Calibri" w:hint="default"/>
        </w:rPr>
        <w:t>)</w:t>
      </w:r>
      <w:r>
        <w:rPr>
          <w:rFonts w:ascii="Calibri" w:hAnsi="Calibri" w:cs="Calibri" w:eastAsia="Calibri" w:hint="default"/>
          <w:spacing w:val="36"/>
        </w:rPr>
        <w:t> </w:t>
      </w:r>
      <w:r>
        <w:rPr/>
        <w:t>员工培养</w:t>
      </w:r>
      <w:r>
        <w:rPr>
          <w:b w:val="0"/>
          <w:bCs w:val="0"/>
        </w:rPr>
      </w:r>
    </w:p>
    <w:p>
      <w:pPr>
        <w:pStyle w:val="BodyText"/>
        <w:tabs>
          <w:tab w:pos="980" w:val="left" w:leader="none"/>
        </w:tabs>
        <w:spacing w:line="273" w:lineRule="exact" w:before="32"/>
        <w:ind w:left="138" w:right="0"/>
        <w:jc w:val="left"/>
      </w:pPr>
      <w:r>
        <w:rPr>
          <w:spacing w:val="-1"/>
        </w:rPr>
        <w:t>√适用</w:t>
        <w:tab/>
      </w:r>
      <w:r>
        <w:rPr>
          <w:spacing w:val="-2"/>
        </w:rPr>
        <w:t>□不适用</w:t>
      </w:r>
    </w:p>
    <w:p>
      <w:pPr>
        <w:pStyle w:val="BodyText"/>
        <w:spacing w:line="357" w:lineRule="auto"/>
        <w:ind w:left="138" w:right="147" w:firstLine="419"/>
        <w:jc w:val="both"/>
      </w:pPr>
      <w:r>
        <w:rPr>
          <w:spacing w:val="-3"/>
        </w:rPr>
        <w:t>公司一贯坚持培训支撑业务的原则，结合公司战略转型和员工发展需要，</w:t>
      </w:r>
      <w:r>
        <w:rPr>
          <w:rFonts w:ascii="宋体" w:hAnsi="宋体" w:cs="宋体" w:eastAsia="宋体" w:hint="default"/>
          <w:spacing w:val="-3"/>
        </w:rPr>
        <w:t>2017</w:t>
      </w:r>
      <w:r>
        <w:rPr>
          <w:rFonts w:ascii="宋体" w:hAnsi="宋体" w:cs="宋体" w:eastAsia="宋体" w:hint="default"/>
          <w:spacing w:val="-11"/>
        </w:rPr>
        <w:t> </w:t>
      </w:r>
      <w:r>
        <w:rPr/>
        <w:t>年度员工培训</w:t>
      </w:r>
      <w:r>
        <w:rPr>
          <w:w w:val="100"/>
        </w:rPr>
        <w:t> </w:t>
      </w:r>
      <w:r>
        <w:rPr/>
        <w:t>培养方面的年度工作重点有：</w:t>
      </w:r>
    </w:p>
    <w:p>
      <w:pPr>
        <w:pStyle w:val="BodyText"/>
        <w:spacing w:line="355" w:lineRule="auto" w:before="30"/>
        <w:ind w:left="138" w:right="157" w:firstLine="419"/>
        <w:jc w:val="both"/>
      </w:pPr>
      <w:r>
        <w:rPr>
          <w:spacing w:val="-2"/>
        </w:rPr>
        <w:t>一是持续加强公司业务转型过程中各级经理的领导力提升，由用友大学牵头组织培训，提高</w:t>
      </w:r>
      <w:r>
        <w:rPr>
          <w:w w:val="100"/>
        </w:rPr>
        <w:t> </w:t>
      </w:r>
      <w:r>
        <w:rPr/>
        <w:t>各级经理的变革推动力、团队影响力和执行力；</w:t>
      </w:r>
    </w:p>
    <w:p>
      <w:pPr>
        <w:pStyle w:val="BodyText"/>
        <w:spacing w:line="355" w:lineRule="auto" w:before="32"/>
        <w:ind w:left="138" w:right="157" w:firstLine="419"/>
        <w:jc w:val="both"/>
      </w:pPr>
      <w:r>
        <w:rPr>
          <w:spacing w:val="-2"/>
        </w:rPr>
        <w:t>二是全员开展“与云同行”轮训，普及云业务基本知识和基本业务，激发员工积极转型互联</w:t>
      </w:r>
      <w:r>
        <w:rPr>
          <w:w w:val="100"/>
        </w:rPr>
        <w:t> </w:t>
      </w:r>
      <w:r>
        <w:rPr/>
        <w:t>网服务，适应新阶段的发展；</w:t>
      </w:r>
    </w:p>
    <w:p>
      <w:pPr>
        <w:pStyle w:val="BodyText"/>
        <w:spacing w:line="355" w:lineRule="auto" w:before="34"/>
        <w:ind w:left="138" w:right="157" w:firstLine="419"/>
        <w:jc w:val="both"/>
      </w:pPr>
      <w:r>
        <w:rPr>
          <w:spacing w:val="-2"/>
        </w:rPr>
        <w:t>三是专业人才培养项目化推进，机构分工合作，持续、规模采用培养项目的方式提高各类各</w:t>
      </w:r>
      <w:r>
        <w:rPr>
          <w:w w:val="100"/>
        </w:rPr>
        <w:t> </w:t>
      </w:r>
      <w:r>
        <w:rPr/>
        <w:t>级专业员工的能力，积极推广新方法、新技术在员工能力提升中的应用；</w:t>
      </w:r>
    </w:p>
    <w:p>
      <w:pPr>
        <w:pStyle w:val="BodyText"/>
        <w:spacing w:line="355" w:lineRule="auto" w:before="32"/>
        <w:ind w:left="138" w:right="157" w:firstLine="419"/>
        <w:jc w:val="both"/>
      </w:pPr>
      <w:r>
        <w:rPr>
          <w:spacing w:val="-2"/>
        </w:rPr>
        <w:t>四是强调培训和业务的深度结合，针对公司年度业务策略和业务开展中的实际问题，采用行</w:t>
      </w:r>
      <w:r>
        <w:rPr>
          <w:w w:val="100"/>
        </w:rPr>
        <w:t> </w:t>
      </w:r>
      <w:r>
        <w:rPr/>
        <w:t>动学习、微课堂等先进学习方法，开展各类专项培训；</w:t>
      </w:r>
    </w:p>
    <w:p>
      <w:pPr>
        <w:pStyle w:val="BodyText"/>
        <w:spacing w:line="240" w:lineRule="auto" w:before="34"/>
        <w:ind w:left="558" w:right="0"/>
        <w:jc w:val="left"/>
      </w:pPr>
      <w:r>
        <w:rPr/>
        <w:t>五是继续通过轮岗制、导师制在实际工作中培养人才。</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pStyle w:val="Heading3"/>
        <w:spacing w:line="240" w:lineRule="auto"/>
        <w:ind w:left="138" w:right="0"/>
        <w:jc w:val="left"/>
        <w:rPr>
          <w:b w:val="0"/>
          <w:bCs w:val="0"/>
        </w:rPr>
      </w:pPr>
      <w:r>
        <w:rPr>
          <w:rFonts w:ascii="Calibri" w:hAnsi="Calibri" w:cs="Calibri" w:eastAsia="Calibri" w:hint="default"/>
        </w:rPr>
        <w:t>(</w:t>
      </w:r>
      <w:r>
        <w:rPr/>
        <w:t>四</w:t>
      </w:r>
      <w:r>
        <w:rPr>
          <w:rFonts w:ascii="Calibri" w:hAnsi="Calibri" w:cs="Calibri" w:eastAsia="Calibri" w:hint="default"/>
        </w:rPr>
        <w:t>)</w:t>
      </w:r>
      <w:r>
        <w:rPr>
          <w:rFonts w:ascii="Calibri" w:hAnsi="Calibri" w:cs="Calibri" w:eastAsia="Calibri" w:hint="default"/>
          <w:spacing w:val="36"/>
        </w:rPr>
        <w:t> </w:t>
      </w:r>
      <w:r>
        <w:rPr/>
        <w:t>劳务外包情况</w:t>
      </w:r>
      <w:r>
        <w:rPr>
          <w:b w:val="0"/>
          <w:bCs w:val="0"/>
        </w:rPr>
      </w:r>
    </w:p>
    <w:p>
      <w:pPr>
        <w:spacing w:line="290" w:lineRule="auto" w:before="32"/>
        <w:ind w:left="138" w:right="7394"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
          <w:sz w:val="21"/>
          <w:szCs w:val="21"/>
        </w:rPr>
        <w:t> </w:t>
      </w:r>
      <w:r>
        <w:rPr>
          <w:rFonts w:ascii="宋体" w:hAnsi="宋体" w:cs="宋体" w:eastAsia="宋体" w:hint="default"/>
          <w:sz w:val="21"/>
          <w:szCs w:val="21"/>
        </w:rPr>
        <w:t>√不适用</w:t>
      </w:r>
      <w:r>
        <w:rPr>
          <w:rFonts w:ascii="宋体" w:hAnsi="宋体" w:cs="宋体" w:eastAsia="宋体" w:hint="default"/>
          <w:w w:val="100"/>
          <w:sz w:val="21"/>
          <w:szCs w:val="21"/>
        </w:rPr>
        <w:t> </w:t>
      </w:r>
      <w:r>
        <w:rPr>
          <w:rFonts w:ascii="宋体" w:hAnsi="宋体" w:cs="宋体" w:eastAsia="宋体" w:hint="default"/>
          <w:b/>
          <w:bCs/>
          <w:sz w:val="21"/>
          <w:szCs w:val="21"/>
        </w:rPr>
        <w:t>七、其他</w:t>
      </w:r>
      <w:r>
        <w:rPr>
          <w:rFonts w:ascii="宋体" w:hAnsi="宋体" w:cs="宋体" w:eastAsia="宋体" w:hint="default"/>
          <w:sz w:val="21"/>
          <w:szCs w:val="21"/>
        </w:rPr>
      </w:r>
    </w:p>
    <w:p>
      <w:pPr>
        <w:pStyle w:val="BodyText"/>
        <w:tabs>
          <w:tab w:pos="980" w:val="left" w:leader="none"/>
        </w:tabs>
        <w:spacing w:line="240" w:lineRule="auto" w:before="14"/>
        <w:ind w:left="138" w:right="0"/>
        <w:jc w:val="left"/>
      </w:pPr>
      <w:r>
        <w:rPr>
          <w:spacing w:val="-1"/>
        </w:rPr>
        <w:t>□适用</w:t>
        <w:tab/>
      </w:r>
      <w:r>
        <w:rPr>
          <w:spacing w:val="-2"/>
        </w:rPr>
        <w:t>√不适用</w:t>
      </w:r>
    </w:p>
    <w:p>
      <w:pPr>
        <w:spacing w:line="240" w:lineRule="auto" w:before="7"/>
        <w:rPr>
          <w:rFonts w:ascii="宋体" w:hAnsi="宋体" w:cs="宋体" w:eastAsia="宋体" w:hint="default"/>
          <w:sz w:val="19"/>
          <w:szCs w:val="19"/>
        </w:rPr>
      </w:pPr>
    </w:p>
    <w:p>
      <w:pPr>
        <w:pStyle w:val="Heading1"/>
        <w:tabs>
          <w:tab w:pos="5195" w:val="left" w:leader="none"/>
        </w:tabs>
        <w:spacing w:line="240" w:lineRule="auto" w:before="0"/>
        <w:ind w:left="3779" w:right="0"/>
        <w:jc w:val="left"/>
        <w:rPr>
          <w:b w:val="0"/>
          <w:bCs w:val="0"/>
        </w:rPr>
      </w:pPr>
      <w:bookmarkStart w:name="_TOC_250003" w:id="9"/>
      <w:r>
        <w:rPr>
          <w:w w:val="95"/>
        </w:rPr>
        <w:t>第九节</w:t>
        <w:tab/>
      </w:r>
      <w:r>
        <w:rPr/>
        <w:t>公司治理</w:t>
      </w:r>
      <w:bookmarkEnd w:id="9"/>
      <w:r>
        <w:rPr>
          <w:b w:val="0"/>
          <w:bCs w:val="0"/>
        </w:rPr>
      </w:r>
    </w:p>
    <w:p>
      <w:pPr>
        <w:spacing w:line="240" w:lineRule="auto" w:before="4"/>
        <w:rPr>
          <w:rFonts w:ascii="黑体" w:hAnsi="黑体" w:cs="黑体" w:eastAsia="黑体" w:hint="default"/>
          <w:b/>
          <w:bCs/>
          <w:sz w:val="19"/>
          <w:szCs w:val="19"/>
        </w:rPr>
      </w:pPr>
    </w:p>
    <w:p>
      <w:pPr>
        <w:pStyle w:val="Heading3"/>
        <w:spacing w:line="240" w:lineRule="auto"/>
        <w:ind w:left="138" w:right="0"/>
        <w:jc w:val="left"/>
        <w:rPr>
          <w:b w:val="0"/>
          <w:bCs w:val="0"/>
        </w:rPr>
      </w:pPr>
      <w:r>
        <w:rPr/>
        <w:t>一、公司治理相关情况说明</w:t>
      </w:r>
      <w:r>
        <w:rPr>
          <w:b w:val="0"/>
          <w:bCs w:val="0"/>
        </w:rPr>
      </w:r>
    </w:p>
    <w:p>
      <w:pPr>
        <w:pStyle w:val="BodyText"/>
        <w:tabs>
          <w:tab w:pos="980" w:val="left" w:leader="none"/>
        </w:tabs>
        <w:spacing w:line="240" w:lineRule="auto" w:before="56"/>
        <w:ind w:left="558" w:right="157" w:hanging="420"/>
        <w:jc w:val="left"/>
      </w:pPr>
      <w:r>
        <w:rPr>
          <w:spacing w:val="-1"/>
        </w:rPr>
        <w:t>√适用</w:t>
        <w:tab/>
      </w:r>
      <w:r>
        <w:rPr>
          <w:spacing w:val="-2"/>
        </w:rPr>
        <w:t>□不适用</w:t>
      </w:r>
      <w:r>
        <w:rPr>
          <w:spacing w:val="-99"/>
        </w:rPr>
        <w:t> </w:t>
      </w:r>
      <w:r>
        <w:rPr>
          <w:spacing w:val="-99"/>
        </w:rPr>
      </w:r>
      <w:r>
        <w:rPr>
          <w:spacing w:val="-2"/>
        </w:rPr>
        <w:t>报告期内，公司严格按照《公司法》、《证券法》和中国证监会、上海证券交易所有关规定</w:t>
      </w:r>
    </w:p>
    <w:p>
      <w:pPr>
        <w:pStyle w:val="BodyText"/>
        <w:spacing w:line="355" w:lineRule="auto" w:before="133"/>
        <w:ind w:left="138" w:right="157"/>
        <w:jc w:val="both"/>
      </w:pPr>
      <w:r>
        <w:rPr>
          <w:spacing w:val="-2"/>
        </w:rPr>
        <w:t>和要求，修订了《公司章程》、《公司董事、监事和高级管理人员薪酬管理制度》、《股东大会</w:t>
      </w:r>
      <w:r>
        <w:rPr>
          <w:spacing w:val="-25"/>
        </w:rPr>
        <w:t> </w:t>
      </w:r>
      <w:r>
        <w:rPr>
          <w:spacing w:val="-25"/>
        </w:rPr>
      </w:r>
      <w:r>
        <w:rPr>
          <w:spacing w:val="-2"/>
        </w:rPr>
        <w:t>议事规则》。公司法人治理结构的实际情况与中国证监会发布的有关上市公司治理的规范性文件</w:t>
      </w:r>
      <w:r>
        <w:rPr>
          <w:spacing w:val="-25"/>
        </w:rPr>
        <w:t> </w:t>
      </w:r>
      <w:r>
        <w:rPr>
          <w:spacing w:val="-25"/>
        </w:rPr>
      </w:r>
      <w:r>
        <w:rPr/>
        <w:t>要求不存在差异。公司治理活动开展情况如下：</w:t>
      </w:r>
    </w:p>
    <w:p>
      <w:pPr>
        <w:pStyle w:val="BodyText"/>
        <w:spacing w:line="357" w:lineRule="auto" w:before="32"/>
        <w:ind w:left="138" w:right="157" w:firstLine="419"/>
        <w:jc w:val="both"/>
      </w:pPr>
      <w:r>
        <w:rPr>
          <w:rFonts w:ascii="宋体" w:hAnsi="宋体" w:cs="宋体" w:eastAsia="宋体" w:hint="default"/>
        </w:rPr>
        <w:t>1</w:t>
      </w:r>
      <w:r>
        <w:rPr/>
        <w:t>、报告期内，公司召开了</w:t>
      </w:r>
      <w:r>
        <w:rPr>
          <w:spacing w:val="-52"/>
        </w:rPr>
        <w:t> </w:t>
      </w:r>
      <w:r>
        <w:rPr>
          <w:rFonts w:ascii="宋体" w:hAnsi="宋体" w:cs="宋体" w:eastAsia="宋体" w:hint="default"/>
        </w:rPr>
        <w:t>1</w:t>
      </w:r>
      <w:r>
        <w:rPr>
          <w:rFonts w:ascii="宋体" w:hAnsi="宋体" w:cs="宋体" w:eastAsia="宋体" w:hint="default"/>
          <w:spacing w:val="-2"/>
        </w:rPr>
        <w:t> </w:t>
      </w:r>
      <w:r>
        <w:rPr/>
        <w:t>次年度股东大会和</w:t>
      </w:r>
      <w:r>
        <w:rPr>
          <w:spacing w:val="-55"/>
        </w:rPr>
        <w:t> </w:t>
      </w:r>
      <w:r>
        <w:rPr>
          <w:rFonts w:ascii="宋体" w:hAnsi="宋体" w:cs="宋体" w:eastAsia="宋体" w:hint="default"/>
        </w:rPr>
        <w:t>3</w:t>
      </w:r>
      <w:r>
        <w:rPr>
          <w:rFonts w:ascii="宋体" w:hAnsi="宋体" w:cs="宋体" w:eastAsia="宋体" w:hint="default"/>
          <w:spacing w:val="-55"/>
        </w:rPr>
        <w:t> </w:t>
      </w:r>
      <w:r>
        <w:rPr/>
        <w:t>次临时股东大会。公司股东大会的召集、</w:t>
      </w:r>
      <w:r>
        <w:rPr>
          <w:w w:val="100"/>
        </w:rPr>
        <w:t> </w:t>
      </w:r>
      <w:r>
        <w:rPr>
          <w:spacing w:val="-2"/>
        </w:rPr>
        <w:t>召开等相关程序符合《公司章程》及《股东大会议事规则》的相关规定，公司能够确保所有股东</w:t>
      </w:r>
      <w:r>
        <w:rPr>
          <w:spacing w:val="-25"/>
        </w:rPr>
        <w:t> </w:t>
      </w:r>
      <w:r>
        <w:rPr>
          <w:spacing w:val="-25"/>
        </w:rPr>
      </w:r>
      <w:r>
        <w:rPr/>
        <w:t>尤其是中小股东的合法权益。</w:t>
      </w:r>
    </w:p>
    <w:p>
      <w:pPr>
        <w:spacing w:after="0" w:line="357" w:lineRule="auto"/>
        <w:jc w:val="both"/>
        <w:sectPr>
          <w:pgSz w:w="11910" w:h="16840"/>
          <w:pgMar w:header="857" w:footer="1195" w:top="1320" w:bottom="1380" w:left="1660" w:right="1120"/>
        </w:sectPr>
      </w:pPr>
    </w:p>
    <w:p>
      <w:pPr>
        <w:spacing w:line="240" w:lineRule="auto" w:before="2"/>
        <w:rPr>
          <w:rFonts w:ascii="宋体" w:hAnsi="宋体" w:cs="宋体" w:eastAsia="宋体" w:hint="default"/>
          <w:sz w:val="9"/>
          <w:szCs w:val="9"/>
        </w:rPr>
      </w:pPr>
    </w:p>
    <w:p>
      <w:pPr>
        <w:pStyle w:val="BodyText"/>
        <w:spacing w:line="357" w:lineRule="auto" w:before="36"/>
        <w:ind w:right="147" w:firstLine="419"/>
        <w:jc w:val="right"/>
      </w:pPr>
      <w:r>
        <w:rPr>
          <w:rFonts w:ascii="宋体" w:hAnsi="宋体" w:cs="宋体" w:eastAsia="宋体" w:hint="default"/>
          <w:spacing w:val="-7"/>
        </w:rPr>
        <w:t>2</w:t>
      </w:r>
      <w:r>
        <w:rPr>
          <w:spacing w:val="-7"/>
        </w:rPr>
        <w:t>、报告期内，公司共召开了</w:t>
      </w:r>
      <w:r>
        <w:rPr>
          <w:spacing w:val="-38"/>
        </w:rPr>
        <w:t> </w:t>
      </w:r>
      <w:r>
        <w:rPr>
          <w:rFonts w:ascii="宋体" w:hAnsi="宋体" w:cs="宋体" w:eastAsia="宋体" w:hint="default"/>
        </w:rPr>
        <w:t>21</w:t>
      </w:r>
      <w:r>
        <w:rPr>
          <w:rFonts w:ascii="宋体" w:hAnsi="宋体" w:cs="宋体" w:eastAsia="宋体" w:hint="default"/>
          <w:spacing w:val="-42"/>
        </w:rPr>
        <w:t> </w:t>
      </w:r>
      <w:r>
        <w:rPr/>
        <w:t>次董事会和</w:t>
      </w:r>
      <w:r>
        <w:rPr>
          <w:spacing w:val="-40"/>
        </w:rPr>
        <w:t> </w:t>
      </w:r>
      <w:r>
        <w:rPr>
          <w:rFonts w:ascii="宋体" w:hAnsi="宋体" w:cs="宋体" w:eastAsia="宋体" w:hint="default"/>
        </w:rPr>
        <w:t>14</w:t>
      </w:r>
      <w:r>
        <w:rPr>
          <w:rFonts w:ascii="宋体" w:hAnsi="宋体" w:cs="宋体" w:eastAsia="宋体" w:hint="default"/>
          <w:spacing w:val="-42"/>
        </w:rPr>
        <w:t> </w:t>
      </w:r>
      <w:r>
        <w:rPr>
          <w:spacing w:val="-3"/>
        </w:rPr>
        <w:t>次董事会专门委员会会议。公司董事会五个专</w:t>
      </w:r>
      <w:r>
        <w:rPr>
          <w:w w:val="100"/>
        </w:rPr>
        <w:t> </w:t>
      </w:r>
      <w:r>
        <w:rPr>
          <w:spacing w:val="-2"/>
        </w:rPr>
        <w:t>门委员会对公司的发展规划、财务审计、对外投资、股权激励计划和内控制度等进行研究并召开</w:t>
      </w:r>
      <w:r>
        <w:rPr>
          <w:spacing w:val="-53"/>
        </w:rPr>
        <w:t> </w:t>
      </w:r>
      <w:r>
        <w:rPr>
          <w:spacing w:val="-53"/>
        </w:rPr>
      </w:r>
      <w:r>
        <w:rPr>
          <w:spacing w:val="-2"/>
        </w:rPr>
        <w:t>相关会议，充分发挥专业作用，加强了公司决策的科学性，提高了重大事项决策的效益和质量。</w:t>
      </w:r>
      <w:r>
        <w:rPr>
          <w:spacing w:val="-53"/>
        </w:rPr>
        <w:t> </w:t>
      </w:r>
      <w:r>
        <w:rPr>
          <w:spacing w:val="-53"/>
        </w:rPr>
      </w:r>
      <w:r>
        <w:rPr>
          <w:rFonts w:ascii="宋体" w:hAnsi="宋体" w:cs="宋体" w:eastAsia="宋体" w:hint="default"/>
        </w:rPr>
        <w:t>3</w:t>
      </w:r>
      <w:r>
        <w:rPr/>
        <w:t>、报告期内，公司共召开了</w:t>
      </w:r>
      <w:r>
        <w:rPr>
          <w:spacing w:val="-57"/>
        </w:rPr>
        <w:t> </w:t>
      </w:r>
      <w:r>
        <w:rPr>
          <w:rFonts w:ascii="宋体" w:hAnsi="宋体" w:cs="宋体" w:eastAsia="宋体" w:hint="default"/>
        </w:rPr>
        <w:t>10</w:t>
      </w:r>
      <w:r>
        <w:rPr>
          <w:rFonts w:ascii="宋体" w:hAnsi="宋体" w:cs="宋体" w:eastAsia="宋体" w:hint="default"/>
          <w:spacing w:val="-59"/>
        </w:rPr>
        <w:t> </w:t>
      </w:r>
      <w:r>
        <w:rPr/>
        <w:t>次监事会会议。除监事会日常工作外，全体监事全部列席公</w:t>
      </w:r>
      <w:r>
        <w:rPr>
          <w:w w:val="100"/>
        </w:rPr>
        <w:t> </w:t>
      </w:r>
      <w:r>
        <w:rPr>
          <w:spacing w:val="-2"/>
        </w:rPr>
        <w:t>司的董事会会议，及时全面掌握公司的经营情况，履行对董事会和管理层的监督职责。公司监事</w:t>
      </w:r>
      <w:r>
        <w:rPr>
          <w:spacing w:val="-53"/>
        </w:rPr>
        <w:t> </w:t>
      </w:r>
      <w:r>
        <w:rPr>
          <w:spacing w:val="-53"/>
        </w:rPr>
      </w:r>
      <w:r>
        <w:rPr>
          <w:spacing w:val="-2"/>
        </w:rPr>
        <w:t>会的人数和人员构成符合相关法律、法规和《公司章程》的要求，公司监事能够认真履行自己的</w:t>
      </w:r>
      <w:r>
        <w:rPr>
          <w:spacing w:val="-53"/>
        </w:rPr>
        <w:t> </w:t>
      </w:r>
      <w:r>
        <w:rPr>
          <w:spacing w:val="-53"/>
        </w:rPr>
      </w:r>
      <w:r>
        <w:rPr>
          <w:w w:val="100"/>
        </w:rPr>
        <w:t>职</w:t>
      </w:r>
      <w:r>
        <w:rPr>
          <w:spacing w:val="-3"/>
          <w:w w:val="100"/>
        </w:rPr>
        <w:t>责</w:t>
      </w:r>
      <w:r>
        <w:rPr>
          <w:spacing w:val="-99"/>
          <w:w w:val="100"/>
        </w:rPr>
        <w:t>，</w:t>
      </w:r>
      <w:r>
        <w:rPr>
          <w:spacing w:val="-3"/>
          <w:w w:val="100"/>
        </w:rPr>
        <w:t>能</w:t>
      </w:r>
      <w:r>
        <w:rPr>
          <w:w w:val="100"/>
        </w:rPr>
        <w:t>够本</w:t>
      </w:r>
      <w:r>
        <w:rPr>
          <w:spacing w:val="-3"/>
          <w:w w:val="100"/>
        </w:rPr>
        <w:t>着</w:t>
      </w:r>
      <w:r>
        <w:rPr>
          <w:w w:val="100"/>
        </w:rPr>
        <w:t>为</w:t>
      </w:r>
      <w:r>
        <w:rPr>
          <w:spacing w:val="-3"/>
          <w:w w:val="100"/>
        </w:rPr>
        <w:t>股</w:t>
      </w:r>
      <w:r>
        <w:rPr>
          <w:w w:val="100"/>
        </w:rPr>
        <w:t>东</w:t>
      </w:r>
      <w:r>
        <w:rPr>
          <w:spacing w:val="-3"/>
          <w:w w:val="100"/>
        </w:rPr>
        <w:t>负责</w:t>
      </w:r>
      <w:r>
        <w:rPr>
          <w:w w:val="100"/>
        </w:rPr>
        <w:t>的态</w:t>
      </w:r>
      <w:r>
        <w:rPr>
          <w:spacing w:val="-3"/>
          <w:w w:val="100"/>
        </w:rPr>
        <w:t>度</w:t>
      </w:r>
      <w:r>
        <w:rPr>
          <w:spacing w:val="-101"/>
          <w:w w:val="100"/>
        </w:rPr>
        <w:t>，</w:t>
      </w:r>
      <w:r>
        <w:rPr>
          <w:w w:val="100"/>
        </w:rPr>
        <w:t>对公</w:t>
      </w:r>
      <w:r>
        <w:rPr>
          <w:spacing w:val="-3"/>
          <w:w w:val="100"/>
        </w:rPr>
        <w:t>司</w:t>
      </w:r>
      <w:r>
        <w:rPr>
          <w:w w:val="100"/>
        </w:rPr>
        <w:t>董</w:t>
      </w:r>
      <w:r>
        <w:rPr>
          <w:spacing w:val="-3"/>
          <w:w w:val="100"/>
        </w:rPr>
        <w:t>事</w:t>
      </w:r>
      <w:r>
        <w:rPr>
          <w:w w:val="100"/>
        </w:rPr>
        <w:t>及</w:t>
      </w:r>
      <w:r>
        <w:rPr>
          <w:spacing w:val="-3"/>
          <w:w w:val="100"/>
        </w:rPr>
        <w:t>高级</w:t>
      </w:r>
      <w:r>
        <w:rPr>
          <w:w w:val="100"/>
        </w:rPr>
        <w:t>管理</w:t>
      </w:r>
      <w:r>
        <w:rPr>
          <w:spacing w:val="-3"/>
          <w:w w:val="100"/>
        </w:rPr>
        <w:t>人</w:t>
      </w:r>
      <w:r>
        <w:rPr>
          <w:w w:val="100"/>
        </w:rPr>
        <w:t>员</w:t>
      </w:r>
      <w:r>
        <w:rPr>
          <w:spacing w:val="-3"/>
          <w:w w:val="100"/>
        </w:rPr>
        <w:t>履</w:t>
      </w:r>
      <w:r>
        <w:rPr>
          <w:w w:val="100"/>
        </w:rPr>
        <w:t>行</w:t>
      </w:r>
      <w:r>
        <w:rPr>
          <w:spacing w:val="-3"/>
          <w:w w:val="100"/>
        </w:rPr>
        <w:t>职</w:t>
      </w:r>
      <w:r>
        <w:rPr>
          <w:w w:val="100"/>
        </w:rPr>
        <w:t>责</w:t>
      </w:r>
      <w:r>
        <w:rPr>
          <w:spacing w:val="-3"/>
          <w:w w:val="100"/>
        </w:rPr>
        <w:t>的</w:t>
      </w:r>
      <w:r>
        <w:rPr>
          <w:w w:val="100"/>
        </w:rPr>
        <w:t>合</w:t>
      </w:r>
      <w:r>
        <w:rPr>
          <w:spacing w:val="-3"/>
          <w:w w:val="100"/>
        </w:rPr>
        <w:t>法</w:t>
      </w:r>
      <w:r>
        <w:rPr>
          <w:w w:val="100"/>
        </w:rPr>
        <w:t>合规</w:t>
      </w:r>
      <w:r>
        <w:rPr>
          <w:spacing w:val="-3"/>
          <w:w w:val="100"/>
        </w:rPr>
        <w:t>性</w:t>
      </w:r>
      <w:r>
        <w:rPr>
          <w:w w:val="100"/>
        </w:rPr>
        <w:t>进</w:t>
      </w:r>
      <w:r>
        <w:rPr>
          <w:spacing w:val="-3"/>
          <w:w w:val="100"/>
        </w:rPr>
        <w:t>行监督</w:t>
      </w:r>
      <w:r>
        <w:rPr>
          <w:w w:val="100"/>
        </w:rPr>
        <w:t>。</w:t>
      </w:r>
      <w:r>
        <w:rPr>
          <w:w w:val="100"/>
        </w:rPr>
        <w:t> </w:t>
      </w:r>
      <w:r>
        <w:rPr>
          <w:rFonts w:ascii="宋体" w:hAnsi="宋体" w:cs="宋体" w:eastAsia="宋体" w:hint="default"/>
          <w:spacing w:val="-4"/>
        </w:rPr>
        <w:t>4</w:t>
      </w:r>
      <w:r>
        <w:rPr>
          <w:spacing w:val="-4"/>
        </w:rPr>
        <w:t>、公司按照《公司法》、《上海证券交易所股票上市规则》及《公司章程》等相关规定，真</w:t>
      </w:r>
      <w:r>
        <w:rPr>
          <w:w w:val="100"/>
        </w:rPr>
        <w:t> </w:t>
      </w:r>
      <w:r>
        <w:rPr>
          <w:spacing w:val="-2"/>
        </w:rPr>
        <w:t>实、准确、完整、及时、公平地披露信息。公司不断完善投资者关系管理工作，严格信息披露，</w:t>
      </w:r>
      <w:r>
        <w:rPr>
          <w:spacing w:val="-53"/>
        </w:rPr>
        <w:t> </w:t>
      </w:r>
      <w:r>
        <w:rPr>
          <w:spacing w:val="-53"/>
        </w:rPr>
      </w:r>
      <w:r>
        <w:rPr>
          <w:spacing w:val="-2"/>
        </w:rPr>
        <w:t>确保信息披露真实、准确、完整、及时、公平。公司通过组织投资者交流会、接待股东来访、回</w:t>
      </w:r>
      <w:r>
        <w:rPr>
          <w:spacing w:val="-53"/>
        </w:rPr>
        <w:t> </w:t>
      </w:r>
      <w:r>
        <w:rPr>
          <w:spacing w:val="-53"/>
        </w:rPr>
      </w:r>
      <w:r>
        <w:rPr>
          <w:spacing w:val="-2"/>
        </w:rPr>
        <w:t>答咨询等多种方式增强信息披露的透明度，并指定《上海证券报》、《中国证券报》、《证券时</w:t>
      </w:r>
      <w:r>
        <w:rPr>
          <w:spacing w:val="-53"/>
        </w:rPr>
        <w:t> </w:t>
      </w:r>
      <w:r>
        <w:rPr>
          <w:spacing w:val="-53"/>
        </w:rPr>
      </w:r>
      <w:r>
        <w:rPr>
          <w:spacing w:val="-2"/>
        </w:rPr>
        <w:t>报》、《证券日报》以及上海证券交易所网站（</w:t>
      </w:r>
      <w:hyperlink r:id="rId13">
        <w:r>
          <w:rPr>
            <w:rFonts w:ascii="宋体" w:hAnsi="宋体" w:cs="宋体" w:eastAsia="宋体" w:hint="default"/>
            <w:spacing w:val="-2"/>
          </w:rPr>
          <w:t>www.sse.com.cn</w:t>
        </w:r>
      </w:hyperlink>
      <w:r>
        <w:rPr>
          <w:spacing w:val="-2"/>
        </w:rPr>
        <w:t>）为公司信息披露的媒体，使所</w:t>
      </w:r>
    </w:p>
    <w:p>
      <w:pPr>
        <w:pStyle w:val="BodyText"/>
        <w:spacing w:line="355" w:lineRule="auto" w:before="30"/>
        <w:ind w:left="638" w:right="147" w:hanging="420"/>
        <w:jc w:val="left"/>
      </w:pPr>
      <w:r>
        <w:rPr/>
        <w:t>有股东都有平等的机会获得信息。</w:t>
      </w:r>
      <w:r>
        <w:rPr>
          <w:w w:val="100"/>
        </w:rPr>
        <w:t> </w:t>
      </w:r>
      <w:r>
        <w:rPr>
          <w:rFonts w:ascii="宋体" w:hAnsi="宋体" w:cs="宋体" w:eastAsia="宋体" w:hint="default"/>
          <w:spacing w:val="-9"/>
        </w:rPr>
        <w:t>5</w:t>
      </w:r>
      <w:r>
        <w:rPr>
          <w:spacing w:val="-9"/>
        </w:rPr>
        <w:t>、公司通过安排董事、监事、高管积极参加证券监管部门组织的专项培训活动，使公司董事、</w:t>
      </w:r>
    </w:p>
    <w:p>
      <w:pPr>
        <w:pStyle w:val="BodyText"/>
        <w:spacing w:line="357" w:lineRule="auto" w:before="32"/>
        <w:ind w:right="147"/>
        <w:jc w:val="left"/>
      </w:pPr>
      <w:r>
        <w:rPr>
          <w:spacing w:val="-2"/>
        </w:rPr>
        <w:t>监事、高管进一步增强了法制意识、责任意识，公司治理知识结构得到更新和加强，促使董事、</w:t>
      </w:r>
      <w:r>
        <w:rPr>
          <w:spacing w:val="-25"/>
        </w:rPr>
        <w:t> </w:t>
      </w:r>
      <w:r>
        <w:rPr>
          <w:spacing w:val="-25"/>
        </w:rPr>
      </w:r>
      <w:r>
        <w:rPr/>
        <w:t>监事、高管更加忠实、勤勉地履行义务，提高公司决策和管理的规范性。</w:t>
      </w:r>
    </w:p>
    <w:p>
      <w:pPr>
        <w:pStyle w:val="BodyText"/>
        <w:spacing w:line="355" w:lineRule="auto" w:before="30"/>
        <w:ind w:right="148" w:firstLine="419"/>
        <w:jc w:val="both"/>
      </w:pPr>
      <w:r>
        <w:rPr>
          <w:rFonts w:ascii="宋体" w:hAnsi="宋体" w:cs="宋体" w:eastAsia="宋体" w:hint="default"/>
          <w:spacing w:val="-4"/>
        </w:rPr>
        <w:t>6</w:t>
      </w:r>
      <w:r>
        <w:rPr>
          <w:spacing w:val="-4"/>
        </w:rPr>
        <w:t>、公司治理的完善是一项长期的系统工程，需要持续地改进和提高。公司将继续根据有关规</w:t>
      </w:r>
      <w:r>
        <w:rPr>
          <w:w w:val="100"/>
        </w:rPr>
        <w:t> </w:t>
      </w:r>
      <w:r>
        <w:rPr>
          <w:spacing w:val="-2"/>
        </w:rPr>
        <w:t>定及时完善公司制度，不断强化企业管理，夯实管理基础，通过完善法人治理、强化内部管理，</w:t>
      </w:r>
      <w:r>
        <w:rPr>
          <w:spacing w:val="-25"/>
        </w:rPr>
        <w:t> </w:t>
      </w:r>
      <w:r>
        <w:rPr>
          <w:spacing w:val="-25"/>
        </w:rPr>
      </w:r>
      <w:r>
        <w:rPr/>
        <w:t>加强科学决策与内部控制，不断提高公司规范运作和法人治理水平，促进公司平稳健康发展。</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pStyle w:val="BodyText"/>
        <w:spacing w:line="273" w:lineRule="exact"/>
        <w:ind w:right="147"/>
        <w:jc w:val="left"/>
      </w:pPr>
      <w:r>
        <w:rPr/>
        <w:t>公司治理与中国证监会相关规定的要求是否存在重大差异；如有重大差异，应当说明原因</w:t>
      </w:r>
    </w:p>
    <w:p>
      <w:pPr>
        <w:spacing w:line="528" w:lineRule="auto" w:before="0"/>
        <w:ind w:left="218" w:right="6860" w:firstLine="0"/>
        <w:jc w:val="left"/>
        <w:rPr>
          <w:rFonts w:ascii="宋体" w:hAnsi="宋体" w:cs="宋体" w:eastAsia="宋体" w:hint="default"/>
          <w:sz w:val="21"/>
          <w:szCs w:val="21"/>
        </w:rPr>
      </w:pPr>
      <w:r>
        <w:rPr/>
        <w:pict>
          <v:shape style="position:absolute;margin-left:84.264pt;margin-top:48.623623pt;width:441.95pt;height:125.55pt;mso-position-horizontal-relative:page;mso-position-vertical-relative:paragraph;z-index:12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254"/>
                    <w:gridCol w:w="2110"/>
                    <w:gridCol w:w="2348"/>
                    <w:gridCol w:w="2113"/>
                  </w:tblGrid>
                  <w:tr>
                    <w:trPr>
                      <w:trHeight w:val="555" w:hRule="exact"/>
                    </w:trPr>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会议届次</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631"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234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决议刊登的指定网站的</w:t>
                        </w:r>
                      </w:p>
                      <w:p>
                        <w:pPr>
                          <w:pStyle w:val="TableParagraph"/>
                          <w:spacing w:line="273" w:lineRule="exact"/>
                          <w:ind w:left="2" w:right="0"/>
                          <w:jc w:val="center"/>
                          <w:rPr>
                            <w:rFonts w:ascii="宋体" w:hAnsi="宋体" w:cs="宋体" w:eastAsia="宋体" w:hint="default"/>
                            <w:sz w:val="21"/>
                            <w:szCs w:val="21"/>
                          </w:rPr>
                        </w:pPr>
                        <w:r>
                          <w:rPr>
                            <w:rFonts w:ascii="宋体" w:hAnsi="宋体" w:cs="宋体" w:eastAsia="宋体" w:hint="default"/>
                            <w:sz w:val="21"/>
                            <w:szCs w:val="21"/>
                          </w:rPr>
                          <w:t>查询索引</w:t>
                        </w:r>
                      </w:p>
                    </w:tc>
                    <w:tc>
                      <w:tcPr>
                        <w:tcW w:w="21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5" w:right="0"/>
                          <w:jc w:val="left"/>
                          <w:rPr>
                            <w:rFonts w:ascii="宋体" w:hAnsi="宋体" w:cs="宋体" w:eastAsia="宋体" w:hint="default"/>
                            <w:sz w:val="21"/>
                            <w:szCs w:val="21"/>
                          </w:rPr>
                        </w:pPr>
                        <w:r>
                          <w:rPr>
                            <w:rFonts w:ascii="宋体" w:hAnsi="宋体" w:cs="宋体" w:eastAsia="宋体" w:hint="default"/>
                            <w:sz w:val="21"/>
                            <w:szCs w:val="21"/>
                          </w:rPr>
                          <w:t>决议刊登的披露日期</w:t>
                        </w:r>
                      </w:p>
                    </w:tc>
                  </w:tr>
                  <w:tr>
                    <w:trPr>
                      <w:trHeight w:val="554" w:hRule="exact"/>
                    </w:trPr>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24"/>
                            <w:sz w:val="21"/>
                            <w:szCs w:val="21"/>
                          </w:rPr>
                          <w:t> </w:t>
                        </w:r>
                        <w:r>
                          <w:rPr>
                            <w:rFonts w:ascii="宋体" w:hAnsi="宋体" w:cs="宋体" w:eastAsia="宋体" w:hint="default"/>
                            <w:spacing w:val="2"/>
                            <w:sz w:val="21"/>
                            <w:szCs w:val="21"/>
                          </w:rPr>
                          <w:t>年第一次临时股</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东大会</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2017-1-20</w:t>
                        </w:r>
                      </w:p>
                    </w:tc>
                    <w:tc>
                      <w:tcPr>
                        <w:tcW w:w="23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hyperlink r:id="rId13">
                          <w:r>
                            <w:rPr>
                              <w:rFonts w:ascii="宋体"/>
                              <w:sz w:val="21"/>
                            </w:rPr>
                            <w:t>www.sse.com.cn</w:t>
                          </w:r>
                        </w:hyperlink>
                      </w:p>
                    </w:tc>
                    <w:tc>
                      <w:tcPr>
                        <w:tcW w:w="21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2017-1-21</w:t>
                        </w:r>
                      </w:p>
                    </w:tc>
                  </w:tr>
                  <w:tr>
                    <w:trPr>
                      <w:trHeight w:val="283" w:hRule="exact"/>
                    </w:trPr>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1"/>
                          <w:jc w:val="center"/>
                          <w:rPr>
                            <w:rFonts w:ascii="宋体" w:hAnsi="宋体" w:cs="宋体" w:eastAsia="宋体" w:hint="default"/>
                            <w:sz w:val="21"/>
                            <w:szCs w:val="21"/>
                          </w:rPr>
                        </w:pPr>
                        <w:r>
                          <w:rPr>
                            <w:rFonts w:ascii="宋体" w:hAnsi="宋体" w:cs="宋体" w:eastAsia="宋体" w:hint="default"/>
                            <w:sz w:val="21"/>
                            <w:szCs w:val="21"/>
                          </w:rPr>
                          <w:t>2016</w:t>
                        </w:r>
                        <w:r>
                          <w:rPr>
                            <w:rFonts w:ascii="宋体" w:hAnsi="宋体" w:cs="宋体" w:eastAsia="宋体" w:hint="default"/>
                            <w:spacing w:val="-54"/>
                            <w:sz w:val="21"/>
                            <w:szCs w:val="21"/>
                          </w:rPr>
                          <w:t> </w:t>
                        </w:r>
                        <w:r>
                          <w:rPr>
                            <w:rFonts w:ascii="宋体" w:hAnsi="宋体" w:cs="宋体" w:eastAsia="宋体" w:hint="default"/>
                            <w:sz w:val="21"/>
                            <w:szCs w:val="21"/>
                          </w:rPr>
                          <w:t>年年度股东大会</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2017-4-7</w:t>
                        </w:r>
                      </w:p>
                    </w:tc>
                    <w:tc>
                      <w:tcPr>
                        <w:tcW w:w="23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hyperlink r:id="rId13">
                          <w:r>
                            <w:rPr>
                              <w:rFonts w:ascii="宋体"/>
                              <w:sz w:val="21"/>
                            </w:rPr>
                            <w:t>www.sse.com.cn</w:t>
                          </w:r>
                        </w:hyperlink>
                      </w:p>
                    </w:tc>
                    <w:tc>
                      <w:tcPr>
                        <w:tcW w:w="21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2017-4-8</w:t>
                        </w:r>
                      </w:p>
                    </w:tc>
                  </w:tr>
                  <w:tr>
                    <w:trPr>
                      <w:trHeight w:val="554" w:hRule="exact"/>
                    </w:trPr>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24"/>
                            <w:sz w:val="21"/>
                            <w:szCs w:val="21"/>
                          </w:rPr>
                          <w:t> </w:t>
                        </w:r>
                        <w:r>
                          <w:rPr>
                            <w:rFonts w:ascii="宋体" w:hAnsi="宋体" w:cs="宋体" w:eastAsia="宋体" w:hint="default"/>
                            <w:spacing w:val="2"/>
                            <w:sz w:val="21"/>
                            <w:szCs w:val="21"/>
                          </w:rPr>
                          <w:t>年第二次临时股</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东大会</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2017-6-8</w:t>
                        </w:r>
                      </w:p>
                    </w:tc>
                    <w:tc>
                      <w:tcPr>
                        <w:tcW w:w="23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hyperlink r:id="rId13">
                          <w:r>
                            <w:rPr>
                              <w:rFonts w:ascii="宋体"/>
                              <w:sz w:val="21"/>
                            </w:rPr>
                            <w:t>www.sse.com.cn</w:t>
                          </w:r>
                        </w:hyperlink>
                      </w:p>
                    </w:tc>
                    <w:tc>
                      <w:tcPr>
                        <w:tcW w:w="21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2017-6-9</w:t>
                        </w:r>
                      </w:p>
                    </w:tc>
                  </w:tr>
                  <w:tr>
                    <w:trPr>
                      <w:trHeight w:val="554" w:hRule="exact"/>
                    </w:trPr>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24"/>
                            <w:sz w:val="21"/>
                            <w:szCs w:val="21"/>
                          </w:rPr>
                          <w:t> </w:t>
                        </w:r>
                        <w:r>
                          <w:rPr>
                            <w:rFonts w:ascii="宋体" w:hAnsi="宋体" w:cs="宋体" w:eastAsia="宋体" w:hint="default"/>
                            <w:spacing w:val="2"/>
                            <w:sz w:val="21"/>
                            <w:szCs w:val="21"/>
                          </w:rPr>
                          <w:t>年第三次临时股</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东大会</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2017-8-4</w:t>
                        </w:r>
                      </w:p>
                    </w:tc>
                    <w:tc>
                      <w:tcPr>
                        <w:tcW w:w="23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hyperlink r:id="rId13">
                          <w:r>
                            <w:rPr>
                              <w:rFonts w:ascii="宋体"/>
                              <w:sz w:val="21"/>
                            </w:rPr>
                            <w:t>www.sse.com.cn</w:t>
                          </w:r>
                        </w:hyperlink>
                      </w:p>
                    </w:tc>
                    <w:tc>
                      <w:tcPr>
                        <w:tcW w:w="21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2017-8-5</w:t>
                        </w:r>
                      </w:p>
                    </w:tc>
                  </w:tr>
                </w:tbl>
                <w:p>
                  <w:pPr/>
                </w:p>
              </w:txbxContent>
            </v:textbox>
            <w10:wrap type="none"/>
          </v:shape>
        </w:pict>
      </w:r>
      <w:r>
        <w:rPr>
          <w:rFonts w:ascii="宋体" w:hAnsi="宋体" w:cs="宋体" w:eastAsia="宋体" w:hint="default"/>
          <w:sz w:val="21"/>
          <w:szCs w:val="21"/>
        </w:rPr>
        <w:t>□适用</w:t>
      </w:r>
      <w:r>
        <w:rPr>
          <w:rFonts w:ascii="宋体" w:hAnsi="宋体" w:cs="宋体" w:eastAsia="宋体" w:hint="default"/>
          <w:spacing w:val="-2"/>
          <w:sz w:val="21"/>
          <w:szCs w:val="21"/>
        </w:rPr>
        <w:t> </w:t>
      </w:r>
      <w:r>
        <w:rPr>
          <w:rFonts w:ascii="宋体" w:hAnsi="宋体" w:cs="宋体" w:eastAsia="宋体" w:hint="default"/>
          <w:sz w:val="21"/>
          <w:szCs w:val="21"/>
        </w:rPr>
        <w:t>√不适用</w:t>
      </w:r>
      <w:r>
        <w:rPr>
          <w:rFonts w:ascii="宋体" w:hAnsi="宋体" w:cs="宋体" w:eastAsia="宋体" w:hint="default"/>
          <w:w w:val="100"/>
          <w:sz w:val="21"/>
          <w:szCs w:val="21"/>
        </w:rPr>
        <w:t> </w:t>
      </w:r>
      <w:r>
        <w:rPr>
          <w:rFonts w:ascii="宋体" w:hAnsi="宋体" w:cs="宋体" w:eastAsia="宋体" w:hint="default"/>
          <w:b/>
          <w:bCs/>
          <w:sz w:val="21"/>
          <w:szCs w:val="21"/>
        </w:rPr>
        <w:t>二、股东大会情况简介</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BodyText"/>
        <w:spacing w:line="274" w:lineRule="exact" w:before="36"/>
        <w:ind w:right="147"/>
        <w:jc w:val="left"/>
      </w:pPr>
      <w:r>
        <w:rPr/>
        <w:t>股东大会情况说明</w:t>
      </w:r>
    </w:p>
    <w:p>
      <w:pPr>
        <w:pStyle w:val="BodyText"/>
        <w:spacing w:line="274" w:lineRule="exact"/>
        <w:ind w:right="147"/>
        <w:jc w:val="left"/>
      </w:pPr>
      <w:r>
        <w:rPr/>
        <w:t>□适用</w:t>
      </w:r>
      <w:r>
        <w:rPr>
          <w:spacing w:val="-1"/>
        </w:rPr>
        <w:t> </w:t>
      </w:r>
      <w:r>
        <w:rPr/>
        <w:t>√不适用</w:t>
      </w:r>
    </w:p>
    <w:p>
      <w:pPr>
        <w:spacing w:after="0" w:line="274" w:lineRule="exact"/>
        <w:jc w:val="left"/>
        <w:sectPr>
          <w:pgSz w:w="11910" w:h="16840"/>
          <w:pgMar w:header="857" w:footer="1195" w:top="1320" w:bottom="1380" w:left="1580" w:right="1120"/>
        </w:sectPr>
      </w:pPr>
    </w:p>
    <w:p>
      <w:pPr>
        <w:spacing w:line="240" w:lineRule="auto" w:before="2"/>
        <w:rPr>
          <w:rFonts w:ascii="宋体" w:hAnsi="宋体" w:cs="宋体" w:eastAsia="宋体" w:hint="default"/>
          <w:sz w:val="9"/>
          <w:szCs w:val="9"/>
        </w:rPr>
      </w:pPr>
    </w:p>
    <w:p>
      <w:pPr>
        <w:pStyle w:val="Heading3"/>
        <w:spacing w:line="240" w:lineRule="auto" w:before="36"/>
        <w:ind w:right="0"/>
        <w:jc w:val="left"/>
        <w:rPr>
          <w:b w:val="0"/>
          <w:bCs w:val="0"/>
        </w:rPr>
      </w:pPr>
      <w:r>
        <w:rPr/>
        <w:t>三、董事履行职责情况</w:t>
      </w:r>
      <w:r>
        <w:rPr>
          <w:b w:val="0"/>
          <w:bCs w:val="0"/>
        </w:rPr>
      </w:r>
    </w:p>
    <w:p>
      <w:pPr>
        <w:pStyle w:val="Heading3"/>
        <w:spacing w:line="240" w:lineRule="auto" w:before="58"/>
        <w:ind w:right="0"/>
        <w:jc w:val="left"/>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34"/>
        </w:rPr>
        <w:t> </w:t>
      </w:r>
      <w:r>
        <w:rPr/>
        <w:t>董事参加董事会和股东大会的情况</w:t>
      </w:r>
      <w:r>
        <w:rPr>
          <w:b w:val="0"/>
          <w:bCs w:val="0"/>
        </w:rPr>
      </w:r>
    </w:p>
    <w:p>
      <w:pPr>
        <w:spacing w:line="240" w:lineRule="auto" w:before="11"/>
        <w:rPr>
          <w:rFonts w:ascii="宋体" w:hAnsi="宋体" w:cs="宋体" w:eastAsia="宋体" w:hint="default"/>
          <w:b/>
          <w:bCs/>
          <w:sz w:val="4"/>
          <w:szCs w:val="4"/>
        </w:rPr>
      </w:pPr>
    </w:p>
    <w:tbl>
      <w:tblPr>
        <w:tblW w:w="0" w:type="auto"/>
        <w:jc w:val="left"/>
        <w:tblInd w:w="105" w:type="dxa"/>
        <w:tblLayout w:type="fixed"/>
        <w:tblCellMar>
          <w:top w:w="0" w:type="dxa"/>
          <w:left w:w="0" w:type="dxa"/>
          <w:bottom w:w="0" w:type="dxa"/>
          <w:right w:w="0" w:type="dxa"/>
        </w:tblCellMar>
        <w:tblLook w:val="01E0"/>
      </w:tblPr>
      <w:tblGrid>
        <w:gridCol w:w="958"/>
        <w:gridCol w:w="826"/>
        <w:gridCol w:w="1071"/>
        <w:gridCol w:w="830"/>
        <w:gridCol w:w="946"/>
        <w:gridCol w:w="881"/>
        <w:gridCol w:w="826"/>
        <w:gridCol w:w="1261"/>
        <w:gridCol w:w="1226"/>
      </w:tblGrid>
      <w:tr>
        <w:trPr>
          <w:trHeight w:val="571" w:hRule="exact"/>
        </w:trPr>
        <w:tc>
          <w:tcPr>
            <w:tcW w:w="95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3"/>
              <w:ind w:right="0"/>
              <w:jc w:val="left"/>
              <w:rPr>
                <w:rFonts w:ascii="宋体" w:hAnsi="宋体" w:cs="宋体" w:eastAsia="宋体" w:hint="default"/>
                <w:b/>
                <w:bCs/>
                <w:sz w:val="22"/>
                <w:szCs w:val="22"/>
              </w:rPr>
            </w:pPr>
          </w:p>
          <w:p>
            <w:pPr>
              <w:pStyle w:val="TableParagraph"/>
              <w:spacing w:line="272" w:lineRule="exact"/>
              <w:ind w:left="264" w:right="259"/>
              <w:jc w:val="left"/>
              <w:rPr>
                <w:rFonts w:ascii="宋体" w:hAnsi="宋体" w:cs="宋体" w:eastAsia="宋体" w:hint="default"/>
                <w:sz w:val="21"/>
                <w:szCs w:val="21"/>
              </w:rPr>
            </w:pPr>
            <w:r>
              <w:rPr>
                <w:rFonts w:ascii="宋体" w:hAnsi="宋体" w:cs="宋体" w:eastAsia="宋体" w:hint="default"/>
                <w:sz w:val="21"/>
                <w:szCs w:val="21"/>
              </w:rPr>
              <w:t>董事</w:t>
            </w:r>
            <w:r>
              <w:rPr>
                <w:rFonts w:ascii="宋体" w:hAnsi="宋体" w:cs="宋体" w:eastAsia="宋体" w:hint="default"/>
                <w:spacing w:val="-103"/>
                <w:sz w:val="21"/>
                <w:szCs w:val="21"/>
              </w:rPr>
              <w:t> </w:t>
            </w:r>
            <w:r>
              <w:rPr>
                <w:rFonts w:ascii="宋体" w:hAnsi="宋体" w:cs="宋体" w:eastAsia="宋体" w:hint="default"/>
                <w:sz w:val="21"/>
                <w:szCs w:val="21"/>
              </w:rPr>
              <w:t>姓名</w:t>
            </w:r>
          </w:p>
        </w:tc>
        <w:tc>
          <w:tcPr>
            <w:tcW w:w="826"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29"/>
                <w:szCs w:val="29"/>
              </w:rPr>
            </w:pPr>
          </w:p>
          <w:p>
            <w:pPr>
              <w:pStyle w:val="TableParagraph"/>
              <w:spacing w:line="237" w:lineRule="auto"/>
              <w:ind w:left="194" w:right="197"/>
              <w:jc w:val="both"/>
              <w:rPr>
                <w:rFonts w:ascii="宋体" w:hAnsi="宋体" w:cs="宋体" w:eastAsia="宋体" w:hint="default"/>
                <w:sz w:val="21"/>
                <w:szCs w:val="21"/>
              </w:rPr>
            </w:pPr>
            <w:r>
              <w:rPr>
                <w:rFonts w:ascii="宋体" w:hAnsi="宋体" w:cs="宋体" w:eastAsia="宋体" w:hint="default"/>
                <w:sz w:val="21"/>
                <w:szCs w:val="21"/>
              </w:rPr>
              <w:t>是否</w:t>
            </w:r>
            <w:r>
              <w:rPr>
                <w:rFonts w:ascii="宋体" w:hAnsi="宋体" w:cs="宋体" w:eastAsia="宋体" w:hint="default"/>
                <w:spacing w:val="-103"/>
                <w:sz w:val="21"/>
                <w:szCs w:val="21"/>
              </w:rPr>
              <w:t> </w:t>
            </w:r>
            <w:r>
              <w:rPr>
                <w:rFonts w:ascii="宋体" w:hAnsi="宋体" w:cs="宋体" w:eastAsia="宋体" w:hint="default"/>
                <w:sz w:val="21"/>
                <w:szCs w:val="21"/>
              </w:rPr>
              <w:t>独立</w:t>
            </w:r>
            <w:r>
              <w:rPr>
                <w:rFonts w:ascii="宋体" w:hAnsi="宋体" w:cs="宋体" w:eastAsia="宋体" w:hint="default"/>
                <w:spacing w:val="-103"/>
                <w:sz w:val="21"/>
                <w:szCs w:val="21"/>
              </w:rPr>
              <w:t> </w:t>
            </w:r>
            <w:r>
              <w:rPr>
                <w:rFonts w:ascii="宋体" w:hAnsi="宋体" w:cs="宋体" w:eastAsia="宋体" w:hint="default"/>
                <w:sz w:val="21"/>
                <w:szCs w:val="21"/>
              </w:rPr>
              <w:t>董事</w:t>
            </w:r>
          </w:p>
        </w:tc>
        <w:tc>
          <w:tcPr>
            <w:tcW w:w="5814"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0"/>
              <w:jc w:val="center"/>
              <w:rPr>
                <w:rFonts w:ascii="宋体" w:hAnsi="宋体" w:cs="宋体" w:eastAsia="宋体" w:hint="default"/>
                <w:sz w:val="21"/>
                <w:szCs w:val="21"/>
              </w:rPr>
            </w:pPr>
            <w:r>
              <w:rPr>
                <w:rFonts w:ascii="宋体" w:hAnsi="宋体" w:cs="宋体" w:eastAsia="宋体" w:hint="default"/>
                <w:sz w:val="21"/>
                <w:szCs w:val="21"/>
              </w:rPr>
              <w:t>参加董事会情况</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3"/>
              <w:ind w:left="187" w:right="185"/>
              <w:jc w:val="left"/>
              <w:rPr>
                <w:rFonts w:ascii="宋体" w:hAnsi="宋体" w:cs="宋体" w:eastAsia="宋体" w:hint="default"/>
                <w:sz w:val="21"/>
                <w:szCs w:val="21"/>
              </w:rPr>
            </w:pPr>
            <w:r>
              <w:rPr>
                <w:rFonts w:ascii="宋体" w:hAnsi="宋体" w:cs="宋体" w:eastAsia="宋体" w:hint="default"/>
                <w:sz w:val="21"/>
                <w:szCs w:val="21"/>
              </w:rPr>
              <w:t>参加股东</w:t>
            </w:r>
            <w:r>
              <w:rPr>
                <w:rFonts w:ascii="宋体" w:hAnsi="宋体" w:cs="宋体" w:eastAsia="宋体" w:hint="default"/>
                <w:w w:val="100"/>
                <w:sz w:val="21"/>
                <w:szCs w:val="21"/>
              </w:rPr>
              <w:t> </w:t>
            </w:r>
            <w:r>
              <w:rPr>
                <w:rFonts w:ascii="宋体" w:hAnsi="宋体" w:cs="宋体" w:eastAsia="宋体" w:hint="default"/>
                <w:sz w:val="21"/>
                <w:szCs w:val="21"/>
              </w:rPr>
              <w:t>大会情况</w:t>
            </w:r>
          </w:p>
        </w:tc>
      </w:tr>
      <w:tr>
        <w:trPr>
          <w:trHeight w:val="1099" w:hRule="exact"/>
        </w:trPr>
        <w:tc>
          <w:tcPr>
            <w:tcW w:w="958" w:type="dxa"/>
            <w:vMerge/>
            <w:tcBorders>
              <w:left w:val="single" w:sz="4" w:space="0" w:color="000000"/>
              <w:bottom w:val="single" w:sz="4" w:space="0" w:color="000000"/>
              <w:right w:val="single" w:sz="4" w:space="0" w:color="000000"/>
            </w:tcBorders>
          </w:tcPr>
          <w:p>
            <w:pPr/>
          </w:p>
        </w:tc>
        <w:tc>
          <w:tcPr>
            <w:tcW w:w="826" w:type="dxa"/>
            <w:vMerge/>
            <w:tcBorders>
              <w:left w:val="single" w:sz="4" w:space="0" w:color="000000"/>
              <w:bottom w:val="single" w:sz="4" w:space="0" w:color="000000"/>
              <w:right w:val="single" w:sz="4" w:space="0" w:color="000000"/>
            </w:tcBorders>
          </w:tcPr>
          <w:p>
            <w:pPr/>
          </w:p>
        </w:tc>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05"/>
              <w:ind w:left="110" w:right="106"/>
              <w:jc w:val="center"/>
              <w:rPr>
                <w:rFonts w:ascii="宋体" w:hAnsi="宋体" w:cs="宋体" w:eastAsia="宋体" w:hint="default"/>
                <w:sz w:val="21"/>
                <w:szCs w:val="21"/>
              </w:rPr>
            </w:pPr>
            <w:r>
              <w:rPr>
                <w:rFonts w:ascii="宋体" w:hAnsi="宋体" w:cs="宋体" w:eastAsia="宋体" w:hint="default"/>
                <w:sz w:val="21"/>
                <w:szCs w:val="21"/>
              </w:rPr>
              <w:t>本年应参</w:t>
            </w:r>
            <w:r>
              <w:rPr>
                <w:rFonts w:ascii="宋体" w:hAnsi="宋体" w:cs="宋体" w:eastAsia="宋体" w:hint="default"/>
                <w:w w:val="100"/>
                <w:sz w:val="21"/>
                <w:szCs w:val="21"/>
              </w:rPr>
              <w:t> </w:t>
            </w:r>
            <w:r>
              <w:rPr>
                <w:rFonts w:ascii="宋体" w:hAnsi="宋体" w:cs="宋体" w:eastAsia="宋体" w:hint="default"/>
                <w:sz w:val="21"/>
                <w:szCs w:val="21"/>
              </w:rPr>
              <w:t>加董事会</w:t>
            </w:r>
            <w:r>
              <w:rPr>
                <w:rFonts w:ascii="宋体" w:hAnsi="宋体" w:cs="宋体" w:eastAsia="宋体" w:hint="default"/>
                <w:w w:val="100"/>
                <w:sz w:val="21"/>
                <w:szCs w:val="21"/>
              </w:rPr>
              <w:t> </w:t>
            </w:r>
            <w:r>
              <w:rPr>
                <w:rFonts w:ascii="宋体" w:hAnsi="宋体" w:cs="宋体" w:eastAsia="宋体" w:hint="default"/>
                <w:sz w:val="21"/>
                <w:szCs w:val="21"/>
              </w:rPr>
              <w:t>次数</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05"/>
              <w:ind w:left="199" w:right="197"/>
              <w:jc w:val="both"/>
              <w:rPr>
                <w:rFonts w:ascii="宋体" w:hAnsi="宋体" w:cs="宋体" w:eastAsia="宋体" w:hint="default"/>
                <w:sz w:val="21"/>
                <w:szCs w:val="21"/>
              </w:rPr>
            </w:pPr>
            <w:r>
              <w:rPr>
                <w:rFonts w:ascii="宋体" w:hAnsi="宋体" w:cs="宋体" w:eastAsia="宋体" w:hint="default"/>
                <w:sz w:val="21"/>
                <w:szCs w:val="21"/>
              </w:rPr>
              <w:t>亲自</w:t>
            </w:r>
            <w:r>
              <w:rPr>
                <w:rFonts w:ascii="宋体" w:hAnsi="宋体" w:cs="宋体" w:eastAsia="宋体" w:hint="default"/>
                <w:spacing w:val="-103"/>
                <w:sz w:val="21"/>
                <w:szCs w:val="21"/>
              </w:rPr>
              <w:t> </w:t>
            </w:r>
            <w:r>
              <w:rPr>
                <w:rFonts w:ascii="宋体" w:hAnsi="宋体" w:cs="宋体" w:eastAsia="宋体" w:hint="default"/>
                <w:sz w:val="21"/>
                <w:szCs w:val="21"/>
              </w:rPr>
              <w:t>出席</w:t>
            </w:r>
            <w:r>
              <w:rPr>
                <w:rFonts w:ascii="宋体" w:hAnsi="宋体" w:cs="宋体" w:eastAsia="宋体" w:hint="default"/>
                <w:spacing w:val="-103"/>
                <w:sz w:val="21"/>
                <w:szCs w:val="21"/>
              </w:rPr>
              <w:t> </w:t>
            </w:r>
            <w:r>
              <w:rPr>
                <w:rFonts w:ascii="宋体" w:hAnsi="宋体" w:cs="宋体" w:eastAsia="宋体" w:hint="default"/>
                <w:sz w:val="21"/>
                <w:szCs w:val="21"/>
              </w:rPr>
              <w:t>次数</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05"/>
              <w:ind w:left="151" w:right="149"/>
              <w:jc w:val="both"/>
              <w:rPr>
                <w:rFonts w:ascii="宋体" w:hAnsi="宋体" w:cs="宋体" w:eastAsia="宋体" w:hint="default"/>
                <w:sz w:val="21"/>
                <w:szCs w:val="21"/>
              </w:rPr>
            </w:pPr>
            <w:r>
              <w:rPr>
                <w:rFonts w:ascii="宋体" w:hAnsi="宋体" w:cs="宋体" w:eastAsia="宋体" w:hint="default"/>
                <w:sz w:val="21"/>
                <w:szCs w:val="21"/>
              </w:rPr>
              <w:t>以通讯</w:t>
            </w:r>
            <w:r>
              <w:rPr>
                <w:rFonts w:ascii="宋体" w:hAnsi="宋体" w:cs="宋体" w:eastAsia="宋体" w:hint="default"/>
                <w:spacing w:val="-102"/>
                <w:sz w:val="21"/>
                <w:szCs w:val="21"/>
              </w:rPr>
              <w:t> </w:t>
            </w:r>
            <w:r>
              <w:rPr>
                <w:rFonts w:ascii="宋体" w:hAnsi="宋体" w:cs="宋体" w:eastAsia="宋体" w:hint="default"/>
                <w:sz w:val="21"/>
                <w:szCs w:val="21"/>
              </w:rPr>
              <w:t>方式参</w:t>
            </w:r>
            <w:r>
              <w:rPr>
                <w:rFonts w:ascii="宋体" w:hAnsi="宋体" w:cs="宋体" w:eastAsia="宋体" w:hint="default"/>
                <w:spacing w:val="-102"/>
                <w:sz w:val="21"/>
                <w:szCs w:val="21"/>
              </w:rPr>
              <w:t> </w:t>
            </w:r>
            <w:r>
              <w:rPr>
                <w:rFonts w:ascii="宋体" w:hAnsi="宋体" w:cs="宋体" w:eastAsia="宋体" w:hint="default"/>
                <w:sz w:val="21"/>
                <w:szCs w:val="21"/>
              </w:rPr>
              <w:t>加次数</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72" w:lineRule="exact"/>
              <w:ind w:left="120" w:right="115"/>
              <w:jc w:val="left"/>
              <w:rPr>
                <w:rFonts w:ascii="宋体" w:hAnsi="宋体" w:cs="宋体" w:eastAsia="宋体" w:hint="default"/>
                <w:sz w:val="21"/>
                <w:szCs w:val="21"/>
              </w:rPr>
            </w:pPr>
            <w:r>
              <w:rPr>
                <w:rFonts w:ascii="宋体" w:hAnsi="宋体" w:cs="宋体" w:eastAsia="宋体" w:hint="default"/>
                <w:sz w:val="21"/>
                <w:szCs w:val="21"/>
              </w:rPr>
              <w:t>委托出</w:t>
            </w:r>
            <w:r>
              <w:rPr>
                <w:rFonts w:ascii="宋体" w:hAnsi="宋体" w:cs="宋体" w:eastAsia="宋体" w:hint="default"/>
                <w:spacing w:val="-102"/>
                <w:sz w:val="21"/>
                <w:szCs w:val="21"/>
              </w:rPr>
              <w:t> </w:t>
            </w:r>
            <w:r>
              <w:rPr>
                <w:rFonts w:ascii="宋体" w:hAnsi="宋体" w:cs="宋体" w:eastAsia="宋体" w:hint="default"/>
                <w:sz w:val="21"/>
                <w:szCs w:val="21"/>
              </w:rPr>
              <w:t>席次数</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72" w:lineRule="exact"/>
              <w:ind w:left="196" w:right="194"/>
              <w:jc w:val="left"/>
              <w:rPr>
                <w:rFonts w:ascii="宋体" w:hAnsi="宋体" w:cs="宋体" w:eastAsia="宋体" w:hint="default"/>
                <w:sz w:val="21"/>
                <w:szCs w:val="21"/>
              </w:rPr>
            </w:pPr>
            <w:r>
              <w:rPr>
                <w:rFonts w:ascii="宋体" w:hAnsi="宋体" w:cs="宋体" w:eastAsia="宋体" w:hint="default"/>
                <w:sz w:val="21"/>
                <w:szCs w:val="21"/>
              </w:rPr>
              <w:t>缺席</w:t>
            </w:r>
            <w:r>
              <w:rPr>
                <w:rFonts w:ascii="宋体" w:hAnsi="宋体" w:cs="宋体" w:eastAsia="宋体" w:hint="default"/>
                <w:spacing w:val="-103"/>
                <w:sz w:val="21"/>
                <w:szCs w:val="21"/>
              </w:rPr>
              <w:t> </w:t>
            </w:r>
            <w:r>
              <w:rPr>
                <w:rFonts w:ascii="宋体" w:hAnsi="宋体" w:cs="宋体" w:eastAsia="宋体" w:hint="default"/>
                <w:sz w:val="21"/>
                <w:szCs w:val="21"/>
              </w:rPr>
              <w:t>次数</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3"/>
              <w:jc w:val="center"/>
              <w:rPr>
                <w:rFonts w:ascii="宋体" w:hAnsi="宋体" w:cs="宋体" w:eastAsia="宋体" w:hint="default"/>
                <w:sz w:val="21"/>
                <w:szCs w:val="21"/>
              </w:rPr>
            </w:pPr>
            <w:r>
              <w:rPr>
                <w:rFonts w:ascii="宋体" w:hAnsi="宋体" w:cs="宋体" w:eastAsia="宋体" w:hint="default"/>
                <w:sz w:val="21"/>
                <w:szCs w:val="21"/>
              </w:rPr>
              <w:t>是否连续</w:t>
            </w:r>
          </w:p>
          <w:p>
            <w:pPr>
              <w:pStyle w:val="TableParagraph"/>
              <w:spacing w:line="237" w:lineRule="auto" w:before="2"/>
              <w:ind w:left="201" w:right="204"/>
              <w:jc w:val="center"/>
              <w:rPr>
                <w:rFonts w:ascii="宋体" w:hAnsi="宋体" w:cs="宋体" w:eastAsia="宋体" w:hint="default"/>
                <w:sz w:val="21"/>
                <w:szCs w:val="21"/>
              </w:rPr>
            </w:pPr>
            <w:r>
              <w:rPr>
                <w:rFonts w:ascii="宋体" w:hAnsi="宋体" w:cs="宋体" w:eastAsia="宋体" w:hint="default"/>
                <w:sz w:val="21"/>
                <w:szCs w:val="21"/>
              </w:rPr>
              <w:t>两次未亲</w:t>
            </w:r>
            <w:r>
              <w:rPr>
                <w:rFonts w:ascii="宋体" w:hAnsi="宋体" w:cs="宋体" w:eastAsia="宋体" w:hint="default"/>
                <w:w w:val="100"/>
                <w:sz w:val="21"/>
                <w:szCs w:val="21"/>
              </w:rPr>
              <w:t> </w:t>
            </w:r>
            <w:r>
              <w:rPr>
                <w:rFonts w:ascii="宋体" w:hAnsi="宋体" w:cs="宋体" w:eastAsia="宋体" w:hint="default"/>
                <w:sz w:val="21"/>
                <w:szCs w:val="21"/>
              </w:rPr>
              <w:t>自参加会</w:t>
            </w:r>
            <w:r>
              <w:rPr>
                <w:rFonts w:ascii="宋体" w:hAnsi="宋体" w:cs="宋体" w:eastAsia="宋体" w:hint="default"/>
                <w:w w:val="100"/>
                <w:sz w:val="21"/>
                <w:szCs w:val="21"/>
              </w:rPr>
              <w:t> </w:t>
            </w:r>
            <w:r>
              <w:rPr>
                <w:rFonts w:ascii="宋体" w:hAnsi="宋体" w:cs="宋体" w:eastAsia="宋体" w:hint="default"/>
                <w:sz w:val="21"/>
                <w:szCs w:val="21"/>
              </w:rPr>
              <w:t>议</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05"/>
              <w:ind w:left="187" w:right="185"/>
              <w:jc w:val="center"/>
              <w:rPr>
                <w:rFonts w:ascii="宋体" w:hAnsi="宋体" w:cs="宋体" w:eastAsia="宋体" w:hint="default"/>
                <w:sz w:val="21"/>
                <w:szCs w:val="21"/>
              </w:rPr>
            </w:pPr>
            <w:r>
              <w:rPr>
                <w:rFonts w:ascii="宋体" w:hAnsi="宋体" w:cs="宋体" w:eastAsia="宋体" w:hint="default"/>
                <w:sz w:val="21"/>
                <w:szCs w:val="21"/>
              </w:rPr>
              <w:t>出席股东</w:t>
            </w:r>
            <w:r>
              <w:rPr>
                <w:rFonts w:ascii="宋体" w:hAnsi="宋体" w:cs="宋体" w:eastAsia="宋体" w:hint="default"/>
                <w:w w:val="100"/>
                <w:sz w:val="21"/>
                <w:szCs w:val="21"/>
              </w:rPr>
              <w:t> </w:t>
            </w:r>
            <w:r>
              <w:rPr>
                <w:rFonts w:ascii="宋体" w:hAnsi="宋体" w:cs="宋体" w:eastAsia="宋体" w:hint="default"/>
                <w:sz w:val="21"/>
                <w:szCs w:val="21"/>
              </w:rPr>
              <w:t>大会的次</w:t>
            </w:r>
            <w:r>
              <w:rPr>
                <w:rFonts w:ascii="宋体" w:hAnsi="宋体" w:cs="宋体" w:eastAsia="宋体" w:hint="default"/>
                <w:w w:val="100"/>
                <w:sz w:val="21"/>
                <w:szCs w:val="21"/>
              </w:rPr>
              <w:t> </w:t>
            </w:r>
            <w:r>
              <w:rPr>
                <w:rFonts w:ascii="宋体" w:hAnsi="宋体" w:cs="宋体" w:eastAsia="宋体" w:hint="default"/>
                <w:sz w:val="21"/>
                <w:szCs w:val="21"/>
              </w:rPr>
              <w:t>数</w:t>
            </w:r>
          </w:p>
        </w:tc>
      </w:tr>
      <w:tr>
        <w:trPr>
          <w:trHeight w:val="283" w:hRule="exact"/>
        </w:trPr>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z w:val="21"/>
              </w:rPr>
              <w:t>21</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z w:val="21"/>
              </w:rPr>
              <w:t>21</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3"/>
              <w:jc w:val="right"/>
              <w:rPr>
                <w:rFonts w:ascii="宋体" w:hAnsi="宋体" w:cs="宋体" w:eastAsia="宋体" w:hint="default"/>
                <w:sz w:val="21"/>
                <w:szCs w:val="21"/>
              </w:rPr>
            </w:pPr>
            <w:r>
              <w:rPr>
                <w:rFonts w:ascii="宋体"/>
                <w:sz w:val="21"/>
              </w:rPr>
              <w:t>17</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w w:val="100"/>
                <w:sz w:val="21"/>
              </w:rPr>
              <w:t>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3"/>
              <w:jc w:val="right"/>
              <w:rPr>
                <w:rFonts w:ascii="宋体" w:hAnsi="宋体" w:cs="宋体" w:eastAsia="宋体" w:hint="default"/>
                <w:sz w:val="21"/>
                <w:szCs w:val="21"/>
              </w:rPr>
            </w:pPr>
            <w:r>
              <w:rPr>
                <w:rFonts w:ascii="宋体"/>
                <w:w w:val="100"/>
                <w:sz w:val="21"/>
              </w:rPr>
              <w:t>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w w:val="100"/>
                <w:sz w:val="21"/>
              </w:rPr>
              <w:t>4</w:t>
            </w:r>
          </w:p>
        </w:tc>
      </w:tr>
      <w:tr>
        <w:trPr>
          <w:trHeight w:val="283" w:hRule="exact"/>
        </w:trPr>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郭新平</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21</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21</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3"/>
              <w:jc w:val="right"/>
              <w:rPr>
                <w:rFonts w:ascii="宋体" w:hAnsi="宋体" w:cs="宋体" w:eastAsia="宋体" w:hint="default"/>
                <w:sz w:val="21"/>
                <w:szCs w:val="21"/>
              </w:rPr>
            </w:pPr>
            <w:r>
              <w:rPr>
                <w:rFonts w:ascii="宋体"/>
                <w:sz w:val="21"/>
              </w:rPr>
              <w:t>17</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3"/>
              <w:jc w:val="right"/>
              <w:rPr>
                <w:rFonts w:ascii="宋体" w:hAnsi="宋体" w:cs="宋体" w:eastAsia="宋体" w:hint="default"/>
                <w:sz w:val="21"/>
                <w:szCs w:val="21"/>
              </w:rPr>
            </w:pPr>
            <w:r>
              <w:rPr>
                <w:rFonts w:ascii="宋体"/>
                <w:w w:val="100"/>
                <w:sz w:val="21"/>
              </w:rPr>
              <w:t>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4</w:t>
            </w:r>
          </w:p>
        </w:tc>
      </w:tr>
      <w:tr>
        <w:trPr>
          <w:trHeight w:val="281" w:hRule="exact"/>
        </w:trPr>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21</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21</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3"/>
              <w:jc w:val="right"/>
              <w:rPr>
                <w:rFonts w:ascii="宋体" w:hAnsi="宋体" w:cs="宋体" w:eastAsia="宋体" w:hint="default"/>
                <w:sz w:val="21"/>
                <w:szCs w:val="21"/>
              </w:rPr>
            </w:pPr>
            <w:r>
              <w:rPr>
                <w:rFonts w:ascii="宋体"/>
                <w:sz w:val="21"/>
              </w:rPr>
              <w:t>17</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3"/>
              <w:jc w:val="right"/>
              <w:rPr>
                <w:rFonts w:ascii="宋体" w:hAnsi="宋体" w:cs="宋体" w:eastAsia="宋体" w:hint="default"/>
                <w:sz w:val="21"/>
                <w:szCs w:val="21"/>
              </w:rPr>
            </w:pPr>
            <w:r>
              <w:rPr>
                <w:rFonts w:ascii="宋体"/>
                <w:w w:val="100"/>
                <w:sz w:val="21"/>
              </w:rPr>
              <w:t>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4</w:t>
            </w:r>
          </w:p>
        </w:tc>
      </w:tr>
      <w:tr>
        <w:trPr>
          <w:trHeight w:val="284" w:hRule="exact"/>
        </w:trPr>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李绍唐</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5</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5</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3"/>
              <w:jc w:val="right"/>
              <w:rPr>
                <w:rFonts w:ascii="宋体" w:hAnsi="宋体" w:cs="宋体" w:eastAsia="宋体" w:hint="default"/>
                <w:sz w:val="21"/>
                <w:szCs w:val="21"/>
              </w:rPr>
            </w:pPr>
            <w:r>
              <w:rPr>
                <w:rFonts w:ascii="宋体"/>
                <w:w w:val="100"/>
                <w:sz w:val="21"/>
              </w:rPr>
              <w:t>4</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3"/>
              <w:jc w:val="right"/>
              <w:rPr>
                <w:rFonts w:ascii="宋体" w:hAnsi="宋体" w:cs="宋体" w:eastAsia="宋体" w:hint="default"/>
                <w:sz w:val="21"/>
                <w:szCs w:val="21"/>
              </w:rPr>
            </w:pPr>
            <w:r>
              <w:rPr>
                <w:rFonts w:ascii="宋体"/>
                <w:w w:val="100"/>
                <w:sz w:val="21"/>
              </w:rPr>
              <w:t>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r>
      <w:tr>
        <w:trPr>
          <w:trHeight w:val="283" w:hRule="exact"/>
        </w:trPr>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黄锦辉</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21</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21</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3"/>
              <w:jc w:val="right"/>
              <w:rPr>
                <w:rFonts w:ascii="宋体" w:hAnsi="宋体" w:cs="宋体" w:eastAsia="宋体" w:hint="default"/>
                <w:sz w:val="21"/>
                <w:szCs w:val="21"/>
              </w:rPr>
            </w:pPr>
            <w:r>
              <w:rPr>
                <w:rFonts w:ascii="宋体"/>
                <w:sz w:val="21"/>
              </w:rPr>
              <w:t>17</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3"/>
              <w:jc w:val="right"/>
              <w:rPr>
                <w:rFonts w:ascii="宋体" w:hAnsi="宋体" w:cs="宋体" w:eastAsia="宋体" w:hint="default"/>
                <w:sz w:val="21"/>
                <w:szCs w:val="21"/>
              </w:rPr>
            </w:pPr>
            <w:r>
              <w:rPr>
                <w:rFonts w:ascii="宋体"/>
                <w:w w:val="100"/>
                <w:sz w:val="21"/>
              </w:rPr>
              <w:t>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r>
      <w:tr>
        <w:trPr>
          <w:trHeight w:val="281" w:hRule="exact"/>
        </w:trPr>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于扬</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21</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21</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3"/>
              <w:jc w:val="right"/>
              <w:rPr>
                <w:rFonts w:ascii="宋体" w:hAnsi="宋体" w:cs="宋体" w:eastAsia="宋体" w:hint="default"/>
                <w:sz w:val="21"/>
                <w:szCs w:val="21"/>
              </w:rPr>
            </w:pPr>
            <w:r>
              <w:rPr>
                <w:rFonts w:ascii="宋体"/>
                <w:sz w:val="21"/>
              </w:rPr>
              <w:t>17</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3"/>
              <w:jc w:val="right"/>
              <w:rPr>
                <w:rFonts w:ascii="宋体" w:hAnsi="宋体" w:cs="宋体" w:eastAsia="宋体" w:hint="default"/>
                <w:sz w:val="21"/>
                <w:szCs w:val="21"/>
              </w:rPr>
            </w:pPr>
            <w:r>
              <w:rPr>
                <w:rFonts w:ascii="宋体"/>
                <w:w w:val="100"/>
                <w:sz w:val="21"/>
              </w:rPr>
              <w:t>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r>
      <w:tr>
        <w:trPr>
          <w:trHeight w:val="283" w:hRule="exact"/>
        </w:trPr>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王贵亚</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21</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21</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3"/>
              <w:jc w:val="right"/>
              <w:rPr>
                <w:rFonts w:ascii="宋体" w:hAnsi="宋体" w:cs="宋体" w:eastAsia="宋体" w:hint="default"/>
                <w:sz w:val="21"/>
                <w:szCs w:val="21"/>
              </w:rPr>
            </w:pPr>
            <w:r>
              <w:rPr>
                <w:rFonts w:ascii="宋体"/>
                <w:sz w:val="21"/>
              </w:rPr>
              <w:t>17</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3"/>
              <w:jc w:val="right"/>
              <w:rPr>
                <w:rFonts w:ascii="宋体" w:hAnsi="宋体" w:cs="宋体" w:eastAsia="宋体" w:hint="default"/>
                <w:sz w:val="21"/>
                <w:szCs w:val="21"/>
              </w:rPr>
            </w:pPr>
            <w:r>
              <w:rPr>
                <w:rFonts w:ascii="宋体"/>
                <w:w w:val="100"/>
                <w:sz w:val="21"/>
              </w:rPr>
              <w:t>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r>
    </w:tbl>
    <w:p>
      <w:pPr>
        <w:spacing w:line="240" w:lineRule="auto" w:before="7"/>
        <w:rPr>
          <w:rFonts w:ascii="宋体" w:hAnsi="宋体" w:cs="宋体" w:eastAsia="宋体" w:hint="default"/>
          <w:b/>
          <w:bCs/>
          <w:sz w:val="15"/>
          <w:szCs w:val="15"/>
        </w:rPr>
      </w:pPr>
    </w:p>
    <w:p>
      <w:pPr>
        <w:pStyle w:val="BodyText"/>
        <w:spacing w:line="273" w:lineRule="exact" w:before="36"/>
        <w:ind w:right="0"/>
        <w:jc w:val="left"/>
      </w:pPr>
      <w:r>
        <w:rPr/>
        <w:t>连续两次未亲自出席董事会会议的说明</w:t>
      </w:r>
    </w:p>
    <w:p>
      <w:pPr>
        <w:pStyle w:val="BodyText"/>
        <w:spacing w:line="273" w:lineRule="exact"/>
        <w:ind w:right="0"/>
        <w:jc w:val="left"/>
      </w:pPr>
      <w:r>
        <w:rPr/>
        <w:t>□适用</w:t>
      </w:r>
      <w:r>
        <w:rPr>
          <w:spacing w:val="-1"/>
        </w:rPr>
        <w:t> </w:t>
      </w:r>
      <w:r>
        <w:rPr/>
        <w:t>√不适用</w:t>
      </w:r>
    </w:p>
    <w:p>
      <w:pPr>
        <w:spacing w:line="240" w:lineRule="auto" w:before="3"/>
        <w:rPr>
          <w:rFonts w:ascii="宋体" w:hAnsi="宋体" w:cs="宋体" w:eastAsia="宋体" w:hint="default"/>
          <w:sz w:val="23"/>
          <w:szCs w:val="23"/>
        </w:rPr>
      </w:pPr>
    </w:p>
    <w:tbl>
      <w:tblPr>
        <w:tblW w:w="0" w:type="auto"/>
        <w:jc w:val="left"/>
        <w:tblInd w:w="105" w:type="dxa"/>
        <w:tblLayout w:type="fixed"/>
        <w:tblCellMar>
          <w:top w:w="0" w:type="dxa"/>
          <w:left w:w="0" w:type="dxa"/>
          <w:bottom w:w="0" w:type="dxa"/>
          <w:right w:w="0" w:type="dxa"/>
        </w:tblCellMar>
        <w:tblLook w:val="01E0"/>
      </w:tblPr>
      <w:tblGrid>
        <w:gridCol w:w="4414"/>
        <w:gridCol w:w="4410"/>
      </w:tblGrid>
      <w:tr>
        <w:trPr>
          <w:trHeight w:val="283" w:hRule="exact"/>
        </w:trPr>
        <w:tc>
          <w:tcPr>
            <w:tcW w:w="44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年内召开董事会会议次数</w:t>
            </w:r>
          </w:p>
        </w:tc>
        <w:tc>
          <w:tcPr>
            <w:tcW w:w="4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21</w:t>
            </w:r>
          </w:p>
        </w:tc>
      </w:tr>
      <w:tr>
        <w:trPr>
          <w:trHeight w:val="281" w:hRule="exact"/>
        </w:trPr>
        <w:tc>
          <w:tcPr>
            <w:tcW w:w="44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其中：现场会议次数</w:t>
            </w:r>
          </w:p>
        </w:tc>
        <w:tc>
          <w:tcPr>
            <w:tcW w:w="4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4</w:t>
            </w:r>
          </w:p>
        </w:tc>
      </w:tr>
      <w:tr>
        <w:trPr>
          <w:trHeight w:val="283" w:hRule="exact"/>
        </w:trPr>
        <w:tc>
          <w:tcPr>
            <w:tcW w:w="44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通讯方式召开会议次数</w:t>
            </w:r>
          </w:p>
        </w:tc>
        <w:tc>
          <w:tcPr>
            <w:tcW w:w="4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17</w:t>
            </w:r>
          </w:p>
        </w:tc>
      </w:tr>
      <w:tr>
        <w:trPr>
          <w:trHeight w:val="283" w:hRule="exact"/>
        </w:trPr>
        <w:tc>
          <w:tcPr>
            <w:tcW w:w="44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现场结合通讯方式召开会议次数</w:t>
            </w:r>
          </w:p>
        </w:tc>
        <w:tc>
          <w:tcPr>
            <w:tcW w:w="4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0</w:t>
            </w:r>
          </w:p>
        </w:tc>
      </w:tr>
    </w:tbl>
    <w:p>
      <w:pPr>
        <w:spacing w:line="240" w:lineRule="auto" w:before="13"/>
        <w:rPr>
          <w:rFonts w:ascii="宋体" w:hAnsi="宋体" w:cs="宋体" w:eastAsia="宋体" w:hint="default"/>
          <w:sz w:val="19"/>
          <w:szCs w:val="19"/>
        </w:rPr>
      </w:pPr>
    </w:p>
    <w:p>
      <w:pPr>
        <w:pStyle w:val="Heading3"/>
        <w:spacing w:line="240" w:lineRule="auto" w:before="36"/>
        <w:ind w:right="0"/>
        <w:jc w:val="left"/>
        <w:rPr>
          <w:b w:val="0"/>
          <w:bCs w:val="0"/>
        </w:rPr>
      </w:pPr>
      <w:r>
        <w:rPr>
          <w:rFonts w:ascii="Calibri" w:hAnsi="Calibri" w:cs="Calibri" w:eastAsia="Calibri" w:hint="default"/>
        </w:rPr>
        <w:t>(</w:t>
      </w:r>
      <w:r>
        <w:rPr/>
        <w:t>二</w:t>
      </w:r>
      <w:r>
        <w:rPr>
          <w:rFonts w:ascii="Calibri" w:hAnsi="Calibri" w:cs="Calibri" w:eastAsia="Calibri" w:hint="default"/>
        </w:rPr>
        <w:t>)</w:t>
      </w:r>
      <w:r>
        <w:rPr>
          <w:rFonts w:ascii="Calibri" w:hAnsi="Calibri" w:cs="Calibri" w:eastAsia="Calibri" w:hint="default"/>
          <w:spacing w:val="35"/>
        </w:rPr>
        <w:t> </w:t>
      </w:r>
      <w:r>
        <w:rPr/>
        <w:t>独立董事对公司有关事项提出异议的情况</w:t>
      </w:r>
      <w:r>
        <w:rPr>
          <w:b w:val="0"/>
          <w:bCs w:val="0"/>
        </w:rPr>
      </w:r>
    </w:p>
    <w:p>
      <w:pPr>
        <w:pStyle w:val="BodyText"/>
        <w:spacing w:line="240" w:lineRule="auto" w:before="32"/>
        <w:ind w:right="0"/>
        <w:jc w:val="left"/>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right="0"/>
        <w:jc w:val="left"/>
        <w:rPr>
          <w:b w:val="0"/>
          <w:bCs w:val="0"/>
        </w:rPr>
      </w:pPr>
      <w:r>
        <w:rPr>
          <w:rFonts w:ascii="Calibri" w:hAnsi="Calibri" w:cs="Calibri" w:eastAsia="Calibri" w:hint="default"/>
        </w:rPr>
        <w:t>(</w:t>
      </w:r>
      <w:r>
        <w:rPr/>
        <w:t>三</w:t>
      </w:r>
      <w:r>
        <w:rPr>
          <w:rFonts w:ascii="Calibri" w:hAnsi="Calibri" w:cs="Calibri" w:eastAsia="Calibri" w:hint="default"/>
        </w:rPr>
        <w:t>)</w:t>
      </w:r>
      <w:r>
        <w:rPr>
          <w:rFonts w:ascii="Calibri" w:hAnsi="Calibri" w:cs="Calibri" w:eastAsia="Calibri" w:hint="default"/>
          <w:spacing w:val="35"/>
        </w:rPr>
        <w:t> </w:t>
      </w:r>
      <w:r>
        <w:rPr/>
        <w:t>其他</w:t>
      </w:r>
      <w:r>
        <w:rPr>
          <w:b w:val="0"/>
          <w:bCs w:val="0"/>
        </w:rPr>
      </w:r>
    </w:p>
    <w:p>
      <w:pPr>
        <w:pStyle w:val="BodyText"/>
        <w:tabs>
          <w:tab w:pos="1060" w:val="left" w:leader="none"/>
        </w:tabs>
        <w:spacing w:line="240" w:lineRule="auto" w:before="29"/>
        <w:ind w:right="0"/>
        <w:jc w:val="left"/>
      </w:pPr>
      <w:r>
        <w:rPr>
          <w:spacing w:val="-1"/>
        </w:rPr>
        <w:t>□适用</w:t>
        <w:tab/>
      </w:r>
      <w:r>
        <w:rPr>
          <w:spacing w:val="-2"/>
        </w:rPr>
        <w:t>√不适用</w:t>
      </w:r>
    </w:p>
    <w:p>
      <w:pPr>
        <w:spacing w:line="240" w:lineRule="auto" w:before="4"/>
        <w:rPr>
          <w:rFonts w:ascii="宋体" w:hAnsi="宋体" w:cs="宋体" w:eastAsia="宋体" w:hint="default"/>
          <w:sz w:val="27"/>
          <w:szCs w:val="27"/>
        </w:rPr>
      </w:pPr>
    </w:p>
    <w:p>
      <w:pPr>
        <w:pStyle w:val="Heading3"/>
        <w:spacing w:line="272" w:lineRule="exact"/>
        <w:ind w:left="642" w:right="0" w:hanging="425"/>
        <w:jc w:val="left"/>
        <w:rPr>
          <w:b w:val="0"/>
          <w:bCs w:val="0"/>
        </w:rPr>
      </w:pPr>
      <w:r>
        <w:rPr/>
        <w:t>四、董事会下设专门委员会在报告期内履行职责时所提出的重要意见和建议，存在异议事项的，</w:t>
      </w:r>
      <w:r>
        <w:rPr>
          <w:spacing w:val="-31"/>
        </w:rPr>
        <w:t> </w:t>
      </w:r>
      <w:r>
        <w:rPr>
          <w:spacing w:val="-31"/>
        </w:rPr>
      </w:r>
      <w:r>
        <w:rPr/>
        <w:t>应当披露具体情况</w:t>
      </w:r>
      <w:r>
        <w:rPr>
          <w:b w:val="0"/>
          <w:bCs w:val="0"/>
        </w:rPr>
      </w:r>
    </w:p>
    <w:p>
      <w:pPr>
        <w:pStyle w:val="BodyText"/>
        <w:tabs>
          <w:tab w:pos="1060" w:val="left" w:leader="none"/>
        </w:tabs>
        <w:spacing w:line="240" w:lineRule="auto" w:before="34"/>
        <w:ind w:right="0"/>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right="0"/>
        <w:jc w:val="left"/>
        <w:rPr>
          <w:b w:val="0"/>
          <w:bCs w:val="0"/>
        </w:rPr>
      </w:pPr>
      <w:r>
        <w:rPr/>
        <w:t>五、监事会发现公司存在风险的说明</w:t>
      </w:r>
      <w:r>
        <w:rPr>
          <w:b w:val="0"/>
          <w:bCs w:val="0"/>
        </w:rPr>
      </w:r>
    </w:p>
    <w:p>
      <w:pPr>
        <w:pStyle w:val="BodyText"/>
        <w:spacing w:line="240" w:lineRule="auto" w:before="56"/>
        <w:ind w:right="0"/>
        <w:jc w:val="left"/>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left="642" w:right="0" w:hanging="425"/>
        <w:jc w:val="left"/>
        <w:rPr>
          <w:b w:val="0"/>
          <w:bCs w:val="0"/>
        </w:rPr>
      </w:pPr>
      <w:r>
        <w:rPr>
          <w:spacing w:val="-1"/>
        </w:rPr>
        <w:t>六、公司就其与控股股东在业务、人员、资产、机构、财务等方面存在的不能保证独立性、不能</w:t>
      </w:r>
      <w:r>
        <w:rPr>
          <w:spacing w:val="-89"/>
        </w:rPr>
        <w:t> </w:t>
      </w:r>
      <w:r>
        <w:rPr>
          <w:spacing w:val="-89"/>
        </w:rPr>
      </w:r>
      <w:r>
        <w:rPr/>
        <w:t>保持自主经营能力的情况说明</w:t>
      </w:r>
      <w:r>
        <w:rPr>
          <w:b w:val="0"/>
          <w:bCs w:val="0"/>
        </w:rPr>
      </w:r>
    </w:p>
    <w:p>
      <w:pPr>
        <w:pStyle w:val="BodyText"/>
        <w:tabs>
          <w:tab w:pos="1060" w:val="left" w:leader="none"/>
        </w:tabs>
        <w:spacing w:line="240" w:lineRule="auto" w:before="56"/>
        <w:ind w:right="0"/>
        <w:jc w:val="left"/>
      </w:pPr>
      <w:r>
        <w:rPr>
          <w:spacing w:val="-1"/>
        </w:rPr>
        <w:t>□适用</w:t>
        <w:tab/>
      </w:r>
      <w:r>
        <w:rPr>
          <w:spacing w:val="-2"/>
        </w:rPr>
        <w:t>√不适用</w:t>
      </w:r>
    </w:p>
    <w:p>
      <w:pPr>
        <w:spacing w:line="240" w:lineRule="auto" w:before="8"/>
        <w:rPr>
          <w:rFonts w:ascii="宋体" w:hAnsi="宋体" w:cs="宋体" w:eastAsia="宋体" w:hint="default"/>
          <w:sz w:val="20"/>
          <w:szCs w:val="20"/>
        </w:rPr>
      </w:pPr>
    </w:p>
    <w:p>
      <w:pPr>
        <w:pStyle w:val="BodyText"/>
        <w:spacing w:line="274" w:lineRule="exact"/>
        <w:ind w:right="0"/>
        <w:jc w:val="left"/>
      </w:pPr>
      <w:r>
        <w:rPr/>
        <w:t>存在同业竞争的，公司相应的解决措施、工作进度及后续工作计划</w:t>
      </w:r>
    </w:p>
    <w:p>
      <w:pPr>
        <w:pStyle w:val="BodyText"/>
        <w:tabs>
          <w:tab w:pos="1060" w:val="left" w:leader="none"/>
        </w:tabs>
        <w:spacing w:line="274" w:lineRule="exact"/>
        <w:ind w:right="0"/>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right="0"/>
        <w:jc w:val="left"/>
        <w:rPr>
          <w:b w:val="0"/>
          <w:bCs w:val="0"/>
        </w:rPr>
      </w:pPr>
      <w:r>
        <w:rPr/>
        <w:t>七、报告期内对高级管理人员的考评机制，以及激励机制的建立、实施情况</w:t>
      </w:r>
      <w:r>
        <w:rPr>
          <w:b w:val="0"/>
          <w:bCs w:val="0"/>
        </w:rPr>
      </w:r>
    </w:p>
    <w:p>
      <w:pPr>
        <w:pStyle w:val="BodyText"/>
        <w:tabs>
          <w:tab w:pos="1060" w:val="left" w:leader="none"/>
        </w:tabs>
        <w:spacing w:line="240" w:lineRule="auto" w:before="56"/>
        <w:ind w:right="0"/>
        <w:jc w:val="left"/>
      </w:pPr>
      <w:r>
        <w:rPr>
          <w:spacing w:val="-1"/>
        </w:rPr>
        <w:t>√适用</w:t>
        <w:tab/>
      </w:r>
      <w:r>
        <w:rPr>
          <w:spacing w:val="-2"/>
        </w:rPr>
        <w:t>□不适用</w:t>
      </w:r>
    </w:p>
    <w:p>
      <w:pPr>
        <w:spacing w:after="0" w:line="240" w:lineRule="auto"/>
        <w:jc w:val="left"/>
        <w:sectPr>
          <w:pgSz w:w="11910" w:h="16840"/>
          <w:pgMar w:header="857" w:footer="1195" w:top="1320" w:bottom="1380" w:left="1580" w:right="1060"/>
        </w:sectPr>
      </w:pPr>
    </w:p>
    <w:p>
      <w:pPr>
        <w:spacing w:line="240" w:lineRule="auto" w:before="2"/>
        <w:rPr>
          <w:rFonts w:ascii="宋体" w:hAnsi="宋体" w:cs="宋体" w:eastAsia="宋体" w:hint="default"/>
          <w:sz w:val="9"/>
          <w:szCs w:val="9"/>
        </w:rPr>
      </w:pPr>
    </w:p>
    <w:p>
      <w:pPr>
        <w:pStyle w:val="BodyText"/>
        <w:spacing w:line="357" w:lineRule="auto" w:before="36"/>
        <w:ind w:left="138" w:right="157" w:firstLine="419"/>
        <w:jc w:val="both"/>
      </w:pPr>
      <w:r>
        <w:rPr>
          <w:spacing w:val="-2"/>
        </w:rPr>
        <w:t>公司对高级管理人员的聘任公开、透明，符合法律法规的规定。公司实施的高级管理人员绩</w:t>
      </w:r>
      <w:r>
        <w:rPr>
          <w:w w:val="100"/>
        </w:rPr>
        <w:t> </w:t>
      </w:r>
      <w:r>
        <w:rPr>
          <w:spacing w:val="-2"/>
        </w:rPr>
        <w:t>效评价制度是公司董事会按年度对公司高级管理人员的业绩和履行职责情况进行考评，并根据考</w:t>
      </w:r>
      <w:r>
        <w:rPr>
          <w:spacing w:val="-26"/>
        </w:rPr>
        <w:t> </w:t>
      </w:r>
      <w:r>
        <w:rPr>
          <w:spacing w:val="-26"/>
        </w:rPr>
      </w:r>
      <w:r>
        <w:rPr>
          <w:spacing w:val="-2"/>
        </w:rPr>
        <w:t>评结果决定下一年度的年薪定级、岗位安排直至聘用与否。公司对高级管理人员实行与公司年度</w:t>
      </w:r>
      <w:r>
        <w:rPr>
          <w:spacing w:val="-25"/>
        </w:rPr>
        <w:t> </w:t>
      </w:r>
      <w:r>
        <w:rPr>
          <w:spacing w:val="-25"/>
        </w:rPr>
      </w:r>
      <w:r>
        <w:rPr/>
        <w:t>经营业绩挂钩的绩效奖金制。</w:t>
      </w:r>
    </w:p>
    <w:p>
      <w:pPr>
        <w:pStyle w:val="BodyText"/>
        <w:spacing w:line="355" w:lineRule="auto" w:before="30"/>
        <w:ind w:left="138" w:right="0" w:firstLine="419"/>
        <w:jc w:val="left"/>
      </w:pPr>
      <w:r>
        <w:rPr>
          <w:spacing w:val="-2"/>
        </w:rPr>
        <w:t>公司根据发展需要对包括高级管理人员在内的骨干员工实施股权激励计划。股权激励计划在</w:t>
      </w:r>
      <w:r>
        <w:rPr>
          <w:w w:val="100"/>
        </w:rPr>
        <w:t> </w:t>
      </w:r>
      <w:r>
        <w:rPr/>
        <w:t>符合计划中规定的条件时实施。</w:t>
      </w:r>
    </w:p>
    <w:p>
      <w:pPr>
        <w:spacing w:line="240" w:lineRule="auto" w:before="13"/>
        <w:rPr>
          <w:rFonts w:ascii="宋体" w:hAnsi="宋体" w:cs="宋体" w:eastAsia="宋体" w:hint="default"/>
          <w:sz w:val="27"/>
          <w:szCs w:val="27"/>
        </w:rPr>
      </w:pPr>
    </w:p>
    <w:p>
      <w:pPr>
        <w:pStyle w:val="Heading3"/>
        <w:spacing w:line="240" w:lineRule="auto"/>
        <w:ind w:left="138" w:right="0"/>
        <w:jc w:val="left"/>
        <w:rPr>
          <w:b w:val="0"/>
          <w:bCs w:val="0"/>
        </w:rPr>
      </w:pPr>
      <w:r>
        <w:rPr/>
        <w:t>八、是否披露内部控制自我评价报告</w:t>
      </w:r>
      <w:r>
        <w:rPr>
          <w:b w:val="0"/>
          <w:bCs w:val="0"/>
        </w:rPr>
      </w:r>
    </w:p>
    <w:p>
      <w:pPr>
        <w:pStyle w:val="BodyText"/>
        <w:spacing w:line="272" w:lineRule="exact" w:before="86"/>
        <w:ind w:left="558" w:right="0" w:hanging="420"/>
        <w:jc w:val="left"/>
      </w:pPr>
      <w:r>
        <w:rPr/>
        <w:t>√适用</w:t>
      </w:r>
      <w:r>
        <w:rPr>
          <w:spacing w:val="-2"/>
        </w:rPr>
        <w:t> </w:t>
      </w:r>
      <w:r>
        <w:rPr/>
        <w:t>□不适用</w:t>
      </w:r>
      <w:r>
        <w:rPr>
          <w:w w:val="100"/>
        </w:rPr>
        <w:t> </w:t>
      </w:r>
      <w:r>
        <w:rPr>
          <w:spacing w:val="-2"/>
        </w:rPr>
        <w:t>公司披露了《用友网络科技股份有限公司董事会关于公司内部控制的自我评价报告》，披露</w:t>
      </w:r>
    </w:p>
    <w:p>
      <w:pPr>
        <w:pStyle w:val="BodyText"/>
        <w:spacing w:line="249" w:lineRule="exact"/>
        <w:ind w:left="138" w:right="0"/>
        <w:jc w:val="left"/>
      </w:pPr>
      <w:r>
        <w:rPr/>
        <w:t>网址：</w:t>
      </w:r>
      <w:hyperlink r:id="rId13">
        <w:r>
          <w:rPr>
            <w:rFonts w:ascii="宋体" w:hAnsi="宋体" w:cs="宋体" w:eastAsia="宋体" w:hint="default"/>
          </w:rPr>
          <w:t>www.sse.com.cn</w:t>
        </w:r>
      </w:hyperlink>
      <w:r>
        <w:rPr/>
        <w:t>。</w:t>
      </w:r>
    </w:p>
    <w:p>
      <w:pPr>
        <w:spacing w:line="240" w:lineRule="auto" w:before="8"/>
        <w:rPr>
          <w:rFonts w:ascii="宋体" w:hAnsi="宋体" w:cs="宋体" w:eastAsia="宋体" w:hint="default"/>
          <w:sz w:val="20"/>
          <w:szCs w:val="20"/>
        </w:rPr>
      </w:pPr>
    </w:p>
    <w:p>
      <w:pPr>
        <w:pStyle w:val="BodyText"/>
        <w:spacing w:line="273" w:lineRule="exact"/>
        <w:ind w:left="138" w:right="0"/>
        <w:jc w:val="left"/>
      </w:pPr>
      <w:r>
        <w:rPr/>
        <w:t>报告期内部控制存在重大缺陷情况的说明</w:t>
      </w:r>
    </w:p>
    <w:p>
      <w:pPr>
        <w:pStyle w:val="BodyText"/>
        <w:spacing w:line="273" w:lineRule="exact"/>
        <w:ind w:left="138" w:right="0"/>
        <w:jc w:val="left"/>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left="138" w:right="0"/>
        <w:jc w:val="left"/>
        <w:rPr>
          <w:b w:val="0"/>
          <w:bCs w:val="0"/>
        </w:rPr>
      </w:pPr>
      <w:r>
        <w:rPr/>
        <w:t>九、内部控制审计报告的相关情况说明</w:t>
      </w:r>
      <w:r>
        <w:rPr>
          <w:b w:val="0"/>
          <w:bCs w:val="0"/>
        </w:rPr>
      </w:r>
    </w:p>
    <w:p>
      <w:pPr>
        <w:pStyle w:val="BodyText"/>
        <w:tabs>
          <w:tab w:pos="980" w:val="left" w:leader="none"/>
        </w:tabs>
        <w:spacing w:line="274" w:lineRule="exact" w:before="56"/>
        <w:ind w:left="138" w:right="0"/>
        <w:jc w:val="left"/>
      </w:pPr>
      <w:r>
        <w:rPr>
          <w:spacing w:val="-1"/>
        </w:rPr>
        <w:t>√适用</w:t>
        <w:tab/>
      </w:r>
      <w:r>
        <w:rPr>
          <w:spacing w:val="-2"/>
        </w:rPr>
        <w:t>□不适用</w:t>
      </w:r>
    </w:p>
    <w:p>
      <w:pPr>
        <w:pStyle w:val="BodyText"/>
        <w:spacing w:line="272" w:lineRule="exact" w:before="27"/>
        <w:ind w:left="138" w:right="680" w:firstLine="419"/>
        <w:jc w:val="left"/>
      </w:pPr>
      <w:r>
        <w:rPr/>
        <w:t>公司披露了《用友网络科技股份有限公司</w:t>
      </w:r>
      <w:r>
        <w:rPr>
          <w:spacing w:val="-56"/>
        </w:rPr>
        <w:t> </w:t>
      </w:r>
      <w:r>
        <w:rPr>
          <w:rFonts w:ascii="宋体" w:hAnsi="宋体" w:cs="宋体" w:eastAsia="宋体" w:hint="default"/>
        </w:rPr>
        <w:t>2017</w:t>
      </w:r>
      <w:r>
        <w:rPr>
          <w:rFonts w:ascii="宋体" w:hAnsi="宋体" w:cs="宋体" w:eastAsia="宋体" w:hint="default"/>
          <w:spacing w:val="-55"/>
        </w:rPr>
        <w:t> </w:t>
      </w:r>
      <w:r>
        <w:rPr/>
        <w:t>年度内部控制审计报告》，披露网址：</w:t>
      </w:r>
      <w:r>
        <w:rPr>
          <w:w w:val="100"/>
        </w:rPr>
        <w:t> </w:t>
      </w:r>
      <w:hyperlink r:id="rId13">
        <w:r>
          <w:rPr>
            <w:rFonts w:ascii="宋体" w:hAnsi="宋体" w:cs="宋体" w:eastAsia="宋体" w:hint="default"/>
          </w:rPr>
          <w:t>www.sse.com.cn</w:t>
        </w:r>
      </w:hyperlink>
      <w:r>
        <w:rPr/>
        <w:t>。</w:t>
      </w:r>
    </w:p>
    <w:p>
      <w:pPr>
        <w:pStyle w:val="BodyText"/>
        <w:spacing w:line="249" w:lineRule="exact"/>
        <w:ind w:left="558" w:right="0"/>
        <w:jc w:val="left"/>
      </w:pPr>
      <w:r>
        <w:rPr/>
        <w:t>是否披露内部控制审计报告：是</w:t>
      </w:r>
    </w:p>
    <w:p>
      <w:pPr>
        <w:spacing w:line="240" w:lineRule="auto" w:before="3"/>
        <w:rPr>
          <w:rFonts w:ascii="宋体" w:hAnsi="宋体" w:cs="宋体" w:eastAsia="宋体" w:hint="default"/>
          <w:sz w:val="25"/>
          <w:szCs w:val="25"/>
        </w:rPr>
      </w:pPr>
    </w:p>
    <w:p>
      <w:pPr>
        <w:pStyle w:val="Heading3"/>
        <w:spacing w:line="240" w:lineRule="auto"/>
        <w:ind w:left="138" w:right="0"/>
        <w:jc w:val="left"/>
        <w:rPr>
          <w:b w:val="0"/>
          <w:bCs w:val="0"/>
        </w:rPr>
      </w:pPr>
      <w:r>
        <w:rPr/>
        <w:t>十、其他</w:t>
      </w:r>
      <w:r>
        <w:rPr>
          <w:b w:val="0"/>
          <w:bCs w:val="0"/>
        </w:rPr>
      </w:r>
    </w:p>
    <w:p>
      <w:pPr>
        <w:pStyle w:val="BodyText"/>
        <w:tabs>
          <w:tab w:pos="980" w:val="left" w:leader="none"/>
        </w:tabs>
        <w:spacing w:line="240" w:lineRule="auto" w:before="56"/>
        <w:ind w:left="558" w:right="998" w:hanging="420"/>
        <w:jc w:val="left"/>
      </w:pPr>
      <w:r>
        <w:rPr>
          <w:spacing w:val="-1"/>
        </w:rPr>
        <w:t>√适用</w:t>
        <w:tab/>
      </w:r>
      <w:r>
        <w:rPr>
          <w:spacing w:val="-2"/>
        </w:rPr>
        <w:t>□不适用</w:t>
      </w:r>
      <w:r>
        <w:rPr>
          <w:spacing w:val="-99"/>
        </w:rPr>
        <w:t> </w:t>
      </w:r>
      <w:r>
        <w:rPr>
          <w:spacing w:val="-99"/>
        </w:rPr>
      </w:r>
      <w:r>
        <w:rPr>
          <w:spacing w:val="-2"/>
        </w:rPr>
        <w:t>报告期内，公司未发生重大会计差错、重大遗漏信息补充和业绩预告修正等情况。</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4"/>
          <w:szCs w:val="24"/>
        </w:rPr>
      </w:pPr>
    </w:p>
    <w:p>
      <w:pPr>
        <w:pStyle w:val="Heading1"/>
        <w:tabs>
          <w:tab w:pos="4060" w:val="left" w:leader="none"/>
        </w:tabs>
        <w:spacing w:line="240" w:lineRule="auto" w:before="0"/>
        <w:ind w:left="2800" w:right="0"/>
        <w:jc w:val="left"/>
        <w:rPr>
          <w:b w:val="0"/>
          <w:bCs w:val="0"/>
        </w:rPr>
      </w:pPr>
      <w:bookmarkStart w:name="_TOC_250002" w:id="10"/>
      <w:r>
        <w:rPr>
          <w:w w:val="95"/>
        </w:rPr>
        <w:t>第十节</w:t>
        <w:tab/>
      </w:r>
      <w:r>
        <w:rPr/>
        <w:t>公司债券相关情况</w:t>
      </w:r>
      <w:bookmarkEnd w:id="10"/>
      <w:r>
        <w:rPr>
          <w:b w:val="0"/>
          <w:bCs w:val="0"/>
        </w:rPr>
      </w:r>
    </w:p>
    <w:p>
      <w:pPr>
        <w:spacing w:line="240" w:lineRule="auto" w:before="4"/>
        <w:rPr>
          <w:rFonts w:ascii="黑体" w:hAnsi="黑体" w:cs="黑体" w:eastAsia="黑体" w:hint="default"/>
          <w:b/>
          <w:bCs/>
          <w:sz w:val="19"/>
          <w:szCs w:val="19"/>
        </w:rPr>
      </w:pPr>
    </w:p>
    <w:p>
      <w:pPr>
        <w:pStyle w:val="BodyText"/>
        <w:spacing w:line="240" w:lineRule="auto"/>
        <w:ind w:left="138" w:right="0"/>
        <w:jc w:val="left"/>
      </w:pPr>
      <w:r>
        <w:rPr/>
        <w:t>□适用</w:t>
      </w:r>
      <w:r>
        <w:rPr>
          <w:spacing w:val="-1"/>
        </w:rPr>
        <w:t> </w:t>
      </w:r>
      <w:r>
        <w:rPr/>
        <w:t>√不适用</w:t>
      </w:r>
    </w:p>
    <w:p>
      <w:pPr>
        <w:spacing w:line="240" w:lineRule="auto" w:before="11"/>
        <w:rPr>
          <w:rFonts w:ascii="宋体" w:hAnsi="宋体" w:cs="宋体" w:eastAsia="宋体" w:hint="default"/>
          <w:sz w:val="20"/>
          <w:szCs w:val="20"/>
        </w:rPr>
      </w:pPr>
    </w:p>
    <w:p>
      <w:pPr>
        <w:spacing w:line="20" w:lineRule="exact"/>
        <w:ind w:left="132" w:right="0" w:firstLine="0"/>
        <w:rPr>
          <w:rFonts w:ascii="宋体" w:hAnsi="宋体" w:cs="宋体" w:eastAsia="宋体" w:hint="default"/>
          <w:sz w:val="2"/>
          <w:szCs w:val="2"/>
        </w:rPr>
      </w:pPr>
      <w:r>
        <w:rPr>
          <w:rFonts w:ascii="宋体" w:hAnsi="宋体" w:cs="宋体" w:eastAsia="宋体" w:hint="default"/>
          <w:sz w:val="2"/>
          <w:szCs w:val="2"/>
        </w:rPr>
        <w:pict>
          <v:group style="width:144.65pt;height:.6pt;mso-position-horizontal-relative:char;mso-position-vertical-relative:line" coordorigin="0,0" coordsize="2893,12">
            <v:group style="position:absolute;left:6;top:6;width:2881;height:2" coordorigin="6,6" coordsize="2881,2">
              <v:shape style="position:absolute;left:6;top:6;width:2881;height:2" coordorigin="6,6" coordsize="2881,0" path="m6,6l2886,6e" filled="false" stroked="true" strokeweight=".599980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1910" w:h="16840"/>
          <w:pgMar w:header="857" w:footer="1195" w:top="1320" w:bottom="1380" w:left="1660" w:right="112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pStyle w:val="Heading1"/>
        <w:spacing w:line="240" w:lineRule="auto"/>
        <w:ind w:right="0"/>
        <w:jc w:val="center"/>
        <w:rPr>
          <w:b w:val="0"/>
          <w:bCs w:val="0"/>
        </w:rPr>
      </w:pPr>
      <w:bookmarkStart w:name="_TOC_250001" w:id="11"/>
      <w:r>
        <w:rPr/>
        <w:t>第十一节</w:t>
      </w:r>
      <w:r>
        <w:rPr>
          <w:spacing w:val="-6"/>
        </w:rPr>
        <w:t> </w:t>
      </w:r>
      <w:r>
        <w:rPr/>
        <w:t>财务报告</w:t>
      </w:r>
      <w:bookmarkEnd w:id="11"/>
      <w:r>
        <w:rPr>
          <w:b w:val="0"/>
          <w:bCs w:val="0"/>
        </w:rPr>
      </w:r>
    </w:p>
    <w:p>
      <w:pPr>
        <w:spacing w:line="240" w:lineRule="auto" w:before="7"/>
        <w:rPr>
          <w:rFonts w:ascii="黑体" w:hAnsi="黑体" w:cs="黑体" w:eastAsia="黑体" w:hint="default"/>
          <w:b/>
          <w:bCs/>
          <w:sz w:val="16"/>
          <w:szCs w:val="16"/>
        </w:rPr>
      </w:pPr>
    </w:p>
    <w:p>
      <w:pPr>
        <w:spacing w:after="0" w:line="240" w:lineRule="auto"/>
        <w:rPr>
          <w:rFonts w:ascii="黑体" w:hAnsi="黑体" w:cs="黑体" w:eastAsia="黑体" w:hint="default"/>
          <w:sz w:val="16"/>
          <w:szCs w:val="16"/>
        </w:rPr>
        <w:sectPr>
          <w:pgSz w:w="11910" w:h="16840"/>
          <w:pgMar w:header="857" w:footer="1195" w:top="1320" w:bottom="1380" w:left="1580" w:right="1120"/>
        </w:sectPr>
      </w:pPr>
    </w:p>
    <w:p>
      <w:pPr>
        <w:pStyle w:val="Heading3"/>
        <w:spacing w:line="240" w:lineRule="auto" w:before="36"/>
        <w:ind w:right="0"/>
        <w:jc w:val="left"/>
        <w:rPr>
          <w:b w:val="0"/>
          <w:bCs w:val="0"/>
        </w:rPr>
      </w:pPr>
      <w:r>
        <w:rPr/>
        <w:t>一、审计报告</w:t>
      </w:r>
      <w:r>
        <w:rPr>
          <w:b w:val="0"/>
          <w:bCs w:val="0"/>
        </w:rPr>
      </w:r>
    </w:p>
    <w:p>
      <w:pPr>
        <w:pStyle w:val="BodyText"/>
        <w:spacing w:line="240" w:lineRule="auto" w:before="56"/>
        <w:ind w:right="0"/>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BodyText"/>
        <w:spacing w:line="240" w:lineRule="auto"/>
        <w:ind w:right="0"/>
        <w:jc w:val="left"/>
      </w:pPr>
      <w:r>
        <w:rPr/>
        <w:t>用友网络科技股份有限公司</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1"/>
          <w:szCs w:val="21"/>
        </w:rPr>
      </w:pPr>
    </w:p>
    <w:p>
      <w:pPr>
        <w:pStyle w:val="BodyText"/>
        <w:spacing w:line="475" w:lineRule="auto"/>
        <w:ind w:right="0"/>
        <w:jc w:val="left"/>
      </w:pPr>
      <w:r>
        <w:rPr>
          <w:spacing w:val="-2"/>
        </w:rPr>
        <w:t>用友网络科技股份有限公司全体股东：</w:t>
      </w:r>
      <w:r>
        <w:rPr>
          <w:spacing w:val="-72"/>
        </w:rPr>
        <w:t> </w:t>
      </w:r>
      <w:r>
        <w:rPr>
          <w:spacing w:val="-72"/>
        </w:rPr>
      </w:r>
      <w:r>
        <w:rPr/>
        <w:t>一、审计意见</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14"/>
        <w:jc w:val="left"/>
      </w:pPr>
      <w:r>
        <w:rPr>
          <w:spacing w:val="-1"/>
        </w:rPr>
        <w:t>审计报告</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9"/>
          <w:szCs w:val="29"/>
        </w:rPr>
      </w:pPr>
    </w:p>
    <w:p>
      <w:pPr>
        <w:pStyle w:val="BodyText"/>
        <w:spacing w:line="240" w:lineRule="auto"/>
        <w:ind w:right="0"/>
        <w:jc w:val="left"/>
      </w:pPr>
      <w:r>
        <w:rPr/>
        <w:t>安永华明</w:t>
      </w:r>
      <w:r>
        <w:rPr>
          <w:rFonts w:ascii="宋体" w:hAnsi="宋体" w:cs="宋体" w:eastAsia="宋体" w:hint="default"/>
        </w:rPr>
        <w:t>(2018)</w:t>
      </w:r>
      <w:r>
        <w:rPr/>
        <w:t>审字第</w:t>
      </w:r>
      <w:r>
        <w:rPr>
          <w:spacing w:val="-55"/>
        </w:rPr>
        <w:t> </w:t>
      </w:r>
      <w:r>
        <w:rPr>
          <w:rFonts w:ascii="宋体" w:hAnsi="宋体" w:cs="宋体" w:eastAsia="宋体" w:hint="default"/>
        </w:rPr>
        <w:t>60469423_A01</w:t>
      </w:r>
      <w:r>
        <w:rPr>
          <w:rFonts w:ascii="宋体" w:hAnsi="宋体" w:cs="宋体" w:eastAsia="宋体" w:hint="default"/>
          <w:spacing w:val="-56"/>
        </w:rPr>
        <w:t> </w:t>
      </w:r>
      <w:r>
        <w:rPr/>
        <w:t>号</w:t>
      </w:r>
    </w:p>
    <w:p>
      <w:pPr>
        <w:spacing w:after="0" w:line="240" w:lineRule="auto"/>
        <w:jc w:val="left"/>
        <w:sectPr>
          <w:type w:val="continuous"/>
          <w:pgSz w:w="11910" w:h="16840"/>
          <w:pgMar w:top="1320" w:bottom="1380" w:left="1580" w:right="1120"/>
          <w:cols w:num="3" w:equalWidth="0">
            <w:col w:w="3793" w:space="204"/>
            <w:col w:w="1061" w:space="101"/>
            <w:col w:w="4051"/>
          </w:cols>
        </w:sectPr>
      </w:pPr>
    </w:p>
    <w:p>
      <w:pPr>
        <w:pStyle w:val="BodyText"/>
        <w:spacing w:line="240" w:lineRule="auto" w:before="64"/>
        <w:ind w:right="148"/>
        <w:jc w:val="both"/>
      </w:pPr>
      <w:r>
        <w:rPr>
          <w:spacing w:val="-5"/>
          <w:w w:val="100"/>
        </w:rPr>
        <w:t>我们审计了用友网络科技股份有限公司的财务报表，包括</w:t>
      </w:r>
      <w:r>
        <w:rPr>
          <w:spacing w:val="-53"/>
          <w:w w:val="100"/>
        </w:rPr>
        <w:t> </w:t>
      </w:r>
      <w:r>
        <w:rPr>
          <w:rFonts w:ascii="宋体" w:hAnsi="宋体" w:cs="宋体" w:eastAsia="宋体" w:hint="default"/>
          <w:spacing w:val="-1"/>
          <w:w w:val="100"/>
        </w:rPr>
        <w:t>2017</w:t>
      </w:r>
      <w:r>
        <w:rPr>
          <w:rFonts w:ascii="宋体" w:hAnsi="宋体" w:cs="宋体" w:eastAsia="宋体" w:hint="default"/>
          <w:spacing w:val="-55"/>
          <w:w w:val="100"/>
        </w:rPr>
        <w:t> </w:t>
      </w:r>
      <w:r>
        <w:rPr>
          <w:w w:val="100"/>
        </w:rPr>
        <w:t>年</w:t>
      </w:r>
      <w:r>
        <w:rPr>
          <w:spacing w:val="-53"/>
          <w:w w:val="100"/>
        </w:rPr>
        <w:t> </w:t>
      </w:r>
      <w:r>
        <w:rPr>
          <w:rFonts w:ascii="宋体" w:hAnsi="宋体" w:cs="宋体" w:eastAsia="宋体" w:hint="default"/>
          <w:w w:val="100"/>
        </w:rPr>
        <w:t>12</w:t>
      </w:r>
      <w:r>
        <w:rPr>
          <w:rFonts w:ascii="宋体" w:hAnsi="宋体" w:cs="宋体" w:eastAsia="宋体" w:hint="default"/>
          <w:spacing w:val="-55"/>
          <w:w w:val="100"/>
        </w:rPr>
        <w:t> </w:t>
      </w:r>
      <w:r>
        <w:rPr>
          <w:w w:val="100"/>
        </w:rPr>
        <w:t>月</w:t>
      </w:r>
      <w:r>
        <w:rPr>
          <w:spacing w:val="-53"/>
          <w:w w:val="100"/>
        </w:rPr>
        <w:t> </w:t>
      </w:r>
      <w:r>
        <w:rPr>
          <w:rFonts w:ascii="宋体" w:hAnsi="宋体" w:cs="宋体" w:eastAsia="宋体" w:hint="default"/>
          <w:spacing w:val="-2"/>
          <w:w w:val="100"/>
        </w:rPr>
        <w:t>31</w:t>
      </w:r>
      <w:r>
        <w:rPr>
          <w:rFonts w:ascii="宋体" w:hAnsi="宋体" w:cs="宋体" w:eastAsia="宋体" w:hint="default"/>
          <w:spacing w:val="-53"/>
          <w:w w:val="100"/>
        </w:rPr>
        <w:t> </w:t>
      </w:r>
      <w:r>
        <w:rPr>
          <w:spacing w:val="-2"/>
          <w:w w:val="100"/>
        </w:rPr>
        <w:t>日的合并及公司资产负</w:t>
      </w:r>
      <w:r>
        <w:rPr>
          <w:w w:val="100"/>
        </w:rPr>
        <w:t> </w:t>
      </w:r>
      <w:r>
        <w:rPr>
          <w:spacing w:val="-1"/>
        </w:rPr>
        <w:t>债表，</w:t>
      </w:r>
      <w:r>
        <w:rPr>
          <w:rFonts w:ascii="宋体" w:hAnsi="宋体" w:cs="宋体" w:eastAsia="宋体" w:hint="default"/>
          <w:spacing w:val="-1"/>
        </w:rPr>
        <w:t>2017</w:t>
      </w:r>
      <w:r>
        <w:rPr>
          <w:rFonts w:ascii="宋体" w:hAnsi="宋体" w:cs="宋体" w:eastAsia="宋体" w:hint="default"/>
          <w:spacing w:val="18"/>
        </w:rPr>
        <w:t> </w:t>
      </w:r>
      <w:r>
        <w:rPr>
          <w:spacing w:val="-2"/>
        </w:rPr>
        <w:t>年度的合并及公司利润表、股东权益变动表和现金流量表以及相关财务报表附注。</w:t>
      </w:r>
    </w:p>
    <w:p>
      <w:pPr>
        <w:spacing w:line="240" w:lineRule="auto" w:before="10"/>
        <w:rPr>
          <w:rFonts w:ascii="宋体" w:hAnsi="宋体" w:cs="宋体" w:eastAsia="宋体" w:hint="default"/>
          <w:sz w:val="22"/>
          <w:szCs w:val="22"/>
        </w:rPr>
      </w:pPr>
    </w:p>
    <w:p>
      <w:pPr>
        <w:pStyle w:val="BodyText"/>
        <w:spacing w:line="272" w:lineRule="exact"/>
        <w:ind w:right="148"/>
        <w:jc w:val="both"/>
      </w:pPr>
      <w:r>
        <w:rPr>
          <w:spacing w:val="-1"/>
        </w:rPr>
        <w:t>我们认为，后附的用友网络科技股份有限公司的财务报表在所有重大方面按照企业会计准则的规</w:t>
      </w:r>
      <w:r>
        <w:rPr>
          <w:spacing w:val="-55"/>
        </w:rPr>
        <w:t> </w:t>
      </w:r>
      <w:r>
        <w:rPr>
          <w:spacing w:val="-55"/>
        </w:rPr>
      </w:r>
      <w:r>
        <w:rPr/>
        <w:t>定编制，公允反映了用友网络科技股份有限公司</w:t>
      </w:r>
      <w:r>
        <w:rPr>
          <w:spacing w:val="-34"/>
        </w:rPr>
        <w:t> </w:t>
      </w:r>
      <w:r>
        <w:rPr>
          <w:rFonts w:ascii="宋体" w:hAnsi="宋体" w:cs="宋体" w:eastAsia="宋体" w:hint="default"/>
        </w:rPr>
        <w:t>2017</w:t>
      </w:r>
      <w:r>
        <w:rPr>
          <w:rFonts w:ascii="宋体" w:hAnsi="宋体" w:cs="宋体" w:eastAsia="宋体" w:hint="default"/>
          <w:spacing w:val="-33"/>
        </w:rPr>
        <w:t> </w:t>
      </w:r>
      <w:r>
        <w:rPr/>
        <w:t>年</w:t>
      </w:r>
      <w:r>
        <w:rPr>
          <w:spacing w:val="-33"/>
        </w:rPr>
        <w:t> </w:t>
      </w:r>
      <w:r>
        <w:rPr>
          <w:rFonts w:ascii="宋体" w:hAnsi="宋体" w:cs="宋体" w:eastAsia="宋体" w:hint="default"/>
        </w:rPr>
        <w:t>12</w:t>
      </w:r>
      <w:r>
        <w:rPr>
          <w:rFonts w:ascii="宋体" w:hAnsi="宋体" w:cs="宋体" w:eastAsia="宋体" w:hint="default"/>
          <w:spacing w:val="-36"/>
        </w:rPr>
        <w:t> </w:t>
      </w:r>
      <w:r>
        <w:rPr/>
        <w:t>月</w:t>
      </w:r>
      <w:r>
        <w:rPr>
          <w:spacing w:val="-33"/>
        </w:rPr>
        <w:t> </w:t>
      </w:r>
      <w:r>
        <w:rPr>
          <w:rFonts w:ascii="宋体" w:hAnsi="宋体" w:cs="宋体" w:eastAsia="宋体" w:hint="default"/>
        </w:rPr>
        <w:t>31</w:t>
      </w:r>
      <w:r>
        <w:rPr>
          <w:rFonts w:ascii="宋体" w:hAnsi="宋体" w:cs="宋体" w:eastAsia="宋体" w:hint="default"/>
          <w:spacing w:val="-36"/>
        </w:rPr>
        <w:t> </w:t>
      </w:r>
      <w:r>
        <w:rPr/>
        <w:t>日的合并及公司财务状况以及</w:t>
      </w:r>
    </w:p>
    <w:p>
      <w:pPr>
        <w:pStyle w:val="BodyText"/>
        <w:spacing w:line="246" w:lineRule="exact"/>
        <w:ind w:right="0"/>
        <w:jc w:val="both"/>
      </w:pPr>
      <w:r>
        <w:rPr>
          <w:rFonts w:ascii="宋体" w:hAnsi="宋体" w:cs="宋体" w:eastAsia="宋体" w:hint="default"/>
        </w:rPr>
        <w:t>2017</w:t>
      </w:r>
      <w:r>
        <w:rPr>
          <w:rFonts w:ascii="宋体" w:hAnsi="宋体" w:cs="宋体" w:eastAsia="宋体" w:hint="default"/>
          <w:spacing w:val="-55"/>
        </w:rPr>
        <w:t> </w:t>
      </w:r>
      <w:r>
        <w:rPr/>
        <w:t>年度的合并及公司经营成果和现金流量。</w:t>
      </w:r>
    </w:p>
    <w:p>
      <w:pPr>
        <w:spacing w:line="240" w:lineRule="auto" w:before="8"/>
        <w:rPr>
          <w:rFonts w:ascii="宋体" w:hAnsi="宋体" w:cs="宋体" w:eastAsia="宋体" w:hint="default"/>
          <w:sz w:val="20"/>
          <w:szCs w:val="20"/>
        </w:rPr>
      </w:pPr>
    </w:p>
    <w:p>
      <w:pPr>
        <w:pStyle w:val="BodyText"/>
        <w:spacing w:line="240" w:lineRule="auto"/>
        <w:ind w:right="0"/>
        <w:jc w:val="both"/>
      </w:pPr>
      <w:r>
        <w:rPr/>
        <w:t>二、形成审计意见的基础</w:t>
      </w:r>
    </w:p>
    <w:p>
      <w:pPr>
        <w:spacing w:line="240" w:lineRule="auto" w:before="11"/>
        <w:rPr>
          <w:rFonts w:ascii="宋体" w:hAnsi="宋体" w:cs="宋体" w:eastAsia="宋体" w:hint="default"/>
          <w:sz w:val="20"/>
          <w:szCs w:val="20"/>
        </w:rPr>
      </w:pPr>
    </w:p>
    <w:p>
      <w:pPr>
        <w:pStyle w:val="BodyText"/>
        <w:spacing w:line="237" w:lineRule="auto"/>
        <w:ind w:right="148"/>
        <w:jc w:val="both"/>
      </w:pPr>
      <w:r>
        <w:rPr>
          <w:spacing w:val="-1"/>
        </w:rPr>
        <w:t>我们按照中国注册会计师审计准则的规定执行了审计工作。审计报告的“注册会计师对财务报表</w:t>
      </w:r>
      <w:r>
        <w:rPr>
          <w:spacing w:val="-55"/>
        </w:rPr>
        <w:t> </w:t>
      </w:r>
      <w:r>
        <w:rPr>
          <w:spacing w:val="-55"/>
        </w:rPr>
      </w:r>
      <w:r>
        <w:rPr>
          <w:spacing w:val="-1"/>
        </w:rPr>
        <w:t>审计的责任”部分进一步阐述了我们在这些准则下的责任。按照中国注册会计师职业道德守则，</w:t>
      </w:r>
      <w:r>
        <w:rPr>
          <w:spacing w:val="-56"/>
        </w:rPr>
        <w:t> </w:t>
      </w:r>
      <w:r>
        <w:rPr>
          <w:spacing w:val="-56"/>
        </w:rPr>
      </w:r>
      <w:r>
        <w:rPr>
          <w:spacing w:val="-1"/>
        </w:rPr>
        <w:t>我们独立于用友网络科技股份有限公司，并履行了职业道德方面的其他责任。我们相信，我们获</w:t>
      </w:r>
      <w:r>
        <w:rPr>
          <w:spacing w:val="-56"/>
        </w:rPr>
        <w:t> </w:t>
      </w:r>
      <w:r>
        <w:rPr>
          <w:spacing w:val="-56"/>
        </w:rPr>
      </w:r>
      <w:r>
        <w:rPr/>
        <w:t>取的审计证据是充分、适当的，为发表审计意见提供了基础。</w:t>
      </w:r>
    </w:p>
    <w:p>
      <w:pPr>
        <w:spacing w:line="240" w:lineRule="auto" w:before="9"/>
        <w:rPr>
          <w:rFonts w:ascii="宋体" w:hAnsi="宋体" w:cs="宋体" w:eastAsia="宋体" w:hint="default"/>
          <w:sz w:val="20"/>
          <w:szCs w:val="20"/>
        </w:rPr>
      </w:pPr>
    </w:p>
    <w:p>
      <w:pPr>
        <w:pStyle w:val="BodyText"/>
        <w:spacing w:line="240" w:lineRule="auto"/>
        <w:ind w:right="0"/>
        <w:jc w:val="both"/>
      </w:pPr>
      <w:r>
        <w:rPr/>
        <w:t>三、关键审计事项</w:t>
      </w:r>
    </w:p>
    <w:p>
      <w:pPr>
        <w:spacing w:line="240" w:lineRule="auto" w:before="11"/>
        <w:rPr>
          <w:rFonts w:ascii="宋体" w:hAnsi="宋体" w:cs="宋体" w:eastAsia="宋体" w:hint="default"/>
          <w:sz w:val="20"/>
          <w:szCs w:val="20"/>
        </w:rPr>
      </w:pPr>
    </w:p>
    <w:p>
      <w:pPr>
        <w:pStyle w:val="BodyText"/>
        <w:spacing w:line="237" w:lineRule="auto"/>
        <w:ind w:right="148"/>
        <w:jc w:val="both"/>
      </w:pPr>
      <w:r>
        <w:rPr>
          <w:spacing w:val="-1"/>
        </w:rPr>
        <w:t>关键审计事项是我们根据职业判断，认为对本期财务报表审计最为重要的事项。这些事项的应对</w:t>
      </w:r>
      <w:r>
        <w:rPr>
          <w:spacing w:val="-55"/>
        </w:rPr>
        <w:t> </w:t>
      </w:r>
      <w:r>
        <w:rPr>
          <w:spacing w:val="-55"/>
        </w:rPr>
      </w:r>
      <w:r>
        <w:rPr>
          <w:spacing w:val="-1"/>
        </w:rPr>
        <w:t>以对财务报表整体进行审计并形成审计意见为背景，我们不对这些事项单独发表意见。我们对下</w:t>
      </w:r>
      <w:r>
        <w:rPr>
          <w:spacing w:val="-55"/>
        </w:rPr>
        <w:t> </w:t>
      </w:r>
      <w:r>
        <w:rPr>
          <w:spacing w:val="-55"/>
        </w:rPr>
      </w:r>
      <w:r>
        <w:rPr/>
        <w:t>述每一事项在审计中是如何应对的描述也以此为背景。</w:t>
      </w:r>
    </w:p>
    <w:p>
      <w:pPr>
        <w:spacing w:line="240" w:lineRule="auto" w:before="11"/>
        <w:rPr>
          <w:rFonts w:ascii="宋体" w:hAnsi="宋体" w:cs="宋体" w:eastAsia="宋体" w:hint="default"/>
          <w:sz w:val="20"/>
          <w:szCs w:val="20"/>
        </w:rPr>
      </w:pPr>
    </w:p>
    <w:p>
      <w:pPr>
        <w:pStyle w:val="BodyText"/>
        <w:spacing w:line="237" w:lineRule="auto"/>
        <w:ind w:right="148"/>
        <w:jc w:val="both"/>
      </w:pPr>
      <w:r>
        <w:rPr>
          <w:spacing w:val="-1"/>
        </w:rPr>
        <w:t>我们已经履行了本报告“注册会计师对财务报表审计的责任”部分阐述的责任，包括与这些关键</w:t>
      </w:r>
      <w:r>
        <w:rPr>
          <w:spacing w:val="-55"/>
        </w:rPr>
        <w:t> </w:t>
      </w:r>
      <w:r>
        <w:rPr>
          <w:spacing w:val="-55"/>
        </w:rPr>
      </w:r>
      <w:r>
        <w:rPr>
          <w:spacing w:val="-1"/>
        </w:rPr>
        <w:t>审计事项相关的责任。相应地，我们的审计工作包括执行为应对评估的财务报表重大错报风险而</w:t>
      </w:r>
      <w:r>
        <w:rPr>
          <w:spacing w:val="-55"/>
        </w:rPr>
        <w:t> </w:t>
      </w:r>
      <w:r>
        <w:rPr>
          <w:spacing w:val="-55"/>
        </w:rPr>
      </w:r>
      <w:r>
        <w:rPr>
          <w:spacing w:val="-1"/>
        </w:rPr>
        <w:t>设计的审计程序。我们执行审计程序的结果，包括应对下述关键审计事项所执行的程序，为财务</w:t>
      </w:r>
      <w:r>
        <w:rPr>
          <w:spacing w:val="-55"/>
        </w:rPr>
        <w:t> </w:t>
      </w:r>
      <w:r>
        <w:rPr>
          <w:spacing w:val="-55"/>
        </w:rPr>
      </w:r>
      <w:r>
        <w:rPr/>
        <w:t>报表整体发表审计意见提供了基础。</w:t>
      </w:r>
    </w:p>
    <w:p>
      <w:pPr>
        <w:spacing w:line="240" w:lineRule="auto" w:before="3"/>
        <w:rPr>
          <w:rFonts w:ascii="宋体" w:hAnsi="宋体" w:cs="宋体" w:eastAsia="宋体" w:hint="default"/>
          <w:sz w:val="23"/>
          <w:szCs w:val="23"/>
        </w:rPr>
      </w:pPr>
    </w:p>
    <w:tbl>
      <w:tblPr>
        <w:tblW w:w="0" w:type="auto"/>
        <w:jc w:val="left"/>
        <w:tblInd w:w="105" w:type="dxa"/>
        <w:tblLayout w:type="fixed"/>
        <w:tblCellMar>
          <w:top w:w="0" w:type="dxa"/>
          <w:left w:w="0" w:type="dxa"/>
          <w:bottom w:w="0" w:type="dxa"/>
          <w:right w:w="0" w:type="dxa"/>
        </w:tblCellMar>
        <w:tblLook w:val="01E0"/>
      </w:tblPr>
      <w:tblGrid>
        <w:gridCol w:w="4532"/>
        <w:gridCol w:w="3829"/>
      </w:tblGrid>
      <w:tr>
        <w:trPr>
          <w:trHeight w:val="283" w:hRule="exact"/>
        </w:trPr>
        <w:tc>
          <w:tcPr>
            <w:tcW w:w="4532" w:type="dxa"/>
            <w:tcBorders>
              <w:top w:val="single" w:sz="4" w:space="0" w:color="000000"/>
              <w:left w:val="single" w:sz="4" w:space="0" w:color="000000"/>
              <w:bottom w:val="single" w:sz="4" w:space="0" w:color="000000"/>
              <w:right w:val="single" w:sz="4" w:space="0" w:color="000000"/>
            </w:tcBorders>
            <w:shd w:val="clear" w:color="auto" w:fill="999999"/>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关键审计事项</w:t>
            </w:r>
            <w:r>
              <w:rPr>
                <w:rFonts w:ascii="宋体" w:hAnsi="宋体" w:cs="宋体" w:eastAsia="宋体" w:hint="default"/>
                <w:sz w:val="21"/>
                <w:szCs w:val="21"/>
              </w:rPr>
              <w:t>:</w:t>
            </w:r>
          </w:p>
        </w:tc>
        <w:tc>
          <w:tcPr>
            <w:tcW w:w="3829" w:type="dxa"/>
            <w:tcBorders>
              <w:top w:val="single" w:sz="4" w:space="0" w:color="000000"/>
              <w:left w:val="single" w:sz="4" w:space="0" w:color="000000"/>
              <w:bottom w:val="single" w:sz="4" w:space="0" w:color="000000"/>
              <w:right w:val="single" w:sz="4" w:space="0" w:color="000000"/>
            </w:tcBorders>
            <w:shd w:val="clear" w:color="auto" w:fill="999999"/>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该事项在审计中是如何应对</w:t>
            </w:r>
            <w:r>
              <w:rPr>
                <w:rFonts w:ascii="宋体" w:hAnsi="宋体" w:cs="宋体" w:eastAsia="宋体" w:hint="default"/>
                <w:sz w:val="21"/>
                <w:szCs w:val="21"/>
              </w:rPr>
              <w:t>:</w:t>
            </w:r>
          </w:p>
        </w:tc>
      </w:tr>
      <w:tr>
        <w:trPr>
          <w:trHeight w:val="281" w:hRule="exact"/>
        </w:trPr>
        <w:tc>
          <w:tcPr>
            <w:tcW w:w="8361" w:type="dxa"/>
            <w:gridSpan w:val="2"/>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一、商誉减值测试</w:t>
            </w:r>
          </w:p>
        </w:tc>
      </w:tr>
      <w:tr>
        <w:trPr>
          <w:trHeight w:val="2463" w:hRule="exact"/>
        </w:trPr>
        <w:tc>
          <w:tcPr>
            <w:tcW w:w="453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53"/>
                <w:sz w:val="21"/>
                <w:szCs w:val="21"/>
              </w:rPr>
              <w:t> </w:t>
            </w:r>
            <w:r>
              <w:rPr>
                <w:rFonts w:ascii="宋体" w:hAnsi="宋体" w:cs="宋体" w:eastAsia="宋体" w:hint="default"/>
                <w:sz w:val="21"/>
                <w:szCs w:val="21"/>
              </w:rPr>
              <w:t>2017</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12</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日，公司合并层面商誉的</w:t>
            </w:r>
          </w:p>
          <w:p>
            <w:pPr>
              <w:pStyle w:val="TableParagraph"/>
              <w:spacing w:line="237" w:lineRule="auto" w:before="2"/>
              <w:ind w:left="103" w:right="98"/>
              <w:jc w:val="left"/>
              <w:rPr>
                <w:rFonts w:ascii="宋体" w:hAnsi="宋体" w:cs="宋体" w:eastAsia="宋体" w:hint="default"/>
                <w:sz w:val="21"/>
                <w:szCs w:val="21"/>
              </w:rPr>
            </w:pPr>
            <w:r>
              <w:rPr>
                <w:rFonts w:ascii="宋体" w:hAnsi="宋体" w:cs="宋体" w:eastAsia="宋体" w:hint="default"/>
                <w:spacing w:val="-2"/>
                <w:w w:val="100"/>
                <w:sz w:val="21"/>
                <w:szCs w:val="21"/>
              </w:rPr>
              <w:t>账面价值为人民币</w:t>
            </w:r>
            <w:r>
              <w:rPr>
                <w:rFonts w:ascii="宋体" w:hAnsi="宋体" w:cs="宋体" w:eastAsia="宋体" w:hint="default"/>
                <w:spacing w:val="-49"/>
                <w:w w:val="100"/>
                <w:sz w:val="21"/>
                <w:szCs w:val="21"/>
              </w:rPr>
              <w:t> </w:t>
            </w:r>
            <w:r>
              <w:rPr>
                <w:rFonts w:ascii="宋体" w:hAnsi="宋体" w:cs="宋体" w:eastAsia="宋体" w:hint="default"/>
                <w:spacing w:val="-1"/>
                <w:w w:val="100"/>
                <w:sz w:val="21"/>
                <w:szCs w:val="21"/>
              </w:rPr>
              <w:t>975,910,098</w:t>
            </w:r>
            <w:r>
              <w:rPr>
                <w:rFonts w:ascii="宋体" w:hAnsi="宋体" w:cs="宋体" w:eastAsia="宋体" w:hint="default"/>
                <w:spacing w:val="-52"/>
                <w:w w:val="100"/>
                <w:sz w:val="21"/>
                <w:szCs w:val="21"/>
              </w:rPr>
              <w:t> </w:t>
            </w:r>
            <w:r>
              <w:rPr>
                <w:rFonts w:ascii="宋体" w:hAnsi="宋体" w:cs="宋体" w:eastAsia="宋体" w:hint="default"/>
                <w:spacing w:val="-15"/>
                <w:w w:val="100"/>
                <w:sz w:val="21"/>
                <w:szCs w:val="21"/>
              </w:rPr>
              <w:t>元，主要为以往</w:t>
            </w:r>
            <w:r>
              <w:rPr>
                <w:rFonts w:ascii="宋体" w:hAnsi="宋体" w:cs="宋体" w:eastAsia="宋体" w:hint="default"/>
                <w:w w:val="100"/>
                <w:sz w:val="21"/>
                <w:szCs w:val="21"/>
              </w:rPr>
              <w:t> </w:t>
            </w:r>
            <w:r>
              <w:rPr>
                <w:rFonts w:ascii="宋体" w:hAnsi="宋体" w:cs="宋体" w:eastAsia="宋体" w:hint="default"/>
                <w:sz w:val="21"/>
                <w:szCs w:val="21"/>
              </w:rPr>
              <w:t>年度收购用友汽车信息科技</w:t>
            </w:r>
            <w:r>
              <w:rPr>
                <w:rFonts w:ascii="宋体" w:hAnsi="宋体" w:cs="宋体" w:eastAsia="宋体" w:hint="default"/>
                <w:sz w:val="21"/>
                <w:szCs w:val="21"/>
              </w:rPr>
              <w:t>(</w:t>
            </w:r>
            <w:r>
              <w:rPr>
                <w:rFonts w:ascii="宋体" w:hAnsi="宋体" w:cs="宋体" w:eastAsia="宋体" w:hint="default"/>
                <w:sz w:val="21"/>
                <w:szCs w:val="21"/>
              </w:rPr>
              <w:t>上海</w:t>
            </w:r>
            <w:r>
              <w:rPr>
                <w:rFonts w:ascii="宋体" w:hAnsi="宋体" w:cs="宋体" w:eastAsia="宋体" w:hint="default"/>
                <w:sz w:val="21"/>
                <w:szCs w:val="21"/>
              </w:rPr>
              <w:t>)</w:t>
            </w:r>
            <w:r>
              <w:rPr>
                <w:rFonts w:ascii="宋体" w:hAnsi="宋体" w:cs="宋体" w:eastAsia="宋体" w:hint="default"/>
                <w:sz w:val="21"/>
                <w:szCs w:val="21"/>
              </w:rPr>
              <w:t>股份有限公</w:t>
            </w:r>
            <w:r>
              <w:rPr>
                <w:rFonts w:ascii="宋体" w:hAnsi="宋体" w:cs="宋体" w:eastAsia="宋体" w:hint="default"/>
                <w:w w:val="100"/>
                <w:sz w:val="21"/>
                <w:szCs w:val="21"/>
              </w:rPr>
              <w:t> </w:t>
            </w:r>
            <w:r>
              <w:rPr>
                <w:rFonts w:ascii="宋体" w:hAnsi="宋体" w:cs="宋体" w:eastAsia="宋体" w:hint="default"/>
                <w:spacing w:val="-6"/>
                <w:w w:val="100"/>
                <w:sz w:val="21"/>
                <w:szCs w:val="21"/>
              </w:rPr>
              <w:t>司</w:t>
            </w:r>
            <w:r>
              <w:rPr>
                <w:rFonts w:ascii="宋体" w:hAnsi="宋体" w:cs="宋体" w:eastAsia="宋体" w:hint="default"/>
                <w:spacing w:val="-6"/>
                <w:w w:val="100"/>
                <w:sz w:val="21"/>
                <w:szCs w:val="21"/>
              </w:rPr>
              <w:t>(</w:t>
            </w:r>
            <w:r>
              <w:rPr>
                <w:rFonts w:ascii="宋体" w:hAnsi="宋体" w:cs="宋体" w:eastAsia="宋体" w:hint="default"/>
                <w:spacing w:val="-6"/>
                <w:w w:val="100"/>
                <w:sz w:val="21"/>
                <w:szCs w:val="21"/>
              </w:rPr>
              <w:t>以下简称“用友汽车”)、北京用友政务软件</w:t>
            </w:r>
            <w:r>
              <w:rPr>
                <w:rFonts w:ascii="宋体" w:hAnsi="宋体" w:cs="宋体" w:eastAsia="宋体" w:hint="default"/>
                <w:spacing w:val="-99"/>
                <w:w w:val="100"/>
                <w:sz w:val="21"/>
                <w:szCs w:val="21"/>
              </w:rPr>
              <w:t> </w:t>
            </w:r>
            <w:r>
              <w:rPr>
                <w:rFonts w:ascii="宋体" w:hAnsi="宋体" w:cs="宋体" w:eastAsia="宋体" w:hint="default"/>
                <w:spacing w:val="-99"/>
                <w:w w:val="100"/>
                <w:sz w:val="21"/>
                <w:szCs w:val="21"/>
              </w:rPr>
            </w:r>
            <w:r>
              <w:rPr>
                <w:rFonts w:ascii="宋体" w:hAnsi="宋体" w:cs="宋体" w:eastAsia="宋体" w:hint="default"/>
                <w:spacing w:val="-6"/>
                <w:sz w:val="21"/>
                <w:szCs w:val="21"/>
              </w:rPr>
              <w:t>有限公司（以下简称“用友政务”）和上海秉钧</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pacing w:val="-9"/>
                <w:sz w:val="21"/>
                <w:szCs w:val="21"/>
              </w:rPr>
              <w:t>网络科技有限公司（以下简称“秉钧网络”）时</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宋体" w:hAnsi="宋体" w:cs="宋体" w:eastAsia="宋体" w:hint="default"/>
                <w:spacing w:val="-6"/>
                <w:w w:val="100"/>
                <w:sz w:val="21"/>
                <w:szCs w:val="21"/>
              </w:rPr>
              <w:t>产生的商誉。公司至少每年需要进行一次商誉减</w:t>
            </w:r>
            <w:r>
              <w:rPr>
                <w:rFonts w:ascii="宋体" w:hAnsi="宋体" w:cs="宋体" w:eastAsia="宋体" w:hint="default"/>
                <w:w w:val="100"/>
                <w:sz w:val="21"/>
                <w:szCs w:val="21"/>
              </w:rPr>
              <w:t> </w:t>
            </w:r>
            <w:r>
              <w:rPr>
                <w:rFonts w:ascii="宋体" w:hAnsi="宋体" w:cs="宋体" w:eastAsia="宋体" w:hint="default"/>
                <w:spacing w:val="-6"/>
                <w:sz w:val="21"/>
                <w:szCs w:val="21"/>
              </w:rPr>
              <w:t>值测试。执行商誉减值测试时，管理层需要计算</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pacing w:val="-6"/>
                <w:w w:val="100"/>
                <w:sz w:val="21"/>
                <w:szCs w:val="21"/>
              </w:rPr>
              <w:t>商誉相关的资产组的未来现金流量现值。该测试</w:t>
            </w:r>
          </w:p>
        </w:tc>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我们执行的审计程序主要包括：</w:t>
            </w:r>
          </w:p>
          <w:p>
            <w:pPr>
              <w:pStyle w:val="TableParagraph"/>
              <w:spacing w:line="237" w:lineRule="auto" w:before="2"/>
              <w:ind w:left="103" w:right="98"/>
              <w:jc w:val="both"/>
              <w:rPr>
                <w:rFonts w:ascii="宋体" w:hAnsi="宋体" w:cs="宋体" w:eastAsia="宋体" w:hint="default"/>
                <w:sz w:val="21"/>
                <w:szCs w:val="21"/>
              </w:rPr>
            </w:pPr>
            <w:r>
              <w:rPr>
                <w:rFonts w:ascii="宋体" w:hAnsi="宋体" w:cs="宋体" w:eastAsia="宋体" w:hint="default"/>
                <w:spacing w:val="-5"/>
                <w:sz w:val="21"/>
                <w:szCs w:val="21"/>
              </w:rPr>
              <w:t>1</w:t>
            </w:r>
            <w:r>
              <w:rPr>
                <w:rFonts w:ascii="宋体" w:hAnsi="宋体" w:cs="宋体" w:eastAsia="宋体" w:hint="default"/>
                <w:spacing w:val="-5"/>
                <w:sz w:val="21"/>
                <w:szCs w:val="21"/>
              </w:rPr>
              <w:t>、访谈管理层，了解、评价商誉减值测</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pacing w:val="13"/>
                <w:sz w:val="21"/>
                <w:szCs w:val="21"/>
              </w:rPr>
              <w:t>试的相关内部控制的设计及运行有效</w:t>
            </w:r>
            <w:r>
              <w:rPr>
                <w:rFonts w:ascii="宋体" w:hAnsi="宋体" w:cs="宋体" w:eastAsia="宋体" w:hint="default"/>
                <w:spacing w:val="-67"/>
                <w:sz w:val="21"/>
                <w:szCs w:val="21"/>
              </w:rPr>
              <w:t> </w:t>
            </w:r>
            <w:r>
              <w:rPr>
                <w:rFonts w:ascii="宋体" w:hAnsi="宋体" w:cs="宋体" w:eastAsia="宋体" w:hint="default"/>
                <w:spacing w:val="-67"/>
                <w:sz w:val="21"/>
                <w:szCs w:val="21"/>
              </w:rPr>
            </w:r>
            <w:r>
              <w:rPr>
                <w:rFonts w:ascii="宋体" w:hAnsi="宋体" w:cs="宋体" w:eastAsia="宋体" w:hint="default"/>
                <w:sz w:val="21"/>
                <w:szCs w:val="21"/>
              </w:rPr>
              <w:t>性；</w:t>
            </w:r>
          </w:p>
          <w:p>
            <w:pPr>
              <w:pStyle w:val="TableParagraph"/>
              <w:spacing w:line="237" w:lineRule="auto"/>
              <w:ind w:left="103" w:right="36"/>
              <w:jc w:val="left"/>
              <w:rPr>
                <w:rFonts w:ascii="宋体" w:hAnsi="宋体" w:cs="宋体" w:eastAsia="宋体" w:hint="default"/>
                <w:sz w:val="21"/>
                <w:szCs w:val="21"/>
              </w:rPr>
            </w:pPr>
            <w:r>
              <w:rPr>
                <w:rFonts w:ascii="宋体" w:hAnsi="宋体" w:cs="宋体" w:eastAsia="宋体" w:hint="default"/>
                <w:spacing w:val="-2"/>
                <w:sz w:val="21"/>
                <w:szCs w:val="21"/>
              </w:rPr>
              <w:t>2</w:t>
            </w:r>
            <w:r>
              <w:rPr>
                <w:rFonts w:ascii="宋体" w:hAnsi="宋体" w:cs="宋体" w:eastAsia="宋体" w:hint="default"/>
                <w:spacing w:val="-2"/>
                <w:sz w:val="21"/>
                <w:szCs w:val="21"/>
              </w:rPr>
              <w:t>、对现金流预测的基期数据进行检查，</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并对预测期数据和永续期数据的依据进</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行复核，结合同行业数据和历史数据判</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断现金流预测的合理性；</w:t>
            </w:r>
            <w:r>
              <w:rPr>
                <w:rFonts w:ascii="宋体" w:hAnsi="宋体" w:cs="宋体" w:eastAsia="宋体" w:hint="default"/>
                <w:w w:val="100"/>
                <w:sz w:val="21"/>
                <w:szCs w:val="21"/>
              </w:rPr>
              <w:t> </w:t>
            </w:r>
            <w:r>
              <w:rPr>
                <w:rFonts w:ascii="宋体" w:hAnsi="宋体" w:cs="宋体" w:eastAsia="宋体" w:hint="default"/>
                <w:spacing w:val="-5"/>
                <w:sz w:val="21"/>
                <w:szCs w:val="21"/>
              </w:rPr>
              <w:t>3</w:t>
            </w:r>
            <w:r>
              <w:rPr>
                <w:rFonts w:ascii="宋体" w:hAnsi="宋体" w:cs="宋体" w:eastAsia="宋体" w:hint="default"/>
                <w:spacing w:val="-5"/>
                <w:sz w:val="21"/>
                <w:szCs w:val="21"/>
              </w:rPr>
              <w:t>、邀请安永内部估值专家团队，辅助我</w:t>
            </w:r>
          </w:p>
        </w:tc>
      </w:tr>
    </w:tbl>
    <w:p>
      <w:pPr>
        <w:spacing w:after="0" w:line="237" w:lineRule="auto"/>
        <w:jc w:val="left"/>
        <w:rPr>
          <w:rFonts w:ascii="宋体" w:hAnsi="宋体" w:cs="宋体" w:eastAsia="宋体" w:hint="default"/>
          <w:sz w:val="21"/>
          <w:szCs w:val="21"/>
        </w:rPr>
        <w:sectPr>
          <w:type w:val="continuous"/>
          <w:pgSz w:w="11910" w:h="16840"/>
          <w:pgMar w:top="1320" w:bottom="1380" w:left="1580" w:right="1120"/>
        </w:sectPr>
      </w:pPr>
    </w:p>
    <w:p>
      <w:pPr>
        <w:spacing w:line="240" w:lineRule="auto" w:before="6"/>
        <w:rPr>
          <w:rFonts w:ascii="Times New Roman" w:hAnsi="Times New Roman" w:cs="Times New Roman" w:eastAsia="Times New Roman" w:hint="default"/>
          <w:sz w:val="16"/>
          <w:szCs w:val="16"/>
        </w:rPr>
      </w:pPr>
    </w:p>
    <w:tbl>
      <w:tblPr>
        <w:tblW w:w="0" w:type="auto"/>
        <w:jc w:val="left"/>
        <w:tblInd w:w="105" w:type="dxa"/>
        <w:tblLayout w:type="fixed"/>
        <w:tblCellMar>
          <w:top w:w="0" w:type="dxa"/>
          <w:left w:w="0" w:type="dxa"/>
          <w:bottom w:w="0" w:type="dxa"/>
          <w:right w:w="0" w:type="dxa"/>
        </w:tblCellMar>
        <w:tblLook w:val="01E0"/>
      </w:tblPr>
      <w:tblGrid>
        <w:gridCol w:w="4532"/>
        <w:gridCol w:w="3829"/>
      </w:tblGrid>
      <w:tr>
        <w:trPr>
          <w:trHeight w:val="1918" w:hRule="exact"/>
        </w:trPr>
        <w:tc>
          <w:tcPr>
            <w:tcW w:w="4532"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过程</w:t>
            </w:r>
            <w:r>
              <w:rPr>
                <w:rFonts w:ascii="宋体" w:hAnsi="宋体" w:cs="宋体" w:eastAsia="宋体" w:hint="default"/>
                <w:spacing w:val="-3"/>
                <w:w w:val="100"/>
                <w:sz w:val="21"/>
                <w:szCs w:val="21"/>
              </w:rPr>
              <w:t>非</w:t>
            </w:r>
            <w:r>
              <w:rPr>
                <w:rFonts w:ascii="宋体" w:hAnsi="宋体" w:cs="宋体" w:eastAsia="宋体" w:hint="default"/>
                <w:w w:val="100"/>
                <w:sz w:val="21"/>
                <w:szCs w:val="21"/>
              </w:rPr>
              <w:t>常</w:t>
            </w:r>
            <w:r>
              <w:rPr>
                <w:rFonts w:ascii="宋体" w:hAnsi="宋体" w:cs="宋体" w:eastAsia="宋体" w:hint="default"/>
                <w:spacing w:val="-3"/>
                <w:w w:val="100"/>
                <w:sz w:val="21"/>
                <w:szCs w:val="21"/>
              </w:rPr>
              <w:t>复</w:t>
            </w:r>
            <w:r>
              <w:rPr>
                <w:rFonts w:ascii="宋体" w:hAnsi="宋体" w:cs="宋体" w:eastAsia="宋体" w:hint="default"/>
                <w:w w:val="100"/>
                <w:sz w:val="21"/>
                <w:szCs w:val="21"/>
              </w:rPr>
              <w:t>杂</w:t>
            </w:r>
            <w:r>
              <w:rPr>
                <w:rFonts w:ascii="宋体" w:hAnsi="宋体" w:cs="宋体" w:eastAsia="宋体" w:hint="default"/>
                <w:spacing w:val="-99"/>
                <w:w w:val="100"/>
                <w:sz w:val="21"/>
                <w:szCs w:val="21"/>
              </w:rPr>
              <w:t>，</w:t>
            </w:r>
            <w:r>
              <w:rPr>
                <w:rFonts w:ascii="宋体" w:hAnsi="宋体" w:cs="宋体" w:eastAsia="宋体" w:hint="default"/>
                <w:w w:val="100"/>
                <w:sz w:val="21"/>
                <w:szCs w:val="21"/>
              </w:rPr>
              <w:t>并</w:t>
            </w:r>
            <w:r>
              <w:rPr>
                <w:rFonts w:ascii="宋体" w:hAnsi="宋体" w:cs="宋体" w:eastAsia="宋体" w:hint="default"/>
                <w:spacing w:val="-3"/>
                <w:w w:val="100"/>
                <w:sz w:val="21"/>
                <w:szCs w:val="21"/>
              </w:rPr>
              <w:t>且</w:t>
            </w:r>
            <w:r>
              <w:rPr>
                <w:rFonts w:ascii="宋体" w:hAnsi="宋体" w:cs="宋体" w:eastAsia="宋体" w:hint="default"/>
                <w:w w:val="100"/>
                <w:sz w:val="21"/>
                <w:szCs w:val="21"/>
              </w:rPr>
              <w:t>依</w:t>
            </w:r>
            <w:r>
              <w:rPr>
                <w:rFonts w:ascii="宋体" w:hAnsi="宋体" w:cs="宋体" w:eastAsia="宋体" w:hint="default"/>
                <w:spacing w:val="-3"/>
                <w:w w:val="100"/>
                <w:sz w:val="21"/>
                <w:szCs w:val="21"/>
              </w:rPr>
              <w:t>赖于</w:t>
            </w:r>
            <w:r>
              <w:rPr>
                <w:rFonts w:ascii="宋体" w:hAnsi="宋体" w:cs="宋体" w:eastAsia="宋体" w:hint="default"/>
                <w:w w:val="100"/>
                <w:sz w:val="21"/>
                <w:szCs w:val="21"/>
              </w:rPr>
              <w:t>管理</w:t>
            </w:r>
            <w:r>
              <w:rPr>
                <w:rFonts w:ascii="宋体" w:hAnsi="宋体" w:cs="宋体" w:eastAsia="宋体" w:hint="default"/>
                <w:spacing w:val="-3"/>
                <w:w w:val="100"/>
                <w:sz w:val="21"/>
                <w:szCs w:val="21"/>
              </w:rPr>
              <w:t>层</w:t>
            </w:r>
            <w:r>
              <w:rPr>
                <w:rFonts w:ascii="宋体" w:hAnsi="宋体" w:cs="宋体" w:eastAsia="宋体" w:hint="default"/>
                <w:w w:val="100"/>
                <w:sz w:val="21"/>
                <w:szCs w:val="21"/>
              </w:rPr>
              <w:t>的</w:t>
            </w:r>
            <w:r>
              <w:rPr>
                <w:rFonts w:ascii="宋体" w:hAnsi="宋体" w:cs="宋体" w:eastAsia="宋体" w:hint="default"/>
                <w:spacing w:val="-3"/>
                <w:w w:val="100"/>
                <w:sz w:val="21"/>
                <w:szCs w:val="21"/>
              </w:rPr>
              <w:t>重</w:t>
            </w:r>
            <w:r>
              <w:rPr>
                <w:rFonts w:ascii="宋体" w:hAnsi="宋体" w:cs="宋体" w:eastAsia="宋体" w:hint="default"/>
                <w:w w:val="100"/>
                <w:sz w:val="21"/>
                <w:szCs w:val="21"/>
              </w:rPr>
              <w:t>大</w:t>
            </w:r>
            <w:r>
              <w:rPr>
                <w:rFonts w:ascii="宋体" w:hAnsi="宋体" w:cs="宋体" w:eastAsia="宋体" w:hint="default"/>
                <w:spacing w:val="-3"/>
                <w:w w:val="100"/>
                <w:sz w:val="21"/>
                <w:szCs w:val="21"/>
              </w:rPr>
              <w:t>估</w:t>
            </w:r>
            <w:r>
              <w:rPr>
                <w:rFonts w:ascii="宋体" w:hAnsi="宋体" w:cs="宋体" w:eastAsia="宋体" w:hint="default"/>
                <w:w w:val="100"/>
                <w:sz w:val="21"/>
                <w:szCs w:val="21"/>
              </w:rPr>
              <w:t>计和</w:t>
            </w:r>
          </w:p>
          <w:p>
            <w:pPr>
              <w:pStyle w:val="TableParagraph"/>
              <w:spacing w:line="240" w:lineRule="auto"/>
              <w:ind w:left="103" w:right="211"/>
              <w:jc w:val="left"/>
              <w:rPr>
                <w:rFonts w:ascii="宋体" w:hAnsi="宋体" w:cs="宋体" w:eastAsia="宋体" w:hint="default"/>
                <w:sz w:val="21"/>
                <w:szCs w:val="21"/>
              </w:rPr>
            </w:pPr>
            <w:r>
              <w:rPr>
                <w:rFonts w:ascii="宋体" w:hAnsi="宋体" w:cs="宋体" w:eastAsia="宋体" w:hint="default"/>
                <w:spacing w:val="-2"/>
                <w:sz w:val="21"/>
                <w:szCs w:val="21"/>
              </w:rPr>
              <w:t>判断，比如折现率以及未来期间的现金流量预</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宋体" w:hAnsi="宋体" w:cs="宋体" w:eastAsia="宋体" w:hint="default"/>
                <w:sz w:val="21"/>
                <w:szCs w:val="21"/>
              </w:rPr>
              <w:t>测。</w:t>
            </w:r>
          </w:p>
          <w:p>
            <w:pPr>
              <w:pStyle w:val="TableParagraph"/>
              <w:spacing w:line="272" w:lineRule="exact" w:before="24"/>
              <w:ind w:left="103" w:right="108"/>
              <w:jc w:val="left"/>
              <w:rPr>
                <w:rFonts w:ascii="宋体" w:hAnsi="宋体" w:cs="宋体" w:eastAsia="宋体" w:hint="default"/>
                <w:sz w:val="21"/>
                <w:szCs w:val="21"/>
              </w:rPr>
            </w:pPr>
            <w:r>
              <w:rPr>
                <w:rFonts w:ascii="宋体" w:hAnsi="宋体" w:cs="宋体" w:eastAsia="宋体" w:hint="default"/>
                <w:sz w:val="21"/>
                <w:szCs w:val="21"/>
              </w:rPr>
              <w:t>具体披露参见合并财务报表附注五、</w:t>
            </w:r>
            <w:r>
              <w:rPr>
                <w:rFonts w:ascii="宋体" w:hAnsi="宋体" w:cs="宋体" w:eastAsia="宋体" w:hint="default"/>
                <w:sz w:val="21"/>
                <w:szCs w:val="21"/>
              </w:rPr>
              <w:t>22</w:t>
            </w:r>
            <w:r>
              <w:rPr>
                <w:rFonts w:ascii="宋体" w:hAnsi="宋体" w:cs="宋体" w:eastAsia="宋体" w:hint="default"/>
                <w:spacing w:val="-55"/>
                <w:sz w:val="21"/>
                <w:szCs w:val="21"/>
              </w:rPr>
              <w:t> </w:t>
            </w:r>
            <w:r>
              <w:rPr>
                <w:rFonts w:ascii="宋体" w:hAnsi="宋体" w:cs="宋体" w:eastAsia="宋体" w:hint="default"/>
                <w:sz w:val="21"/>
                <w:szCs w:val="21"/>
              </w:rPr>
              <w:t>和</w:t>
            </w:r>
            <w:r>
              <w:rPr>
                <w:rFonts w:ascii="宋体" w:hAnsi="宋体" w:cs="宋体" w:eastAsia="宋体" w:hint="default"/>
                <w:spacing w:val="-53"/>
                <w:sz w:val="21"/>
                <w:szCs w:val="21"/>
              </w:rPr>
              <w:t> </w:t>
            </w:r>
            <w:r>
              <w:rPr>
                <w:rFonts w:ascii="宋体" w:hAnsi="宋体" w:cs="宋体" w:eastAsia="宋体" w:hint="default"/>
                <w:sz w:val="21"/>
                <w:szCs w:val="21"/>
              </w:rPr>
              <w:t>32</w:t>
            </w:r>
            <w:r>
              <w:rPr>
                <w:rFonts w:ascii="宋体" w:hAnsi="宋体" w:cs="宋体" w:eastAsia="宋体" w:hint="default"/>
                <w:sz w:val="21"/>
                <w:szCs w:val="21"/>
              </w:rPr>
              <w:t>，</w:t>
            </w:r>
            <w:r>
              <w:rPr>
                <w:rFonts w:ascii="宋体" w:hAnsi="宋体" w:cs="宋体" w:eastAsia="宋体" w:hint="default"/>
                <w:w w:val="100"/>
                <w:sz w:val="21"/>
                <w:szCs w:val="21"/>
              </w:rPr>
              <w:t> </w:t>
            </w:r>
            <w:r>
              <w:rPr>
                <w:rFonts w:ascii="宋体" w:hAnsi="宋体" w:cs="宋体" w:eastAsia="宋体" w:hint="default"/>
                <w:sz w:val="21"/>
                <w:szCs w:val="21"/>
              </w:rPr>
              <w:t>附注七、</w:t>
            </w:r>
            <w:r>
              <w:rPr>
                <w:rFonts w:ascii="宋体" w:hAnsi="宋体" w:cs="宋体" w:eastAsia="宋体" w:hint="default"/>
                <w:sz w:val="21"/>
                <w:szCs w:val="21"/>
              </w:rPr>
              <w:t>27</w:t>
            </w:r>
            <w:r>
              <w:rPr>
                <w:rFonts w:ascii="宋体" w:hAnsi="宋体" w:cs="宋体" w:eastAsia="宋体" w:hint="default"/>
                <w:sz w:val="21"/>
                <w:szCs w:val="21"/>
              </w:rPr>
              <w:t>。</w:t>
            </w:r>
          </w:p>
        </w:tc>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103" w:right="0"/>
              <w:jc w:val="left"/>
              <w:rPr>
                <w:rFonts w:ascii="宋体" w:hAnsi="宋体" w:cs="宋体" w:eastAsia="宋体" w:hint="default"/>
                <w:sz w:val="21"/>
                <w:szCs w:val="21"/>
              </w:rPr>
            </w:pPr>
            <w:r>
              <w:rPr>
                <w:rFonts w:ascii="宋体" w:hAnsi="宋体" w:cs="宋体" w:eastAsia="宋体" w:hint="default"/>
                <w:sz w:val="21"/>
                <w:szCs w:val="21"/>
              </w:rPr>
              <w:t>们复核管理层所做的商誉减值测试及敏</w:t>
            </w:r>
          </w:p>
          <w:p>
            <w:pPr>
              <w:pStyle w:val="TableParagraph"/>
              <w:spacing w:line="237" w:lineRule="auto"/>
              <w:ind w:left="103" w:right="36"/>
              <w:jc w:val="left"/>
              <w:rPr>
                <w:rFonts w:ascii="宋体" w:hAnsi="宋体" w:cs="宋体" w:eastAsia="宋体" w:hint="default"/>
                <w:sz w:val="21"/>
                <w:szCs w:val="21"/>
              </w:rPr>
            </w:pPr>
            <w:r>
              <w:rPr>
                <w:rFonts w:ascii="宋体" w:hAnsi="宋体" w:cs="宋体" w:eastAsia="宋体" w:hint="default"/>
                <w:sz w:val="21"/>
                <w:szCs w:val="21"/>
              </w:rPr>
              <w:t>感性分析工作底稿，特别是现金流预测</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的方法和折现率等假设；</w:t>
            </w:r>
            <w:r>
              <w:rPr>
                <w:rFonts w:ascii="宋体" w:hAnsi="宋体" w:cs="宋体" w:eastAsia="宋体" w:hint="default"/>
                <w:w w:val="100"/>
                <w:sz w:val="21"/>
                <w:szCs w:val="21"/>
              </w:rPr>
              <w:t> </w:t>
            </w:r>
            <w:r>
              <w:rPr>
                <w:rFonts w:ascii="宋体" w:hAnsi="宋体" w:cs="宋体" w:eastAsia="宋体" w:hint="default"/>
                <w:spacing w:val="-2"/>
                <w:sz w:val="21"/>
                <w:szCs w:val="21"/>
              </w:rPr>
              <w:t>4</w:t>
            </w:r>
            <w:r>
              <w:rPr>
                <w:rFonts w:ascii="宋体" w:hAnsi="宋体" w:cs="宋体" w:eastAsia="宋体" w:hint="default"/>
                <w:spacing w:val="-2"/>
                <w:sz w:val="21"/>
                <w:szCs w:val="21"/>
              </w:rPr>
              <w:t>、对于现金流预测中波动较大的因素，</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了解原因，并判断其合理性。</w:t>
            </w:r>
            <w:r>
              <w:rPr>
                <w:rFonts w:ascii="宋体" w:hAnsi="宋体" w:cs="宋体" w:eastAsia="宋体" w:hint="default"/>
                <w:w w:val="100"/>
                <w:sz w:val="21"/>
                <w:szCs w:val="21"/>
              </w:rPr>
              <w:t> </w:t>
            </w:r>
            <w:r>
              <w:rPr>
                <w:rFonts w:ascii="宋体" w:hAnsi="宋体" w:cs="宋体" w:eastAsia="宋体" w:hint="default"/>
                <w:spacing w:val="-5"/>
                <w:sz w:val="21"/>
                <w:szCs w:val="21"/>
              </w:rPr>
              <w:t>5</w:t>
            </w:r>
            <w:r>
              <w:rPr>
                <w:rFonts w:ascii="宋体" w:hAnsi="宋体" w:cs="宋体" w:eastAsia="宋体" w:hint="default"/>
                <w:spacing w:val="-5"/>
                <w:sz w:val="21"/>
                <w:szCs w:val="21"/>
              </w:rPr>
              <w:t>、复核公司管理层对商誉减值测试披露</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的适当性。</w:t>
            </w:r>
          </w:p>
        </w:tc>
      </w:tr>
      <w:tr>
        <w:trPr>
          <w:trHeight w:val="283" w:hRule="exact"/>
        </w:trPr>
        <w:tc>
          <w:tcPr>
            <w:tcW w:w="8361" w:type="dxa"/>
            <w:gridSpan w:val="2"/>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二、股份支付</w:t>
            </w:r>
          </w:p>
        </w:tc>
      </w:tr>
      <w:tr>
        <w:trPr>
          <w:trHeight w:val="4911" w:hRule="exact"/>
        </w:trPr>
        <w:tc>
          <w:tcPr>
            <w:tcW w:w="453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10"/>
                <w:sz w:val="21"/>
                <w:szCs w:val="21"/>
              </w:rPr>
              <w:t> </w:t>
            </w:r>
            <w:r>
              <w:rPr>
                <w:rFonts w:ascii="宋体" w:hAnsi="宋体" w:cs="宋体" w:eastAsia="宋体" w:hint="default"/>
                <w:sz w:val="21"/>
                <w:szCs w:val="21"/>
              </w:rPr>
              <w:t>年度，公司合并层面因股权激励计划确认</w:t>
            </w:r>
          </w:p>
          <w:p>
            <w:pPr>
              <w:pStyle w:val="TableParagraph"/>
              <w:spacing w:line="237" w:lineRule="auto"/>
              <w:ind w:left="103" w:right="98"/>
              <w:jc w:val="left"/>
              <w:rPr>
                <w:rFonts w:ascii="宋体" w:hAnsi="宋体" w:cs="宋体" w:eastAsia="宋体" w:hint="default"/>
                <w:sz w:val="21"/>
                <w:szCs w:val="21"/>
              </w:rPr>
            </w:pPr>
            <w:r>
              <w:rPr>
                <w:rFonts w:ascii="宋体" w:hAnsi="宋体" w:cs="宋体" w:eastAsia="宋体" w:hint="default"/>
                <w:spacing w:val="45"/>
                <w:sz w:val="21"/>
                <w:szCs w:val="21"/>
              </w:rPr>
              <w:t>股权激励</w:t>
            </w:r>
            <w:r>
              <w:rPr>
                <w:rFonts w:ascii="宋体" w:hAnsi="宋体" w:cs="宋体" w:eastAsia="宋体" w:hint="default"/>
                <w:spacing w:val="-38"/>
                <w:sz w:val="21"/>
                <w:szCs w:val="21"/>
              </w:rPr>
              <w:t> </w:t>
            </w:r>
            <w:r>
              <w:rPr>
                <w:rFonts w:ascii="宋体" w:hAnsi="宋体" w:cs="宋体" w:eastAsia="宋体" w:hint="default"/>
                <w:spacing w:val="45"/>
                <w:sz w:val="21"/>
                <w:szCs w:val="21"/>
              </w:rPr>
              <w:t>相关资产</w:t>
            </w:r>
            <w:r>
              <w:rPr>
                <w:rFonts w:ascii="宋体" w:hAnsi="宋体" w:cs="宋体" w:eastAsia="宋体" w:hint="default"/>
                <w:spacing w:val="-37"/>
                <w:sz w:val="21"/>
                <w:szCs w:val="21"/>
              </w:rPr>
              <w:t> </w:t>
            </w:r>
            <w:r>
              <w:rPr>
                <w:rFonts w:ascii="宋体" w:hAnsi="宋体" w:cs="宋体" w:eastAsia="宋体" w:hint="default"/>
                <w:spacing w:val="30"/>
                <w:sz w:val="21"/>
                <w:szCs w:val="21"/>
              </w:rPr>
              <w:t>成本</w:t>
            </w:r>
            <w:r>
              <w:rPr>
                <w:rFonts w:ascii="宋体" w:hAnsi="宋体" w:cs="宋体" w:eastAsia="宋体" w:hint="default"/>
                <w:spacing w:val="-38"/>
                <w:sz w:val="21"/>
                <w:szCs w:val="21"/>
              </w:rPr>
              <w:t> </w:t>
            </w:r>
            <w:r>
              <w:rPr>
                <w:rFonts w:ascii="宋体" w:hAnsi="宋体" w:cs="宋体" w:eastAsia="宋体" w:hint="default"/>
                <w:spacing w:val="40"/>
                <w:sz w:val="21"/>
                <w:szCs w:val="21"/>
              </w:rPr>
              <w:t>和费用</w:t>
            </w:r>
            <w:r>
              <w:rPr>
                <w:rFonts w:ascii="宋体" w:hAnsi="宋体" w:cs="宋体" w:eastAsia="宋体" w:hint="default"/>
                <w:spacing w:val="-38"/>
                <w:sz w:val="21"/>
                <w:szCs w:val="21"/>
              </w:rPr>
              <w:t> </w:t>
            </w:r>
            <w:r>
              <w:rPr>
                <w:rFonts w:ascii="宋体" w:hAnsi="宋体" w:cs="宋体" w:eastAsia="宋体" w:hint="default"/>
                <w:sz w:val="21"/>
                <w:szCs w:val="21"/>
              </w:rPr>
              <w:t>人</w:t>
            </w:r>
            <w:r>
              <w:rPr>
                <w:rFonts w:ascii="宋体" w:hAnsi="宋体" w:cs="宋体" w:eastAsia="宋体" w:hint="default"/>
                <w:spacing w:val="-38"/>
                <w:sz w:val="21"/>
                <w:szCs w:val="21"/>
              </w:rPr>
              <w:t> </w:t>
            </w:r>
            <w:r>
              <w:rPr>
                <w:rFonts w:ascii="宋体" w:hAnsi="宋体" w:cs="宋体" w:eastAsia="宋体" w:hint="default"/>
                <w:sz w:val="21"/>
                <w:szCs w:val="21"/>
              </w:rPr>
              <w:t>民</w:t>
            </w:r>
            <w:r>
              <w:rPr>
                <w:rFonts w:ascii="宋体" w:hAnsi="宋体" w:cs="宋体" w:eastAsia="宋体" w:hint="default"/>
                <w:spacing w:val="-35"/>
                <w:sz w:val="21"/>
                <w:szCs w:val="21"/>
              </w:rPr>
              <w:t> </w:t>
            </w:r>
            <w:r>
              <w:rPr>
                <w:rFonts w:ascii="宋体" w:hAnsi="宋体" w:cs="宋体" w:eastAsia="宋体" w:hint="default"/>
                <w:sz w:val="21"/>
                <w:szCs w:val="21"/>
              </w:rPr>
              <w:t>币</w:t>
            </w:r>
            <w:r>
              <w:rPr>
                <w:rFonts w:ascii="宋体" w:hAnsi="宋体" w:cs="宋体" w:eastAsia="宋体" w:hint="default"/>
                <w:w w:val="100"/>
                <w:sz w:val="21"/>
                <w:szCs w:val="21"/>
              </w:rPr>
              <w:t> </w:t>
            </w:r>
            <w:r>
              <w:rPr>
                <w:rFonts w:ascii="宋体" w:hAnsi="宋体" w:cs="宋体" w:eastAsia="宋体" w:hint="default"/>
                <w:sz w:val="21"/>
                <w:szCs w:val="21"/>
              </w:rPr>
              <w:t>201,139,745</w:t>
            </w:r>
            <w:r>
              <w:rPr>
                <w:rFonts w:ascii="宋体" w:hAnsi="宋体" w:cs="宋体" w:eastAsia="宋体" w:hint="default"/>
                <w:spacing w:val="-33"/>
                <w:sz w:val="21"/>
                <w:szCs w:val="21"/>
              </w:rPr>
              <w:t> </w:t>
            </w:r>
            <w:r>
              <w:rPr>
                <w:rFonts w:ascii="宋体" w:hAnsi="宋体" w:cs="宋体" w:eastAsia="宋体" w:hint="default"/>
                <w:spacing w:val="-5"/>
                <w:sz w:val="21"/>
                <w:szCs w:val="21"/>
              </w:rPr>
              <w:t>元。在计算股权激励方案的相关负</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2"/>
                <w:sz w:val="21"/>
                <w:szCs w:val="21"/>
              </w:rPr>
              <w:t>债及费用时，公司管理层需要对授予日公允价</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2"/>
                <w:sz w:val="21"/>
                <w:szCs w:val="21"/>
              </w:rPr>
              <w:t>值、离职率及可行权条件等事项进行判断和估</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6"/>
                <w:w w:val="100"/>
                <w:sz w:val="21"/>
                <w:szCs w:val="21"/>
              </w:rPr>
              <w:t>计，不同的判断和估计将对合并财务报表产生重</w:t>
            </w:r>
            <w:r>
              <w:rPr>
                <w:rFonts w:ascii="宋体" w:hAnsi="宋体" w:cs="宋体" w:eastAsia="宋体" w:hint="default"/>
                <w:spacing w:val="-104"/>
                <w:w w:val="100"/>
                <w:sz w:val="21"/>
                <w:szCs w:val="21"/>
              </w:rPr>
              <w:t> </w:t>
            </w:r>
            <w:r>
              <w:rPr>
                <w:rFonts w:ascii="宋体" w:hAnsi="宋体" w:cs="宋体" w:eastAsia="宋体" w:hint="default"/>
                <w:spacing w:val="-104"/>
                <w:w w:val="100"/>
                <w:sz w:val="21"/>
                <w:szCs w:val="21"/>
              </w:rPr>
            </w:r>
            <w:r>
              <w:rPr>
                <w:rFonts w:ascii="宋体" w:hAnsi="宋体" w:cs="宋体" w:eastAsia="宋体" w:hint="default"/>
                <w:sz w:val="21"/>
                <w:szCs w:val="21"/>
              </w:rPr>
              <w:t>大影响。</w:t>
            </w:r>
            <w:r>
              <w:rPr>
                <w:rFonts w:ascii="宋体" w:hAnsi="宋体" w:cs="宋体" w:eastAsia="宋体" w:hint="default"/>
                <w:w w:val="100"/>
                <w:sz w:val="21"/>
                <w:szCs w:val="21"/>
              </w:rPr>
              <w:t> </w:t>
            </w:r>
            <w:r>
              <w:rPr>
                <w:rFonts w:ascii="宋体" w:hAnsi="宋体" w:cs="宋体" w:eastAsia="宋体" w:hint="default"/>
                <w:sz w:val="21"/>
                <w:szCs w:val="21"/>
              </w:rPr>
              <w:t>具体披露参见合并财务报表附注五、</w:t>
            </w:r>
            <w:r>
              <w:rPr>
                <w:rFonts w:ascii="宋体" w:hAnsi="宋体" w:cs="宋体" w:eastAsia="宋体" w:hint="default"/>
                <w:sz w:val="21"/>
                <w:szCs w:val="21"/>
              </w:rPr>
              <w:t>26</w:t>
            </w:r>
            <w:r>
              <w:rPr>
                <w:rFonts w:ascii="宋体" w:hAnsi="宋体" w:cs="宋体" w:eastAsia="宋体" w:hint="default"/>
                <w:spacing w:val="-50"/>
                <w:sz w:val="21"/>
                <w:szCs w:val="21"/>
              </w:rPr>
              <w:t> </w:t>
            </w:r>
            <w:r>
              <w:rPr>
                <w:rFonts w:ascii="宋体" w:hAnsi="宋体" w:cs="宋体" w:eastAsia="宋体" w:hint="default"/>
                <w:sz w:val="21"/>
                <w:szCs w:val="21"/>
              </w:rPr>
              <w:t>和</w:t>
            </w:r>
            <w:r>
              <w:rPr>
                <w:rFonts w:ascii="宋体" w:hAnsi="宋体" w:cs="宋体" w:eastAsia="宋体" w:hint="default"/>
                <w:spacing w:val="-48"/>
                <w:sz w:val="21"/>
                <w:szCs w:val="21"/>
              </w:rPr>
              <w:t> </w:t>
            </w:r>
            <w:r>
              <w:rPr>
                <w:rFonts w:ascii="宋体" w:hAnsi="宋体" w:cs="宋体" w:eastAsia="宋体" w:hint="default"/>
                <w:sz w:val="21"/>
                <w:szCs w:val="21"/>
              </w:rPr>
              <w:t>32</w:t>
            </w:r>
            <w:r>
              <w:rPr>
                <w:rFonts w:ascii="宋体" w:hAnsi="宋体" w:cs="宋体" w:eastAsia="宋体" w:hint="default"/>
                <w:sz w:val="21"/>
                <w:szCs w:val="21"/>
              </w:rPr>
              <w:t>，</w:t>
            </w:r>
            <w:r>
              <w:rPr>
                <w:rFonts w:ascii="宋体" w:hAnsi="宋体" w:cs="宋体" w:eastAsia="宋体" w:hint="default"/>
                <w:w w:val="100"/>
                <w:sz w:val="21"/>
                <w:szCs w:val="21"/>
              </w:rPr>
              <w:t> </w:t>
            </w:r>
            <w:r>
              <w:rPr>
                <w:rFonts w:ascii="宋体" w:hAnsi="宋体" w:cs="宋体" w:eastAsia="宋体" w:hint="default"/>
                <w:sz w:val="21"/>
                <w:szCs w:val="21"/>
              </w:rPr>
              <w:t>附注七、</w:t>
            </w:r>
            <w:r>
              <w:rPr>
                <w:rFonts w:ascii="宋体" w:hAnsi="宋体" w:cs="宋体" w:eastAsia="宋体" w:hint="default"/>
                <w:sz w:val="21"/>
                <w:szCs w:val="21"/>
              </w:rPr>
              <w:t>55</w:t>
            </w:r>
            <w:r>
              <w:rPr>
                <w:rFonts w:ascii="宋体" w:hAnsi="宋体" w:cs="宋体" w:eastAsia="宋体" w:hint="default"/>
                <w:sz w:val="21"/>
                <w:szCs w:val="21"/>
              </w:rPr>
              <w:t>、</w:t>
            </w:r>
            <w:r>
              <w:rPr>
                <w:rFonts w:ascii="宋体" w:hAnsi="宋体" w:cs="宋体" w:eastAsia="宋体" w:hint="default"/>
                <w:sz w:val="21"/>
                <w:szCs w:val="21"/>
              </w:rPr>
              <w:t>56</w:t>
            </w:r>
            <w:r>
              <w:rPr>
                <w:rFonts w:ascii="宋体" w:hAnsi="宋体" w:cs="宋体" w:eastAsia="宋体" w:hint="default"/>
                <w:sz w:val="21"/>
                <w:szCs w:val="21"/>
              </w:rPr>
              <w:t>，附注十三。</w:t>
            </w:r>
          </w:p>
        </w:tc>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我们执行的审计程序主要包括：</w:t>
            </w:r>
          </w:p>
          <w:p>
            <w:pPr>
              <w:pStyle w:val="TableParagraph"/>
              <w:spacing w:line="237" w:lineRule="auto"/>
              <w:ind w:left="103" w:right="98"/>
              <w:jc w:val="left"/>
              <w:rPr>
                <w:rFonts w:ascii="宋体" w:hAnsi="宋体" w:cs="宋体" w:eastAsia="宋体" w:hint="default"/>
                <w:sz w:val="21"/>
                <w:szCs w:val="21"/>
              </w:rPr>
            </w:pPr>
            <w:r>
              <w:rPr>
                <w:rFonts w:ascii="宋体" w:hAnsi="宋体" w:cs="宋体" w:eastAsia="宋体" w:hint="default"/>
                <w:spacing w:val="-5"/>
                <w:sz w:val="21"/>
                <w:szCs w:val="21"/>
              </w:rPr>
              <w:t>1</w:t>
            </w:r>
            <w:r>
              <w:rPr>
                <w:rFonts w:ascii="宋体" w:hAnsi="宋体" w:cs="宋体" w:eastAsia="宋体" w:hint="default"/>
                <w:spacing w:val="-5"/>
                <w:sz w:val="21"/>
                <w:szCs w:val="21"/>
              </w:rPr>
              <w:t>、了解、评价并股权激励计划相关资产</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成本和费用的相关内部控制的设计及运</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行有效性；</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5"/>
                <w:sz w:val="21"/>
                <w:szCs w:val="21"/>
              </w:rPr>
              <w:t>2</w:t>
            </w:r>
            <w:r>
              <w:rPr>
                <w:rFonts w:ascii="宋体" w:hAnsi="宋体" w:cs="宋体" w:eastAsia="宋体" w:hint="default"/>
                <w:spacing w:val="5"/>
                <w:sz w:val="21"/>
                <w:szCs w:val="21"/>
              </w:rPr>
              <w:t>、获取并阅读本年新增的股权激励方</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案、相关董事会决议和增资协议，复核</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判断授予日的选择是否正确；</w:t>
            </w:r>
            <w:r>
              <w:rPr>
                <w:rFonts w:ascii="宋体" w:hAnsi="宋体" w:cs="宋体" w:eastAsia="宋体" w:hint="default"/>
                <w:w w:val="100"/>
                <w:sz w:val="21"/>
                <w:szCs w:val="21"/>
              </w:rPr>
              <w:t> </w:t>
            </w:r>
            <w:r>
              <w:rPr>
                <w:rFonts w:ascii="宋体" w:hAnsi="宋体" w:cs="宋体" w:eastAsia="宋体" w:hint="default"/>
                <w:spacing w:val="-5"/>
                <w:sz w:val="21"/>
                <w:szCs w:val="21"/>
              </w:rPr>
              <w:t>3</w:t>
            </w:r>
            <w:r>
              <w:rPr>
                <w:rFonts w:ascii="宋体" w:hAnsi="宋体" w:cs="宋体" w:eastAsia="宋体" w:hint="default"/>
                <w:spacing w:val="-5"/>
                <w:sz w:val="21"/>
                <w:szCs w:val="21"/>
              </w:rPr>
              <w:t>、邀请安永内部估值专家团队，对本年</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新增的股权激励相关评估涉及的方法和</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参数进行复核；</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5"/>
                <w:sz w:val="21"/>
                <w:szCs w:val="21"/>
              </w:rPr>
              <w:t>4</w:t>
            </w:r>
            <w:r>
              <w:rPr>
                <w:rFonts w:ascii="宋体" w:hAnsi="宋体" w:cs="宋体" w:eastAsia="宋体" w:hint="default"/>
                <w:spacing w:val="-5"/>
                <w:sz w:val="21"/>
                <w:szCs w:val="21"/>
              </w:rPr>
              <w:t>、通过比较历史数据，检查实际业绩和</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预计业绩，对离职率和可行权条件等重</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要假设的合理性进行评估；</w:t>
            </w:r>
            <w:r>
              <w:rPr>
                <w:rFonts w:ascii="宋体" w:hAnsi="宋体" w:cs="宋体" w:eastAsia="宋体" w:hint="default"/>
                <w:w w:val="100"/>
                <w:sz w:val="21"/>
                <w:szCs w:val="21"/>
              </w:rPr>
              <w:t> </w:t>
            </w:r>
            <w:r>
              <w:rPr>
                <w:rFonts w:ascii="宋体" w:hAnsi="宋体" w:cs="宋体" w:eastAsia="宋体" w:hint="default"/>
                <w:spacing w:val="-5"/>
                <w:sz w:val="21"/>
                <w:szCs w:val="21"/>
              </w:rPr>
              <w:t>5</w:t>
            </w:r>
            <w:r>
              <w:rPr>
                <w:rFonts w:ascii="宋体" w:hAnsi="宋体" w:cs="宋体" w:eastAsia="宋体" w:hint="default"/>
                <w:spacing w:val="-5"/>
                <w:sz w:val="21"/>
                <w:szCs w:val="21"/>
              </w:rPr>
              <w:t>、对年内失效和解锁的标的股票进行抽</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样测试；对股权激励相关资产成本和费</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用进行重新计算；</w:t>
            </w:r>
            <w:r>
              <w:rPr>
                <w:rFonts w:ascii="宋体" w:hAnsi="宋体" w:cs="宋体" w:eastAsia="宋体" w:hint="default"/>
                <w:w w:val="100"/>
                <w:sz w:val="21"/>
                <w:szCs w:val="21"/>
              </w:rPr>
              <w:t> </w:t>
            </w:r>
            <w:r>
              <w:rPr>
                <w:rFonts w:ascii="宋体" w:hAnsi="宋体" w:cs="宋体" w:eastAsia="宋体" w:hint="default"/>
                <w:spacing w:val="-5"/>
                <w:sz w:val="21"/>
                <w:szCs w:val="21"/>
              </w:rPr>
              <w:t>6</w:t>
            </w:r>
            <w:r>
              <w:rPr>
                <w:rFonts w:ascii="宋体" w:hAnsi="宋体" w:cs="宋体" w:eastAsia="宋体" w:hint="default"/>
                <w:spacing w:val="-5"/>
                <w:sz w:val="21"/>
                <w:szCs w:val="21"/>
              </w:rPr>
              <w:t>、复核公司管理层对股份支付披露的适</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当性。</w:t>
            </w:r>
          </w:p>
        </w:tc>
      </w:tr>
      <w:tr>
        <w:trPr>
          <w:trHeight w:val="283" w:hRule="exact"/>
        </w:trPr>
        <w:tc>
          <w:tcPr>
            <w:tcW w:w="8361" w:type="dxa"/>
            <w:gridSpan w:val="2"/>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三、对外投资的减值</w:t>
            </w:r>
          </w:p>
        </w:tc>
      </w:tr>
      <w:tr>
        <w:trPr>
          <w:trHeight w:val="4369" w:hRule="exact"/>
        </w:trPr>
        <w:tc>
          <w:tcPr>
            <w:tcW w:w="453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53"/>
                <w:sz w:val="21"/>
                <w:szCs w:val="21"/>
              </w:rPr>
              <w:t> </w:t>
            </w:r>
            <w:r>
              <w:rPr>
                <w:rFonts w:ascii="宋体" w:hAnsi="宋体" w:cs="宋体" w:eastAsia="宋体" w:hint="default"/>
                <w:sz w:val="21"/>
                <w:szCs w:val="21"/>
              </w:rPr>
              <w:t>2017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宋体" w:hAnsi="宋体" w:cs="宋体" w:eastAsia="宋体" w:hint="default"/>
                <w:sz w:val="21"/>
                <w:szCs w:val="21"/>
              </w:rPr>
              <w:t>31</w:t>
            </w:r>
            <w:r>
              <w:rPr>
                <w:rFonts w:ascii="宋体" w:hAnsi="宋体" w:cs="宋体" w:eastAsia="宋体" w:hint="default"/>
                <w:spacing w:val="-50"/>
                <w:sz w:val="21"/>
                <w:szCs w:val="21"/>
              </w:rPr>
              <w:t> </w:t>
            </w:r>
            <w:r>
              <w:rPr>
                <w:rFonts w:ascii="宋体" w:hAnsi="宋体" w:cs="宋体" w:eastAsia="宋体" w:hint="default"/>
                <w:sz w:val="21"/>
                <w:szCs w:val="21"/>
              </w:rPr>
              <w:t>日，公司合并层面可供出</w:t>
            </w:r>
          </w:p>
          <w:p>
            <w:pPr>
              <w:pStyle w:val="TableParagraph"/>
              <w:spacing w:line="237" w:lineRule="auto" w:before="2"/>
              <w:ind w:left="103" w:right="5"/>
              <w:jc w:val="left"/>
              <w:rPr>
                <w:rFonts w:ascii="宋体" w:hAnsi="宋体" w:cs="宋体" w:eastAsia="宋体" w:hint="default"/>
                <w:sz w:val="21"/>
                <w:szCs w:val="21"/>
              </w:rPr>
            </w:pPr>
            <w:r>
              <w:rPr>
                <w:rFonts w:ascii="宋体" w:hAnsi="宋体" w:cs="宋体" w:eastAsia="宋体" w:hint="default"/>
                <w:sz w:val="21"/>
                <w:szCs w:val="21"/>
              </w:rPr>
              <w:t>售金融资产账面价值为人民币</w:t>
            </w:r>
            <w:r>
              <w:rPr>
                <w:rFonts w:ascii="宋体" w:hAnsi="宋体" w:cs="宋体" w:eastAsia="宋体" w:hint="default"/>
                <w:spacing w:val="-53"/>
                <w:sz w:val="21"/>
                <w:szCs w:val="21"/>
              </w:rPr>
              <w:t> </w:t>
            </w:r>
            <w:r>
              <w:rPr>
                <w:rFonts w:ascii="宋体" w:hAnsi="宋体" w:cs="宋体" w:eastAsia="宋体" w:hint="default"/>
                <w:sz w:val="21"/>
                <w:szCs w:val="21"/>
              </w:rPr>
              <w:t>764,088,138</w:t>
            </w:r>
            <w:r>
              <w:rPr>
                <w:rFonts w:ascii="宋体" w:hAnsi="宋体" w:cs="宋体" w:eastAsia="宋体" w:hint="default"/>
                <w:spacing w:val="-53"/>
                <w:sz w:val="21"/>
                <w:szCs w:val="21"/>
              </w:rPr>
              <w:t> </w:t>
            </w:r>
            <w:r>
              <w:rPr>
                <w:rFonts w:ascii="宋体" w:hAnsi="宋体" w:cs="宋体" w:eastAsia="宋体" w:hint="default"/>
                <w:spacing w:val="-3"/>
                <w:sz w:val="21"/>
                <w:szCs w:val="21"/>
              </w:rPr>
              <w:t>元，</w:t>
            </w:r>
            <w:r>
              <w:rPr>
                <w:rFonts w:ascii="宋体" w:hAnsi="宋体" w:cs="宋体" w:eastAsia="宋体" w:hint="default"/>
                <w:spacing w:val="-3"/>
                <w:w w:val="100"/>
                <w:sz w:val="21"/>
                <w:szCs w:val="21"/>
              </w:rPr>
              <w:t> </w:t>
            </w:r>
            <w:r>
              <w:rPr>
                <w:rFonts w:ascii="宋体" w:hAnsi="宋体" w:cs="宋体" w:eastAsia="宋体" w:hint="default"/>
                <w:sz w:val="21"/>
                <w:szCs w:val="21"/>
              </w:rPr>
              <w:t>长 期 股 权 投 资 账 面 价 值 为 人 民</w:t>
            </w:r>
            <w:r>
              <w:rPr>
                <w:rFonts w:ascii="宋体" w:hAnsi="宋体" w:cs="宋体" w:eastAsia="宋体" w:hint="default"/>
                <w:spacing w:val="5"/>
                <w:sz w:val="21"/>
                <w:szCs w:val="21"/>
              </w:rPr>
              <w:t> </w:t>
            </w:r>
            <w:r>
              <w:rPr>
                <w:rFonts w:ascii="宋体" w:hAnsi="宋体" w:cs="宋体" w:eastAsia="宋体" w:hint="default"/>
                <w:sz w:val="21"/>
                <w:szCs w:val="21"/>
              </w:rPr>
              <w:t>币</w:t>
            </w:r>
            <w:r>
              <w:rPr>
                <w:rFonts w:ascii="宋体" w:hAnsi="宋体" w:cs="宋体" w:eastAsia="宋体" w:hint="default"/>
                <w:w w:val="100"/>
                <w:sz w:val="21"/>
                <w:szCs w:val="21"/>
              </w:rPr>
              <w:t> </w:t>
            </w:r>
            <w:r>
              <w:rPr>
                <w:rFonts w:ascii="宋体" w:hAnsi="宋体" w:cs="宋体" w:eastAsia="宋体" w:hint="default"/>
                <w:sz w:val="21"/>
                <w:szCs w:val="21"/>
              </w:rPr>
              <w:t>1,641,765,656 </w:t>
            </w:r>
            <w:r>
              <w:rPr>
                <w:rFonts w:ascii="宋体" w:hAnsi="宋体" w:cs="宋体" w:eastAsia="宋体" w:hint="default"/>
                <w:sz w:val="21"/>
                <w:szCs w:val="21"/>
              </w:rPr>
              <w:t>元</w:t>
            </w:r>
            <w:r>
              <w:rPr>
                <w:rFonts w:ascii="宋体" w:hAnsi="宋体" w:cs="宋体" w:eastAsia="宋体" w:hint="default"/>
                <w:spacing w:val="-53"/>
                <w:sz w:val="21"/>
                <w:szCs w:val="21"/>
              </w:rPr>
              <w:t> </w:t>
            </w:r>
            <w:r>
              <w:rPr>
                <w:rFonts w:ascii="宋体" w:hAnsi="宋体" w:cs="宋体" w:eastAsia="宋体" w:hint="default"/>
                <w:sz w:val="21"/>
                <w:szCs w:val="21"/>
              </w:rPr>
              <w:t>。</w:t>
            </w:r>
          </w:p>
          <w:p>
            <w:pPr>
              <w:pStyle w:val="TableParagraph"/>
              <w:spacing w:line="237" w:lineRule="auto"/>
              <w:ind w:left="103" w:right="98"/>
              <w:jc w:val="left"/>
              <w:rPr>
                <w:rFonts w:ascii="宋体" w:hAnsi="宋体" w:cs="宋体" w:eastAsia="宋体" w:hint="default"/>
                <w:sz w:val="21"/>
                <w:szCs w:val="21"/>
              </w:rPr>
            </w:pPr>
            <w:r>
              <w:rPr>
                <w:rFonts w:ascii="宋体" w:hAnsi="宋体" w:cs="宋体" w:eastAsia="宋体" w:hint="default"/>
                <w:spacing w:val="2"/>
                <w:sz w:val="21"/>
                <w:szCs w:val="21"/>
              </w:rPr>
              <w:t>对于成本法核算可供出售金融资产和权益法核</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6"/>
                <w:w w:val="100"/>
                <w:sz w:val="21"/>
                <w:szCs w:val="21"/>
              </w:rPr>
              <w:t>算长期股权投资，评估是否有减值迹象及测算减</w:t>
            </w:r>
            <w:r>
              <w:rPr>
                <w:rFonts w:ascii="宋体" w:hAnsi="宋体" w:cs="宋体" w:eastAsia="宋体" w:hint="default"/>
                <w:spacing w:val="-104"/>
                <w:w w:val="100"/>
                <w:sz w:val="21"/>
                <w:szCs w:val="21"/>
              </w:rPr>
              <w:t> </w:t>
            </w:r>
            <w:r>
              <w:rPr>
                <w:rFonts w:ascii="宋体" w:hAnsi="宋体" w:cs="宋体" w:eastAsia="宋体" w:hint="default"/>
                <w:spacing w:val="-104"/>
                <w:w w:val="100"/>
                <w:sz w:val="21"/>
                <w:szCs w:val="21"/>
              </w:rPr>
            </w:r>
            <w:r>
              <w:rPr>
                <w:rFonts w:ascii="宋体" w:hAnsi="宋体" w:cs="宋体" w:eastAsia="宋体" w:hint="default"/>
                <w:sz w:val="21"/>
                <w:szCs w:val="21"/>
              </w:rPr>
              <w:t>值准备过程涉及管理层重大判断。</w:t>
            </w:r>
            <w:r>
              <w:rPr>
                <w:rFonts w:ascii="宋体" w:hAnsi="宋体" w:cs="宋体" w:eastAsia="宋体" w:hint="default"/>
                <w:w w:val="100"/>
                <w:sz w:val="21"/>
                <w:szCs w:val="21"/>
              </w:rPr>
              <w:t> </w:t>
            </w:r>
            <w:r>
              <w:rPr>
                <w:rFonts w:ascii="宋体" w:hAnsi="宋体" w:cs="宋体" w:eastAsia="宋体" w:hint="default"/>
                <w:spacing w:val="-6"/>
                <w:sz w:val="21"/>
                <w:szCs w:val="21"/>
              </w:rPr>
              <w:t>具体披露参见合并财务报表附注五、</w:t>
            </w:r>
            <w:r>
              <w:rPr>
                <w:rFonts w:ascii="宋体" w:hAnsi="宋体" w:cs="宋体" w:eastAsia="宋体" w:hint="default"/>
                <w:spacing w:val="-6"/>
                <w:sz w:val="21"/>
                <w:szCs w:val="21"/>
              </w:rPr>
              <w:t>10</w:t>
            </w:r>
            <w:r>
              <w:rPr>
                <w:rFonts w:ascii="宋体" w:hAnsi="宋体" w:cs="宋体" w:eastAsia="宋体" w:hint="default"/>
                <w:spacing w:val="-6"/>
                <w:sz w:val="21"/>
                <w:szCs w:val="21"/>
              </w:rPr>
              <w:t>、</w:t>
            </w:r>
            <w:r>
              <w:rPr>
                <w:rFonts w:ascii="宋体" w:hAnsi="宋体" w:cs="宋体" w:eastAsia="宋体" w:hint="default"/>
                <w:spacing w:val="-6"/>
                <w:sz w:val="21"/>
                <w:szCs w:val="21"/>
              </w:rPr>
              <w:t>14</w:t>
            </w:r>
            <w:r>
              <w:rPr>
                <w:rFonts w:ascii="宋体" w:hAnsi="宋体" w:cs="宋体" w:eastAsia="宋体" w:hint="default"/>
                <w:spacing w:val="-6"/>
                <w:sz w:val="21"/>
                <w:szCs w:val="21"/>
              </w:rPr>
              <w:t>、</w:t>
            </w:r>
            <w:r>
              <w:rPr>
                <w:rFonts w:ascii="宋体" w:hAnsi="宋体" w:cs="宋体" w:eastAsia="宋体" w:hint="default"/>
                <w:spacing w:val="-6"/>
                <w:sz w:val="21"/>
                <w:szCs w:val="21"/>
              </w:rPr>
              <w:t>22</w:t>
            </w:r>
            <w:r>
              <w:rPr>
                <w:rFonts w:ascii="宋体" w:hAnsi="宋体" w:cs="宋体" w:eastAsia="宋体" w:hint="default"/>
                <w:spacing w:val="-65"/>
                <w:sz w:val="21"/>
                <w:szCs w:val="21"/>
              </w:rPr>
              <w:t> </w:t>
            </w:r>
            <w:r>
              <w:rPr>
                <w:rFonts w:ascii="宋体" w:hAnsi="宋体" w:cs="宋体" w:eastAsia="宋体" w:hint="default"/>
                <w:sz w:val="21"/>
                <w:szCs w:val="21"/>
              </w:rPr>
              <w:t>和</w:t>
            </w:r>
            <w:r>
              <w:rPr>
                <w:rFonts w:ascii="宋体" w:hAnsi="宋体" w:cs="宋体" w:eastAsia="宋体" w:hint="default"/>
                <w:spacing w:val="-53"/>
                <w:sz w:val="21"/>
                <w:szCs w:val="21"/>
              </w:rPr>
              <w:t> </w:t>
            </w:r>
            <w:r>
              <w:rPr>
                <w:rFonts w:ascii="宋体" w:hAnsi="宋体" w:cs="宋体" w:eastAsia="宋体" w:hint="default"/>
                <w:sz w:val="21"/>
                <w:szCs w:val="21"/>
              </w:rPr>
              <w:t>32</w:t>
            </w:r>
            <w:r>
              <w:rPr>
                <w:rFonts w:ascii="宋体" w:hAnsi="宋体" w:cs="宋体" w:eastAsia="宋体" w:hint="default"/>
                <w:sz w:val="21"/>
                <w:szCs w:val="21"/>
              </w:rPr>
              <w:t>，附注七、</w:t>
            </w:r>
            <w:r>
              <w:rPr>
                <w:rFonts w:ascii="宋体" w:hAnsi="宋体" w:cs="宋体" w:eastAsia="宋体" w:hint="default"/>
                <w:sz w:val="21"/>
                <w:szCs w:val="21"/>
              </w:rPr>
              <w:t>14</w:t>
            </w:r>
            <w:r>
              <w:rPr>
                <w:rFonts w:ascii="宋体" w:hAnsi="宋体" w:cs="宋体" w:eastAsia="宋体" w:hint="default"/>
                <w:spacing w:val="-55"/>
                <w:sz w:val="21"/>
                <w:szCs w:val="21"/>
              </w:rPr>
              <w:t> </w:t>
            </w:r>
            <w:r>
              <w:rPr>
                <w:rFonts w:ascii="宋体" w:hAnsi="宋体" w:cs="宋体" w:eastAsia="宋体" w:hint="default"/>
                <w:sz w:val="21"/>
                <w:szCs w:val="21"/>
              </w:rPr>
              <w:t>和</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z w:val="21"/>
                <w:szCs w:val="21"/>
              </w:rPr>
              <w:t>。</w:t>
            </w:r>
          </w:p>
        </w:tc>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我们执行的审计程序主要包括：</w:t>
            </w:r>
          </w:p>
          <w:p>
            <w:pPr>
              <w:pStyle w:val="TableParagraph"/>
              <w:spacing w:line="237" w:lineRule="auto" w:before="2"/>
              <w:ind w:left="103" w:right="98"/>
              <w:jc w:val="left"/>
              <w:rPr>
                <w:rFonts w:ascii="宋体" w:hAnsi="宋体" w:cs="宋体" w:eastAsia="宋体" w:hint="default"/>
                <w:sz w:val="21"/>
                <w:szCs w:val="21"/>
              </w:rPr>
            </w:pPr>
            <w:r>
              <w:rPr>
                <w:rFonts w:ascii="宋体" w:hAnsi="宋体" w:cs="宋体" w:eastAsia="宋体" w:hint="default"/>
                <w:spacing w:val="-5"/>
                <w:sz w:val="21"/>
                <w:szCs w:val="21"/>
              </w:rPr>
              <w:t>1</w:t>
            </w:r>
            <w:r>
              <w:rPr>
                <w:rFonts w:ascii="宋体" w:hAnsi="宋体" w:cs="宋体" w:eastAsia="宋体" w:hint="default"/>
                <w:spacing w:val="-5"/>
                <w:sz w:val="21"/>
                <w:szCs w:val="21"/>
              </w:rPr>
              <w:t>、了解、评价并测试对外投资的减值相</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关内部控制的设计及运行有效性；</w:t>
            </w:r>
            <w:r>
              <w:rPr>
                <w:rFonts w:ascii="宋体" w:hAnsi="宋体" w:cs="宋体" w:eastAsia="宋体" w:hint="default"/>
                <w:w w:val="100"/>
                <w:sz w:val="21"/>
                <w:szCs w:val="21"/>
              </w:rPr>
              <w:t> </w:t>
            </w:r>
            <w:r>
              <w:rPr>
                <w:rFonts w:ascii="宋体" w:hAnsi="宋体" w:cs="宋体" w:eastAsia="宋体" w:hint="default"/>
                <w:spacing w:val="-5"/>
                <w:sz w:val="21"/>
                <w:szCs w:val="21"/>
              </w:rPr>
              <w:t>2</w:t>
            </w:r>
            <w:r>
              <w:rPr>
                <w:rFonts w:ascii="宋体" w:hAnsi="宋体" w:cs="宋体" w:eastAsia="宋体" w:hint="default"/>
                <w:spacing w:val="-5"/>
                <w:sz w:val="21"/>
                <w:szCs w:val="21"/>
              </w:rPr>
              <w:t>、检查被投资公司本年度财务报表，分</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析按照公司持股比例计算的净资产份额</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与公司账面投资成本的差额是否重大；</w:t>
            </w:r>
            <w:r>
              <w:rPr>
                <w:rFonts w:ascii="宋体" w:hAnsi="宋体" w:cs="宋体" w:eastAsia="宋体" w:hint="default"/>
                <w:w w:val="100"/>
                <w:sz w:val="21"/>
                <w:szCs w:val="21"/>
              </w:rPr>
              <w:t> </w:t>
            </w:r>
            <w:r>
              <w:rPr>
                <w:rFonts w:ascii="宋体" w:hAnsi="宋体" w:cs="宋体" w:eastAsia="宋体" w:hint="default"/>
                <w:spacing w:val="-5"/>
                <w:sz w:val="21"/>
                <w:szCs w:val="21"/>
              </w:rPr>
              <w:t>3</w:t>
            </w:r>
            <w:r>
              <w:rPr>
                <w:rFonts w:ascii="宋体" w:hAnsi="宋体" w:cs="宋体" w:eastAsia="宋体" w:hint="default"/>
                <w:spacing w:val="-5"/>
                <w:sz w:val="21"/>
                <w:szCs w:val="21"/>
              </w:rPr>
              <w:t>、检查被投资公司的经营发展现状和财</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务状况、财务预算及发展前景说明、盈</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pacing w:val="6"/>
                <w:sz w:val="21"/>
                <w:szCs w:val="21"/>
              </w:rPr>
              <w:t>利预测、本年股权变动</w:t>
            </w:r>
            <w:r>
              <w:rPr>
                <w:rFonts w:ascii="宋体" w:hAnsi="宋体" w:cs="宋体" w:eastAsia="宋体" w:hint="default"/>
                <w:spacing w:val="6"/>
                <w:sz w:val="21"/>
                <w:szCs w:val="21"/>
              </w:rPr>
              <w:t>(</w:t>
            </w:r>
            <w:r>
              <w:rPr>
                <w:rFonts w:ascii="宋体" w:hAnsi="宋体" w:cs="宋体" w:eastAsia="宋体" w:hint="default"/>
                <w:spacing w:val="6"/>
                <w:sz w:val="21"/>
                <w:szCs w:val="21"/>
              </w:rPr>
              <w:t>有无新一轮融</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sz w:val="21"/>
                <w:szCs w:val="21"/>
              </w:rPr>
              <w:t>资）、股利分配情况等相关资料，并向</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被投资方发放函证，分析被投资公司是</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否存在减值迹象；如存在减值迹象的，</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复核资产可收回金额的合理性；</w:t>
            </w:r>
            <w:r>
              <w:rPr>
                <w:rFonts w:ascii="宋体" w:hAnsi="宋体" w:cs="宋体" w:eastAsia="宋体" w:hint="default"/>
                <w:w w:val="100"/>
                <w:sz w:val="21"/>
                <w:szCs w:val="21"/>
              </w:rPr>
              <w:t> </w:t>
            </w:r>
            <w:r>
              <w:rPr>
                <w:rFonts w:ascii="宋体" w:hAnsi="宋体" w:cs="宋体" w:eastAsia="宋体" w:hint="default"/>
                <w:spacing w:val="-5"/>
                <w:sz w:val="21"/>
                <w:szCs w:val="21"/>
              </w:rPr>
              <w:t>4</w:t>
            </w:r>
            <w:r>
              <w:rPr>
                <w:rFonts w:ascii="宋体" w:hAnsi="宋体" w:cs="宋体" w:eastAsia="宋体" w:hint="default"/>
                <w:spacing w:val="-5"/>
                <w:sz w:val="21"/>
                <w:szCs w:val="21"/>
              </w:rPr>
              <w:t>、复核公司管理层对可供出售金融资产</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和长期股权投资减值披露的恰当性；</w:t>
            </w:r>
          </w:p>
        </w:tc>
      </w:tr>
      <w:tr>
        <w:trPr>
          <w:trHeight w:val="281" w:hRule="exact"/>
        </w:trPr>
        <w:tc>
          <w:tcPr>
            <w:tcW w:w="8361" w:type="dxa"/>
            <w:gridSpan w:val="2"/>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四、技术服务收入的确认</w:t>
            </w:r>
          </w:p>
        </w:tc>
      </w:tr>
      <w:tr>
        <w:trPr>
          <w:trHeight w:val="1647" w:hRule="exact"/>
        </w:trPr>
        <w:tc>
          <w:tcPr>
            <w:tcW w:w="45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both"/>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9"/>
                <w:sz w:val="21"/>
                <w:szCs w:val="21"/>
              </w:rPr>
              <w:t> </w:t>
            </w:r>
            <w:r>
              <w:rPr>
                <w:rFonts w:ascii="宋体" w:hAnsi="宋体" w:cs="宋体" w:eastAsia="宋体" w:hint="default"/>
                <w:sz w:val="21"/>
                <w:szCs w:val="21"/>
              </w:rPr>
              <w:t>年度，公司合并层面确认的技术服务收入</w:t>
            </w:r>
          </w:p>
          <w:p>
            <w:pPr>
              <w:pStyle w:val="TableParagraph"/>
              <w:spacing w:line="240" w:lineRule="auto"/>
              <w:ind w:left="103" w:right="55"/>
              <w:jc w:val="both"/>
              <w:rPr>
                <w:rFonts w:ascii="宋体" w:hAnsi="宋体" w:cs="宋体" w:eastAsia="宋体" w:hint="default"/>
                <w:sz w:val="21"/>
                <w:szCs w:val="21"/>
              </w:rPr>
            </w:pPr>
            <w:r>
              <w:rPr>
                <w:rFonts w:ascii="宋体" w:hAnsi="宋体" w:cs="宋体" w:eastAsia="宋体" w:hint="default"/>
                <w:sz w:val="21"/>
                <w:szCs w:val="21"/>
              </w:rPr>
              <w:t>为人民币</w:t>
            </w:r>
            <w:r>
              <w:rPr>
                <w:rFonts w:ascii="宋体" w:hAnsi="宋体" w:cs="宋体" w:eastAsia="宋体" w:hint="default"/>
                <w:spacing w:val="-53"/>
                <w:sz w:val="21"/>
                <w:szCs w:val="21"/>
              </w:rPr>
              <w:t> </w:t>
            </w:r>
            <w:r>
              <w:rPr>
                <w:rFonts w:ascii="宋体" w:hAnsi="宋体" w:cs="宋体" w:eastAsia="宋体" w:hint="default"/>
                <w:sz w:val="21"/>
                <w:szCs w:val="21"/>
              </w:rPr>
              <w:t>2,661,762,074</w:t>
            </w:r>
            <w:r>
              <w:rPr>
                <w:rFonts w:ascii="宋体" w:hAnsi="宋体" w:cs="宋体" w:eastAsia="宋体" w:hint="default"/>
                <w:spacing w:val="-55"/>
                <w:sz w:val="21"/>
                <w:szCs w:val="21"/>
              </w:rPr>
              <w:t> </w:t>
            </w:r>
            <w:r>
              <w:rPr>
                <w:rFonts w:ascii="宋体" w:hAnsi="宋体" w:cs="宋体" w:eastAsia="宋体" w:hint="default"/>
                <w:sz w:val="21"/>
                <w:szCs w:val="21"/>
              </w:rPr>
              <w:t>元，占总收入的</w:t>
            </w:r>
            <w:r>
              <w:rPr>
                <w:rFonts w:ascii="宋体" w:hAnsi="宋体" w:cs="宋体" w:eastAsia="宋体" w:hint="default"/>
                <w:spacing w:val="-53"/>
                <w:sz w:val="21"/>
                <w:szCs w:val="21"/>
              </w:rPr>
              <w:t> </w:t>
            </w:r>
            <w:r>
              <w:rPr>
                <w:rFonts w:ascii="宋体" w:hAnsi="宋体" w:cs="宋体" w:eastAsia="宋体" w:hint="default"/>
                <w:sz w:val="21"/>
                <w:szCs w:val="21"/>
              </w:rPr>
              <w:t>42%</w:t>
            </w:r>
            <w:r>
              <w:rPr>
                <w:rFonts w:ascii="宋体" w:hAnsi="宋体" w:cs="宋体" w:eastAsia="宋体" w:hint="default"/>
                <w:sz w:val="21"/>
                <w:szCs w:val="21"/>
              </w:rPr>
              <w:t>。</w:t>
            </w:r>
            <w:r>
              <w:rPr>
                <w:rFonts w:ascii="宋体" w:hAnsi="宋体" w:cs="宋体" w:eastAsia="宋体" w:hint="default"/>
                <w:w w:val="100"/>
                <w:sz w:val="21"/>
                <w:szCs w:val="21"/>
              </w:rPr>
              <w:t> </w:t>
            </w:r>
            <w:r>
              <w:rPr>
                <w:rFonts w:ascii="宋体" w:hAnsi="宋体" w:cs="宋体" w:eastAsia="宋体" w:hint="default"/>
                <w:spacing w:val="-6"/>
                <w:w w:val="100"/>
                <w:sz w:val="21"/>
                <w:szCs w:val="21"/>
              </w:rPr>
              <w:t>其中实施和开发合同根据完工进度确认收入，该</w:t>
            </w:r>
          </w:p>
          <w:p>
            <w:pPr>
              <w:pStyle w:val="TableParagraph"/>
              <w:spacing w:line="237" w:lineRule="auto"/>
              <w:ind w:left="103" w:right="98"/>
              <w:jc w:val="both"/>
              <w:rPr>
                <w:rFonts w:ascii="宋体" w:hAnsi="宋体" w:cs="宋体" w:eastAsia="宋体" w:hint="default"/>
                <w:sz w:val="21"/>
                <w:szCs w:val="21"/>
              </w:rPr>
            </w:pPr>
            <w:r>
              <w:rPr>
                <w:rFonts w:ascii="宋体" w:hAnsi="宋体" w:cs="宋体" w:eastAsia="宋体" w:hint="default"/>
                <w:spacing w:val="2"/>
                <w:sz w:val="21"/>
                <w:szCs w:val="21"/>
              </w:rPr>
              <w:t>完工进度依据已经提供的劳务占应提供劳务总</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6"/>
                <w:w w:val="100"/>
                <w:sz w:val="21"/>
                <w:szCs w:val="21"/>
              </w:rPr>
              <w:t>量的比例确定，确定合同完工进度过程中涉及到</w:t>
            </w:r>
            <w:r>
              <w:rPr>
                <w:rFonts w:ascii="宋体" w:hAnsi="宋体" w:cs="宋体" w:eastAsia="宋体" w:hint="default"/>
                <w:spacing w:val="-103"/>
                <w:w w:val="100"/>
                <w:sz w:val="21"/>
                <w:szCs w:val="21"/>
              </w:rPr>
              <w:t> </w:t>
            </w:r>
            <w:r>
              <w:rPr>
                <w:rFonts w:ascii="宋体" w:hAnsi="宋体" w:cs="宋体" w:eastAsia="宋体" w:hint="default"/>
                <w:spacing w:val="-103"/>
                <w:w w:val="100"/>
                <w:sz w:val="21"/>
                <w:szCs w:val="21"/>
              </w:rPr>
            </w:r>
            <w:r>
              <w:rPr>
                <w:rFonts w:ascii="宋体" w:hAnsi="宋体" w:cs="宋体" w:eastAsia="宋体" w:hint="default"/>
                <w:spacing w:val="-6"/>
                <w:w w:val="100"/>
                <w:sz w:val="21"/>
                <w:szCs w:val="21"/>
              </w:rPr>
              <w:t>管理层对劳务总量的判断与估计，从而对技术服</w:t>
            </w:r>
          </w:p>
        </w:tc>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我们执行的审计程序主要包括：</w:t>
            </w:r>
          </w:p>
          <w:p>
            <w:pPr>
              <w:pStyle w:val="TableParagraph"/>
              <w:spacing w:line="237" w:lineRule="auto"/>
              <w:ind w:left="103" w:right="98"/>
              <w:jc w:val="left"/>
              <w:rPr>
                <w:rFonts w:ascii="宋体" w:hAnsi="宋体" w:cs="宋体" w:eastAsia="宋体" w:hint="default"/>
                <w:sz w:val="21"/>
                <w:szCs w:val="21"/>
              </w:rPr>
            </w:pPr>
            <w:r>
              <w:rPr>
                <w:rFonts w:ascii="宋体" w:hAnsi="宋体" w:cs="宋体" w:eastAsia="宋体" w:hint="default"/>
                <w:spacing w:val="-5"/>
                <w:sz w:val="21"/>
                <w:szCs w:val="21"/>
              </w:rPr>
              <w:t>1</w:t>
            </w:r>
            <w:r>
              <w:rPr>
                <w:rFonts w:ascii="宋体" w:hAnsi="宋体" w:cs="宋体" w:eastAsia="宋体" w:hint="default"/>
                <w:spacing w:val="-5"/>
                <w:sz w:val="21"/>
                <w:szCs w:val="21"/>
              </w:rPr>
              <w:t>、了解、评估并测试了实施和开发合同</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在收入流程中的相关内部控制的设计及</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运行有效性；</w:t>
            </w:r>
            <w:r>
              <w:rPr>
                <w:rFonts w:ascii="宋体" w:hAnsi="宋体" w:cs="宋体" w:eastAsia="宋体" w:hint="default"/>
                <w:w w:val="100"/>
                <w:sz w:val="21"/>
                <w:szCs w:val="21"/>
              </w:rPr>
              <w:t> </w:t>
            </w:r>
            <w:r>
              <w:rPr>
                <w:rFonts w:ascii="宋体" w:hAnsi="宋体" w:cs="宋体" w:eastAsia="宋体" w:hint="default"/>
                <w:spacing w:val="-5"/>
                <w:sz w:val="21"/>
                <w:szCs w:val="21"/>
              </w:rPr>
              <w:t>2</w:t>
            </w:r>
            <w:r>
              <w:rPr>
                <w:rFonts w:ascii="宋体" w:hAnsi="宋体" w:cs="宋体" w:eastAsia="宋体" w:hint="default"/>
                <w:spacing w:val="-5"/>
                <w:sz w:val="21"/>
                <w:szCs w:val="21"/>
              </w:rPr>
              <w:t>、检查实施和开发合同条款，分析重要</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合同条款可能对收入确认的影响；</w:t>
            </w:r>
          </w:p>
        </w:tc>
      </w:tr>
    </w:tbl>
    <w:p>
      <w:pPr>
        <w:spacing w:after="0" w:line="237" w:lineRule="auto"/>
        <w:jc w:val="left"/>
        <w:rPr>
          <w:rFonts w:ascii="宋体" w:hAnsi="宋体" w:cs="宋体" w:eastAsia="宋体" w:hint="default"/>
          <w:sz w:val="21"/>
          <w:szCs w:val="21"/>
        </w:rPr>
        <w:sectPr>
          <w:pgSz w:w="11910" w:h="16840"/>
          <w:pgMar w:header="857" w:footer="1195" w:top="1320" w:bottom="1380" w:left="1580" w:right="1120"/>
        </w:sectPr>
      </w:pPr>
    </w:p>
    <w:p>
      <w:pPr>
        <w:spacing w:line="240" w:lineRule="auto" w:before="6"/>
        <w:rPr>
          <w:rFonts w:ascii="Times New Roman" w:hAnsi="Times New Roman" w:cs="Times New Roman" w:eastAsia="Times New Roman" w:hint="default"/>
          <w:sz w:val="16"/>
          <w:szCs w:val="16"/>
        </w:rPr>
      </w:pPr>
    </w:p>
    <w:tbl>
      <w:tblPr>
        <w:tblW w:w="0" w:type="auto"/>
        <w:jc w:val="left"/>
        <w:tblInd w:w="105" w:type="dxa"/>
        <w:tblLayout w:type="fixed"/>
        <w:tblCellMar>
          <w:top w:w="0" w:type="dxa"/>
          <w:left w:w="0" w:type="dxa"/>
          <w:bottom w:w="0" w:type="dxa"/>
          <w:right w:w="0" w:type="dxa"/>
        </w:tblCellMar>
        <w:tblLook w:val="01E0"/>
      </w:tblPr>
      <w:tblGrid>
        <w:gridCol w:w="4532"/>
        <w:gridCol w:w="3829"/>
      </w:tblGrid>
      <w:tr>
        <w:trPr>
          <w:trHeight w:val="3553" w:hRule="exact"/>
        </w:trPr>
        <w:tc>
          <w:tcPr>
            <w:tcW w:w="4532"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103" w:right="0"/>
              <w:jc w:val="both"/>
              <w:rPr>
                <w:rFonts w:ascii="宋体" w:hAnsi="宋体" w:cs="宋体" w:eastAsia="宋体" w:hint="default"/>
                <w:sz w:val="21"/>
                <w:szCs w:val="21"/>
              </w:rPr>
            </w:pPr>
            <w:r>
              <w:rPr>
                <w:rFonts w:ascii="宋体" w:hAnsi="宋体" w:cs="宋体" w:eastAsia="宋体" w:hint="default"/>
                <w:sz w:val="21"/>
                <w:szCs w:val="21"/>
              </w:rPr>
              <w:t>务收入的确认产生重大影响。</w:t>
            </w:r>
          </w:p>
          <w:p>
            <w:pPr>
              <w:pStyle w:val="TableParagraph"/>
              <w:spacing w:line="237" w:lineRule="auto"/>
              <w:ind w:left="103" w:right="96"/>
              <w:jc w:val="both"/>
              <w:rPr>
                <w:rFonts w:ascii="宋体" w:hAnsi="宋体" w:cs="宋体" w:eastAsia="宋体" w:hint="default"/>
                <w:sz w:val="21"/>
                <w:szCs w:val="21"/>
              </w:rPr>
            </w:pPr>
            <w:r>
              <w:rPr>
                <w:rFonts w:ascii="宋体" w:hAnsi="宋体" w:cs="宋体" w:eastAsia="宋体" w:hint="default"/>
                <w:sz w:val="21"/>
                <w:szCs w:val="21"/>
              </w:rPr>
              <w:t>具体披露参见合并财务报表附注五、</w:t>
            </w:r>
            <w:r>
              <w:rPr>
                <w:rFonts w:ascii="宋体" w:hAnsi="宋体" w:cs="宋体" w:eastAsia="宋体" w:hint="default"/>
                <w:sz w:val="21"/>
                <w:szCs w:val="21"/>
              </w:rPr>
              <w:t>28</w:t>
            </w:r>
            <w:r>
              <w:rPr>
                <w:rFonts w:ascii="宋体" w:hAnsi="宋体" w:cs="宋体" w:eastAsia="宋体" w:hint="default"/>
                <w:spacing w:val="7"/>
                <w:sz w:val="21"/>
                <w:szCs w:val="21"/>
              </w:rPr>
              <w:t> </w:t>
            </w:r>
            <w:r>
              <w:rPr>
                <w:rFonts w:ascii="宋体" w:hAnsi="宋体" w:cs="宋体" w:eastAsia="宋体" w:hint="default"/>
                <w:sz w:val="21"/>
                <w:szCs w:val="21"/>
              </w:rPr>
              <w:t>收入和</w:t>
            </w:r>
            <w:r>
              <w:rPr>
                <w:rFonts w:ascii="宋体" w:hAnsi="宋体" w:cs="宋体" w:eastAsia="宋体" w:hint="default"/>
                <w:w w:val="100"/>
                <w:sz w:val="21"/>
                <w:szCs w:val="21"/>
              </w:rPr>
              <w:t> </w:t>
            </w:r>
            <w:r>
              <w:rPr>
                <w:rFonts w:ascii="宋体" w:hAnsi="宋体" w:cs="宋体" w:eastAsia="宋体" w:hint="default"/>
                <w:sz w:val="21"/>
                <w:szCs w:val="21"/>
              </w:rPr>
              <w:t>32</w:t>
            </w:r>
            <w:r>
              <w:rPr>
                <w:rFonts w:ascii="宋体" w:hAnsi="宋体" w:cs="宋体" w:eastAsia="宋体" w:hint="default"/>
                <w:spacing w:val="-48"/>
                <w:sz w:val="21"/>
                <w:szCs w:val="21"/>
              </w:rPr>
              <w:t> </w:t>
            </w:r>
            <w:r>
              <w:rPr>
                <w:rFonts w:ascii="宋体" w:hAnsi="宋体" w:cs="宋体" w:eastAsia="宋体" w:hint="default"/>
                <w:sz w:val="21"/>
                <w:szCs w:val="21"/>
              </w:rPr>
              <w:t>开发实施收入的确认，附注七、</w:t>
            </w:r>
            <w:r>
              <w:rPr>
                <w:rFonts w:ascii="宋体" w:hAnsi="宋体" w:cs="宋体" w:eastAsia="宋体" w:hint="default"/>
                <w:sz w:val="21"/>
                <w:szCs w:val="21"/>
              </w:rPr>
              <w:t>61</w:t>
            </w:r>
            <w:r>
              <w:rPr>
                <w:rFonts w:ascii="宋体" w:hAnsi="宋体" w:cs="宋体" w:eastAsia="宋体" w:hint="default"/>
                <w:spacing w:val="-48"/>
                <w:sz w:val="21"/>
                <w:szCs w:val="21"/>
              </w:rPr>
              <w:t> </w:t>
            </w:r>
            <w:r>
              <w:rPr>
                <w:rFonts w:ascii="宋体" w:hAnsi="宋体" w:cs="宋体" w:eastAsia="宋体" w:hint="default"/>
                <w:sz w:val="21"/>
                <w:szCs w:val="21"/>
              </w:rPr>
              <w:t>营业收入</w:t>
            </w:r>
            <w:r>
              <w:rPr>
                <w:rFonts w:ascii="宋体" w:hAnsi="宋体" w:cs="宋体" w:eastAsia="宋体" w:hint="default"/>
                <w:w w:val="100"/>
                <w:sz w:val="21"/>
                <w:szCs w:val="21"/>
              </w:rPr>
              <w:t> </w:t>
            </w:r>
            <w:r>
              <w:rPr>
                <w:rFonts w:ascii="宋体" w:hAnsi="宋体" w:cs="宋体" w:eastAsia="宋体" w:hint="default"/>
                <w:sz w:val="21"/>
                <w:szCs w:val="21"/>
              </w:rPr>
              <w:t>及成本。</w:t>
            </w:r>
          </w:p>
        </w:tc>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103" w:right="0"/>
              <w:jc w:val="left"/>
              <w:rPr>
                <w:rFonts w:ascii="宋体" w:hAnsi="宋体" w:cs="宋体" w:eastAsia="宋体" w:hint="default"/>
                <w:sz w:val="21"/>
                <w:szCs w:val="21"/>
              </w:rPr>
            </w:pPr>
            <w:r>
              <w:rPr>
                <w:rFonts w:ascii="宋体" w:hAnsi="宋体" w:cs="宋体" w:eastAsia="宋体" w:hint="default"/>
                <w:spacing w:val="-5"/>
                <w:sz w:val="21"/>
                <w:szCs w:val="21"/>
              </w:rPr>
              <w:t>3</w:t>
            </w:r>
            <w:r>
              <w:rPr>
                <w:rFonts w:ascii="宋体" w:hAnsi="宋体" w:cs="宋体" w:eastAsia="宋体" w:hint="default"/>
                <w:spacing w:val="-5"/>
                <w:sz w:val="21"/>
                <w:szCs w:val="21"/>
              </w:rPr>
              <w:t>、了解合同执行情况，与管理层已确认</w:t>
            </w:r>
          </w:p>
          <w:p>
            <w:pPr>
              <w:pStyle w:val="TableParagraph"/>
              <w:spacing w:line="237" w:lineRule="auto"/>
              <w:ind w:left="103" w:right="36"/>
              <w:jc w:val="left"/>
              <w:rPr>
                <w:rFonts w:ascii="宋体" w:hAnsi="宋体" w:cs="宋体" w:eastAsia="宋体" w:hint="default"/>
                <w:sz w:val="21"/>
                <w:szCs w:val="21"/>
              </w:rPr>
            </w:pPr>
            <w:r>
              <w:rPr>
                <w:rFonts w:ascii="宋体" w:hAnsi="宋体" w:cs="宋体" w:eastAsia="宋体" w:hint="default"/>
                <w:sz w:val="21"/>
                <w:szCs w:val="21"/>
              </w:rPr>
              <w:t>的完工进度进行比较，判断分析完工进</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度确定的总体合理性；</w:t>
            </w:r>
            <w:r>
              <w:rPr>
                <w:rFonts w:ascii="宋体" w:hAnsi="宋体" w:cs="宋体" w:eastAsia="宋体" w:hint="default"/>
                <w:w w:val="100"/>
                <w:sz w:val="21"/>
                <w:szCs w:val="21"/>
              </w:rPr>
              <w:t> </w:t>
            </w:r>
            <w:r>
              <w:rPr>
                <w:rFonts w:ascii="宋体" w:hAnsi="宋体" w:cs="宋体" w:eastAsia="宋体" w:hint="default"/>
                <w:spacing w:val="-2"/>
                <w:sz w:val="21"/>
                <w:szCs w:val="21"/>
              </w:rPr>
              <w:t>4</w:t>
            </w:r>
            <w:r>
              <w:rPr>
                <w:rFonts w:ascii="宋体" w:hAnsi="宋体" w:cs="宋体" w:eastAsia="宋体" w:hint="default"/>
                <w:spacing w:val="-2"/>
                <w:sz w:val="21"/>
                <w:szCs w:val="21"/>
              </w:rPr>
              <w:t>、我们使用抽样方法选取了部分合同，</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复核管理层确定完工进度所依据的数据</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和完工进度计算的准确性；核对管理层</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确认的完工进度与客户签收的实施和开</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发进度确认单的总体一致性，并向客户</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函证实施和开发进度；</w:t>
            </w:r>
            <w:r>
              <w:rPr>
                <w:rFonts w:ascii="宋体" w:hAnsi="宋体" w:cs="宋体" w:eastAsia="宋体" w:hint="default"/>
                <w:w w:val="100"/>
                <w:sz w:val="21"/>
                <w:szCs w:val="21"/>
              </w:rPr>
              <w:t> </w:t>
            </w:r>
            <w:r>
              <w:rPr>
                <w:rFonts w:ascii="宋体" w:hAnsi="宋体" w:cs="宋体" w:eastAsia="宋体" w:hint="default"/>
                <w:spacing w:val="5"/>
                <w:sz w:val="21"/>
                <w:szCs w:val="21"/>
              </w:rPr>
              <w:t>5</w:t>
            </w:r>
            <w:r>
              <w:rPr>
                <w:rFonts w:ascii="宋体" w:hAnsi="宋体" w:cs="宋体" w:eastAsia="宋体" w:hint="default"/>
                <w:spacing w:val="5"/>
                <w:sz w:val="21"/>
                <w:szCs w:val="21"/>
              </w:rPr>
              <w:t>、复核收入根据完工进度确认的适当</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性；</w:t>
            </w:r>
            <w:r>
              <w:rPr>
                <w:rFonts w:ascii="宋体" w:hAnsi="宋体" w:cs="宋体" w:eastAsia="宋体" w:hint="default"/>
                <w:spacing w:val="-103"/>
                <w:sz w:val="21"/>
                <w:szCs w:val="21"/>
              </w:rPr>
              <w:t> </w:t>
            </w:r>
            <w:r>
              <w:rPr>
                <w:rFonts w:ascii="宋体" w:hAnsi="宋体" w:cs="宋体" w:eastAsia="宋体" w:hint="default"/>
                <w:spacing w:val="-5"/>
                <w:sz w:val="21"/>
                <w:szCs w:val="21"/>
              </w:rPr>
              <w:t>6</w:t>
            </w:r>
            <w:r>
              <w:rPr>
                <w:rFonts w:ascii="宋体" w:hAnsi="宋体" w:cs="宋体" w:eastAsia="宋体" w:hint="default"/>
                <w:spacing w:val="-5"/>
                <w:sz w:val="21"/>
                <w:szCs w:val="21"/>
              </w:rPr>
              <w:t>、复核公司管理层对技术服务收入披露</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是否正确和充分。</w:t>
            </w:r>
          </w:p>
        </w:tc>
      </w:tr>
    </w:tbl>
    <w:p>
      <w:pPr>
        <w:spacing w:line="240" w:lineRule="auto" w:before="5"/>
        <w:rPr>
          <w:rFonts w:ascii="Times New Roman" w:hAnsi="Times New Roman" w:cs="Times New Roman" w:eastAsia="Times New Roman" w:hint="default"/>
          <w:sz w:val="17"/>
          <w:szCs w:val="17"/>
        </w:rPr>
      </w:pPr>
    </w:p>
    <w:p>
      <w:pPr>
        <w:pStyle w:val="BodyText"/>
        <w:spacing w:line="240" w:lineRule="auto" w:before="36"/>
        <w:ind w:right="0"/>
        <w:jc w:val="both"/>
      </w:pPr>
      <w:r>
        <w:rPr/>
        <w:t>四、其他信息</w:t>
      </w:r>
    </w:p>
    <w:p>
      <w:pPr>
        <w:spacing w:line="240" w:lineRule="auto" w:before="8"/>
        <w:rPr>
          <w:rFonts w:ascii="宋体" w:hAnsi="宋体" w:cs="宋体" w:eastAsia="宋体" w:hint="default"/>
          <w:sz w:val="20"/>
          <w:szCs w:val="20"/>
        </w:rPr>
      </w:pPr>
    </w:p>
    <w:p>
      <w:pPr>
        <w:pStyle w:val="BodyText"/>
        <w:spacing w:line="240" w:lineRule="auto"/>
        <w:ind w:right="0"/>
        <w:jc w:val="left"/>
      </w:pPr>
      <w:r>
        <w:rPr/>
        <w:t>用友网络科技股份有限公司管理层（以下简称管理层）对其他信息负责。其他信息包括年度报告</w:t>
      </w:r>
      <w:r>
        <w:rPr>
          <w:spacing w:val="-97"/>
        </w:rPr>
        <w:t> </w:t>
      </w:r>
      <w:r>
        <w:rPr>
          <w:spacing w:val="-97"/>
        </w:rPr>
      </w:r>
      <w:r>
        <w:rPr/>
        <w:t>中涵盖的信息，但不包括财务报表和我们的审计报告。</w:t>
      </w:r>
    </w:p>
    <w:p>
      <w:pPr>
        <w:spacing w:line="240" w:lineRule="auto" w:before="8"/>
        <w:rPr>
          <w:rFonts w:ascii="宋体" w:hAnsi="宋体" w:cs="宋体" w:eastAsia="宋体" w:hint="default"/>
          <w:sz w:val="20"/>
          <w:szCs w:val="20"/>
        </w:rPr>
      </w:pPr>
    </w:p>
    <w:p>
      <w:pPr>
        <w:pStyle w:val="BodyText"/>
        <w:spacing w:line="240" w:lineRule="auto"/>
        <w:ind w:right="0"/>
        <w:jc w:val="both"/>
      </w:pPr>
      <w:r>
        <w:rPr>
          <w:w w:val="100"/>
        </w:rPr>
        <w:t>我们</w:t>
      </w:r>
      <w:r>
        <w:rPr>
          <w:spacing w:val="-3"/>
          <w:w w:val="100"/>
        </w:rPr>
        <w:t>对</w:t>
      </w:r>
      <w:r>
        <w:rPr>
          <w:w w:val="100"/>
        </w:rPr>
        <w:t>财</w:t>
      </w:r>
      <w:r>
        <w:rPr>
          <w:spacing w:val="-3"/>
          <w:w w:val="100"/>
        </w:rPr>
        <w:t>务</w:t>
      </w:r>
      <w:r>
        <w:rPr>
          <w:w w:val="100"/>
        </w:rPr>
        <w:t>报</w:t>
      </w:r>
      <w:r>
        <w:rPr>
          <w:spacing w:val="-3"/>
          <w:w w:val="100"/>
        </w:rPr>
        <w:t>表</w:t>
      </w:r>
      <w:r>
        <w:rPr>
          <w:w w:val="100"/>
        </w:rPr>
        <w:t>发</w:t>
      </w:r>
      <w:r>
        <w:rPr>
          <w:spacing w:val="-3"/>
          <w:w w:val="100"/>
        </w:rPr>
        <w:t>表</w:t>
      </w:r>
      <w:r>
        <w:rPr>
          <w:w w:val="100"/>
        </w:rPr>
        <w:t>的</w:t>
      </w:r>
      <w:r>
        <w:rPr>
          <w:spacing w:val="-3"/>
          <w:w w:val="100"/>
        </w:rPr>
        <w:t>审</w:t>
      </w:r>
      <w:r>
        <w:rPr>
          <w:w w:val="100"/>
        </w:rPr>
        <w:t>计意</w:t>
      </w:r>
      <w:r>
        <w:rPr>
          <w:spacing w:val="-3"/>
          <w:w w:val="100"/>
        </w:rPr>
        <w:t>见</w:t>
      </w:r>
      <w:r>
        <w:rPr>
          <w:w w:val="100"/>
        </w:rPr>
        <w:t>不</w:t>
      </w:r>
      <w:r>
        <w:rPr>
          <w:spacing w:val="-3"/>
          <w:w w:val="100"/>
        </w:rPr>
        <w:t>涵</w:t>
      </w:r>
      <w:r>
        <w:rPr>
          <w:w w:val="100"/>
        </w:rPr>
        <w:t>盖</w:t>
      </w:r>
      <w:r>
        <w:rPr>
          <w:spacing w:val="-3"/>
          <w:w w:val="100"/>
        </w:rPr>
        <w:t>其</w:t>
      </w:r>
      <w:r>
        <w:rPr>
          <w:w w:val="100"/>
        </w:rPr>
        <w:t>他</w:t>
      </w:r>
      <w:r>
        <w:rPr>
          <w:spacing w:val="-3"/>
          <w:w w:val="100"/>
        </w:rPr>
        <w:t>信息</w:t>
      </w:r>
      <w:r>
        <w:rPr>
          <w:spacing w:val="-92"/>
          <w:w w:val="100"/>
        </w:rPr>
        <w:t>，</w:t>
      </w:r>
      <w:r>
        <w:rPr>
          <w:spacing w:val="-3"/>
          <w:w w:val="100"/>
        </w:rPr>
        <w:t>我</w:t>
      </w:r>
      <w:r>
        <w:rPr>
          <w:w w:val="100"/>
        </w:rPr>
        <w:t>们也</w:t>
      </w:r>
      <w:r>
        <w:rPr>
          <w:spacing w:val="-3"/>
          <w:w w:val="100"/>
        </w:rPr>
        <w:t>不</w:t>
      </w:r>
      <w:r>
        <w:rPr>
          <w:w w:val="100"/>
        </w:rPr>
        <w:t>对</w:t>
      </w:r>
      <w:r>
        <w:rPr>
          <w:spacing w:val="-3"/>
          <w:w w:val="100"/>
        </w:rPr>
        <w:t>其</w:t>
      </w:r>
      <w:r>
        <w:rPr>
          <w:w w:val="100"/>
        </w:rPr>
        <w:t>他</w:t>
      </w:r>
      <w:r>
        <w:rPr>
          <w:spacing w:val="-3"/>
          <w:w w:val="100"/>
        </w:rPr>
        <w:t>信</w:t>
      </w:r>
      <w:r>
        <w:rPr>
          <w:w w:val="100"/>
        </w:rPr>
        <w:t>息</w:t>
      </w:r>
      <w:r>
        <w:rPr>
          <w:spacing w:val="-3"/>
          <w:w w:val="100"/>
        </w:rPr>
        <w:t>发</w:t>
      </w:r>
      <w:r>
        <w:rPr>
          <w:w w:val="100"/>
        </w:rPr>
        <w:t>表</w:t>
      </w:r>
      <w:r>
        <w:rPr>
          <w:spacing w:val="-3"/>
          <w:w w:val="100"/>
        </w:rPr>
        <w:t>任</w:t>
      </w:r>
      <w:r>
        <w:rPr>
          <w:w w:val="100"/>
        </w:rPr>
        <w:t>何形</w:t>
      </w:r>
      <w:r>
        <w:rPr>
          <w:spacing w:val="-3"/>
          <w:w w:val="100"/>
        </w:rPr>
        <w:t>式</w:t>
      </w:r>
      <w:r>
        <w:rPr>
          <w:w w:val="100"/>
        </w:rPr>
        <w:t>的</w:t>
      </w:r>
      <w:r>
        <w:rPr>
          <w:spacing w:val="-3"/>
          <w:w w:val="100"/>
        </w:rPr>
        <w:t>鉴证结论</w:t>
      </w:r>
      <w:r>
        <w:rPr>
          <w:w w:val="100"/>
        </w:rPr>
        <w:t>。</w:t>
      </w:r>
    </w:p>
    <w:p>
      <w:pPr>
        <w:spacing w:line="240" w:lineRule="auto" w:before="10"/>
        <w:rPr>
          <w:rFonts w:ascii="宋体" w:hAnsi="宋体" w:cs="宋体" w:eastAsia="宋体" w:hint="default"/>
          <w:sz w:val="22"/>
          <w:szCs w:val="22"/>
        </w:rPr>
      </w:pPr>
    </w:p>
    <w:p>
      <w:pPr>
        <w:pStyle w:val="BodyText"/>
        <w:spacing w:line="272" w:lineRule="exact"/>
        <w:ind w:right="208"/>
        <w:jc w:val="both"/>
      </w:pPr>
      <w:r>
        <w:rPr>
          <w:spacing w:val="-1"/>
        </w:rPr>
        <w:t>结合我们对财务报表的审计，我们的责任是阅读其他信息，在此过程中，考虑其他信息是否与财</w:t>
      </w:r>
      <w:r>
        <w:rPr>
          <w:spacing w:val="-55"/>
        </w:rPr>
        <w:t> </w:t>
      </w:r>
      <w:r>
        <w:rPr>
          <w:spacing w:val="-55"/>
        </w:rPr>
      </w:r>
      <w:r>
        <w:rPr/>
        <w:t>务报表或我们在审计过程中了解到的情况存在重大不一致或者似乎存在重大错报。</w:t>
      </w:r>
    </w:p>
    <w:p>
      <w:pPr>
        <w:spacing w:line="240" w:lineRule="auto" w:before="10"/>
        <w:rPr>
          <w:rFonts w:ascii="宋体" w:hAnsi="宋体" w:cs="宋体" w:eastAsia="宋体" w:hint="default"/>
          <w:sz w:val="18"/>
          <w:szCs w:val="18"/>
        </w:rPr>
      </w:pPr>
    </w:p>
    <w:p>
      <w:pPr>
        <w:pStyle w:val="BodyText"/>
        <w:spacing w:line="240" w:lineRule="auto"/>
        <w:ind w:right="208"/>
        <w:jc w:val="both"/>
      </w:pPr>
      <w:r>
        <w:rPr>
          <w:spacing w:val="-6"/>
        </w:rPr>
        <w:t>基于我们已执行的工作，如果我们确定其他信息存在重大错报，我们应当报告该事实。在这方面，</w:t>
      </w:r>
      <w:r>
        <w:rPr>
          <w:spacing w:val="-54"/>
        </w:rPr>
        <w:t> </w:t>
      </w:r>
      <w:r>
        <w:rPr>
          <w:spacing w:val="-54"/>
        </w:rPr>
      </w:r>
      <w:r>
        <w:rPr/>
        <w:t>我们无任何事项需要报告。</w:t>
      </w:r>
    </w:p>
    <w:p>
      <w:pPr>
        <w:spacing w:line="240" w:lineRule="auto" w:before="8"/>
        <w:rPr>
          <w:rFonts w:ascii="宋体" w:hAnsi="宋体" w:cs="宋体" w:eastAsia="宋体" w:hint="default"/>
          <w:sz w:val="20"/>
          <w:szCs w:val="20"/>
        </w:rPr>
      </w:pPr>
    </w:p>
    <w:p>
      <w:pPr>
        <w:pStyle w:val="BodyText"/>
        <w:spacing w:line="240" w:lineRule="auto"/>
        <w:ind w:right="0"/>
        <w:jc w:val="both"/>
      </w:pPr>
      <w:r>
        <w:rPr/>
        <w:t>五、管理层和治理层对财务报表的责任</w:t>
      </w:r>
    </w:p>
    <w:p>
      <w:pPr>
        <w:spacing w:line="240" w:lineRule="auto" w:before="10"/>
        <w:rPr>
          <w:rFonts w:ascii="宋体" w:hAnsi="宋体" w:cs="宋体" w:eastAsia="宋体" w:hint="default"/>
          <w:sz w:val="22"/>
          <w:szCs w:val="22"/>
        </w:rPr>
      </w:pPr>
    </w:p>
    <w:p>
      <w:pPr>
        <w:pStyle w:val="BodyText"/>
        <w:spacing w:line="272" w:lineRule="exact"/>
        <w:ind w:right="207"/>
        <w:jc w:val="both"/>
      </w:pPr>
      <w:r>
        <w:rPr>
          <w:spacing w:val="-1"/>
        </w:rPr>
        <w:t>管理层负责按照企业会计准则的规定编制财务报表，使其实现公允反映，并设计、执行和维护必</w:t>
      </w:r>
      <w:r>
        <w:rPr>
          <w:spacing w:val="-55"/>
        </w:rPr>
        <w:t> </w:t>
      </w:r>
      <w:r>
        <w:rPr>
          <w:spacing w:val="-55"/>
        </w:rPr>
      </w:r>
      <w:r>
        <w:rPr/>
        <w:t>要的内部控制，以使财务报表不存在由于舞弊或错误导致的重大错报。</w:t>
      </w:r>
    </w:p>
    <w:p>
      <w:pPr>
        <w:spacing w:line="240" w:lineRule="auto" w:before="12"/>
        <w:rPr>
          <w:rFonts w:ascii="宋体" w:hAnsi="宋体" w:cs="宋体" w:eastAsia="宋体" w:hint="default"/>
          <w:sz w:val="18"/>
          <w:szCs w:val="18"/>
        </w:rPr>
      </w:pPr>
    </w:p>
    <w:p>
      <w:pPr>
        <w:pStyle w:val="BodyText"/>
        <w:spacing w:line="237" w:lineRule="auto"/>
        <w:ind w:right="207"/>
        <w:jc w:val="both"/>
      </w:pPr>
      <w:r>
        <w:rPr>
          <w:spacing w:val="-1"/>
        </w:rPr>
        <w:t>在编制财务报表时，管理层负责评估用友网络科技股份有限公司的持续经营能力，披露与持续经</w:t>
      </w:r>
      <w:r>
        <w:rPr>
          <w:spacing w:val="-55"/>
        </w:rPr>
        <w:t> </w:t>
      </w:r>
      <w:r>
        <w:rPr>
          <w:spacing w:val="-55"/>
        </w:rPr>
      </w:r>
      <w:r>
        <w:rPr>
          <w:spacing w:val="-1"/>
        </w:rPr>
        <w:t>营相关的事项（如适用），并运用持续经营假设，除非计划进行清算、终止运营或别无其他现实</w:t>
      </w:r>
      <w:r>
        <w:rPr>
          <w:spacing w:val="-55"/>
        </w:rPr>
        <w:t> </w:t>
      </w:r>
      <w:r>
        <w:rPr>
          <w:spacing w:val="-55"/>
        </w:rPr>
      </w:r>
      <w:r>
        <w:rPr/>
        <w:t>的选择。</w:t>
      </w:r>
    </w:p>
    <w:p>
      <w:pPr>
        <w:spacing w:line="240" w:lineRule="auto" w:before="9"/>
        <w:rPr>
          <w:rFonts w:ascii="宋体" w:hAnsi="宋体" w:cs="宋体" w:eastAsia="宋体" w:hint="default"/>
          <w:sz w:val="20"/>
          <w:szCs w:val="20"/>
        </w:rPr>
      </w:pPr>
    </w:p>
    <w:p>
      <w:pPr>
        <w:pStyle w:val="BodyText"/>
        <w:spacing w:line="475" w:lineRule="auto"/>
        <w:ind w:right="208"/>
        <w:jc w:val="both"/>
      </w:pPr>
      <w:r>
        <w:rPr/>
        <w:t>治理层负责监督用友网络科技股份有限公司的财务报告过程。</w:t>
      </w:r>
      <w:r>
        <w:rPr>
          <w:w w:val="100"/>
        </w:rPr>
        <w:t> </w:t>
      </w:r>
      <w:r>
        <w:rPr/>
        <w:t>六、注册会计师对财务报表审计的责任</w:t>
      </w:r>
    </w:p>
    <w:p>
      <w:pPr>
        <w:pStyle w:val="BodyText"/>
        <w:spacing w:line="237" w:lineRule="auto" w:before="66"/>
        <w:ind w:right="208"/>
        <w:jc w:val="both"/>
      </w:pPr>
      <w:r>
        <w:rPr>
          <w:spacing w:val="-1"/>
        </w:rPr>
        <w:t>我们的目标是对财务报表整体是否不存在由于舞弊或错误导致的重大错报获取合理保证，并出具</w:t>
      </w:r>
      <w:r>
        <w:rPr>
          <w:spacing w:val="-55"/>
        </w:rPr>
        <w:t> </w:t>
      </w:r>
      <w:r>
        <w:rPr>
          <w:spacing w:val="-55"/>
        </w:rPr>
      </w:r>
      <w:r>
        <w:rPr>
          <w:spacing w:val="-1"/>
        </w:rPr>
        <w:t>包含审计意见的审计报告。合理保证是高水平的保证，但并不能保证按照审计准则执行的审计在</w:t>
      </w:r>
      <w:r>
        <w:rPr>
          <w:spacing w:val="-55"/>
        </w:rPr>
        <w:t> </w:t>
      </w:r>
      <w:r>
        <w:rPr>
          <w:spacing w:val="-55"/>
        </w:rPr>
      </w:r>
      <w:r>
        <w:rPr>
          <w:spacing w:val="-1"/>
        </w:rPr>
        <w:t>某一重大错报存在时总能发现。错报可能由于舞弊或错误导致，如果合理预期错报单独或汇总起</w:t>
      </w:r>
      <w:r>
        <w:rPr>
          <w:spacing w:val="-55"/>
        </w:rPr>
        <w:t> </w:t>
      </w:r>
      <w:r>
        <w:rPr>
          <w:spacing w:val="-55"/>
        </w:rPr>
      </w:r>
      <w:r>
        <w:rPr/>
        <w:t>来可能影响财务报表使用者依据财务报表作出的经济决策，则通常认为错报是重大的。</w:t>
      </w:r>
    </w:p>
    <w:p>
      <w:pPr>
        <w:spacing w:line="240" w:lineRule="auto" w:before="9"/>
        <w:rPr>
          <w:rFonts w:ascii="宋体" w:hAnsi="宋体" w:cs="宋体" w:eastAsia="宋体" w:hint="default"/>
          <w:sz w:val="20"/>
          <w:szCs w:val="20"/>
        </w:rPr>
      </w:pPr>
    </w:p>
    <w:p>
      <w:pPr>
        <w:pStyle w:val="BodyText"/>
        <w:spacing w:line="240" w:lineRule="auto"/>
        <w:ind w:right="208"/>
        <w:jc w:val="both"/>
      </w:pPr>
      <w:r>
        <w:rPr>
          <w:spacing w:val="-1"/>
        </w:rPr>
        <w:t>在按照审计准则执行审计工作的过程中，我们运用职业判断，并保持职业怀疑。同时，我们也执</w:t>
      </w:r>
      <w:r>
        <w:rPr>
          <w:spacing w:val="-55"/>
        </w:rPr>
        <w:t> </w:t>
      </w:r>
      <w:r>
        <w:rPr>
          <w:spacing w:val="-55"/>
        </w:rPr>
      </w:r>
      <w:r>
        <w:rPr/>
        <w:t>行以下工作：</w:t>
      </w:r>
    </w:p>
    <w:p>
      <w:pPr>
        <w:spacing w:line="240" w:lineRule="auto" w:before="10"/>
        <w:rPr>
          <w:rFonts w:ascii="宋体" w:hAnsi="宋体" w:cs="宋体" w:eastAsia="宋体" w:hint="default"/>
          <w:sz w:val="22"/>
          <w:szCs w:val="22"/>
        </w:rPr>
      </w:pPr>
    </w:p>
    <w:p>
      <w:pPr>
        <w:pStyle w:val="BodyText"/>
        <w:spacing w:line="272" w:lineRule="exact"/>
        <w:ind w:right="208"/>
        <w:jc w:val="both"/>
      </w:pPr>
      <w:r>
        <w:rPr/>
        <w:t>（</w:t>
      </w:r>
      <w:r>
        <w:rPr>
          <w:rFonts w:ascii="宋体" w:hAnsi="宋体" w:cs="宋体" w:eastAsia="宋体" w:hint="default"/>
        </w:rPr>
        <w:t>1</w:t>
      </w:r>
      <w:r>
        <w:rPr/>
        <w:t>）</w:t>
      </w:r>
      <w:r>
        <w:rPr>
          <w:spacing w:val="2"/>
        </w:rPr>
        <w:t> </w:t>
      </w:r>
      <w:r>
        <w:rPr/>
        <w:t>识别和评估由于舞弊或错误导致的财务报表重大错报风险，设计和实施审计程序以应对</w:t>
      </w:r>
      <w:r>
        <w:rPr>
          <w:spacing w:val="-3"/>
          <w:w w:val="100"/>
        </w:rPr>
        <w:t> </w:t>
      </w:r>
      <w:r>
        <w:rPr>
          <w:spacing w:val="-1"/>
        </w:rPr>
        <w:t>这些风险，并获取充分、适当的审计证据，作为发表审计意见的基础。由于舞弊可能涉及串通、</w:t>
      </w:r>
    </w:p>
    <w:p>
      <w:pPr>
        <w:spacing w:after="0" w:line="272" w:lineRule="exact"/>
        <w:jc w:val="both"/>
        <w:sectPr>
          <w:footerReference w:type="default" r:id="rId53"/>
          <w:pgSz w:w="11910" w:h="16840"/>
          <w:pgMar w:footer="1195" w:header="857" w:top="1320" w:bottom="1380" w:left="1580" w:right="1060"/>
        </w:sectPr>
      </w:pPr>
    </w:p>
    <w:p>
      <w:pPr>
        <w:spacing w:line="240" w:lineRule="auto" w:before="2"/>
        <w:rPr>
          <w:rFonts w:ascii="宋体" w:hAnsi="宋体" w:cs="宋体" w:eastAsia="宋体" w:hint="default"/>
          <w:sz w:val="9"/>
          <w:szCs w:val="9"/>
        </w:rPr>
      </w:pPr>
    </w:p>
    <w:p>
      <w:pPr>
        <w:pStyle w:val="BodyText"/>
        <w:spacing w:line="240" w:lineRule="auto" w:before="36"/>
        <w:ind w:left="318" w:right="208"/>
        <w:jc w:val="both"/>
      </w:pPr>
      <w:r>
        <w:rPr>
          <w:spacing w:val="-1"/>
        </w:rPr>
        <w:t>伪造、故意遗漏、虚假陈述或凌驾于内部控制之上，未能发现由于舞弊导致的重大错报的风险高</w:t>
      </w:r>
      <w:r>
        <w:rPr>
          <w:spacing w:val="-55"/>
        </w:rPr>
        <w:t> </w:t>
      </w:r>
      <w:r>
        <w:rPr>
          <w:spacing w:val="-55"/>
        </w:rPr>
      </w:r>
      <w:r>
        <w:rPr/>
        <w:t>于未能发现由于错误导致的重大错报的风险。</w:t>
      </w:r>
    </w:p>
    <w:p>
      <w:pPr>
        <w:pStyle w:val="BodyText"/>
        <w:spacing w:line="274" w:lineRule="exact" w:before="22"/>
        <w:ind w:left="318" w:right="211"/>
        <w:jc w:val="both"/>
      </w:pPr>
      <w:r>
        <w:rPr/>
        <w:t>（</w:t>
      </w:r>
      <w:r>
        <w:rPr>
          <w:rFonts w:ascii="宋体" w:hAnsi="宋体" w:cs="宋体" w:eastAsia="宋体" w:hint="default"/>
        </w:rPr>
        <w:t>2</w:t>
      </w:r>
      <w:r>
        <w:rPr/>
        <w:t>）</w:t>
      </w:r>
      <w:r>
        <w:rPr>
          <w:spacing w:val="5"/>
        </w:rPr>
        <w:t> </w:t>
      </w:r>
      <w:r>
        <w:rPr/>
        <w:t>了解与审计相关的内部控制，以设计恰当的审计程序，但目的并非对内部控制的有效性</w:t>
      </w:r>
      <w:r>
        <w:rPr>
          <w:w w:val="100"/>
        </w:rPr>
        <w:t> </w:t>
      </w:r>
      <w:r>
        <w:rPr/>
        <w:t>发表意见。</w:t>
      </w:r>
    </w:p>
    <w:p>
      <w:pPr>
        <w:pStyle w:val="BodyText"/>
        <w:spacing w:line="245" w:lineRule="exact"/>
        <w:ind w:left="318" w:right="0"/>
        <w:jc w:val="both"/>
      </w:pPr>
      <w:r>
        <w:rPr/>
        <w:t>（</w:t>
      </w:r>
      <w:r>
        <w:rPr>
          <w:rFonts w:ascii="宋体" w:hAnsi="宋体" w:cs="宋体" w:eastAsia="宋体" w:hint="default"/>
        </w:rPr>
        <w:t>3</w:t>
      </w:r>
      <w:r>
        <w:rPr/>
        <w:t>） </w:t>
      </w:r>
      <w:r>
        <w:rPr>
          <w:spacing w:val="100"/>
        </w:rPr>
        <w:t> </w:t>
      </w:r>
      <w:r>
        <w:rPr/>
        <w:t>评价管理层选用会计政策的恰当性和作出会计估计及相关披露的合理性。</w:t>
      </w:r>
    </w:p>
    <w:p>
      <w:pPr>
        <w:pStyle w:val="BodyText"/>
        <w:spacing w:line="237" w:lineRule="auto" w:before="2"/>
        <w:ind w:left="318" w:right="208"/>
        <w:jc w:val="both"/>
      </w:pPr>
      <w:r>
        <w:rPr/>
        <w:t>（</w:t>
      </w:r>
      <w:r>
        <w:rPr>
          <w:rFonts w:ascii="宋体" w:hAnsi="宋体" w:cs="宋体" w:eastAsia="宋体" w:hint="default"/>
        </w:rPr>
        <w:t>4</w:t>
      </w:r>
      <w:r>
        <w:rPr/>
        <w:t>）</w:t>
      </w:r>
      <w:r>
        <w:rPr>
          <w:spacing w:val="5"/>
        </w:rPr>
        <w:t> </w:t>
      </w:r>
      <w:r>
        <w:rPr/>
        <w:t>对管理层使用持续经营假设的恰当性得出结论。同时，根据获取的审计证据，就可能导</w:t>
      </w:r>
      <w:r>
        <w:rPr>
          <w:w w:val="100"/>
        </w:rPr>
        <w:t> </w:t>
      </w:r>
      <w:r>
        <w:rPr>
          <w:spacing w:val="-1"/>
        </w:rPr>
        <w:t>致对用友网络科技股份有限公司持续经营能力产生重大疑虑的事项或情况是否存在重大不确定性</w:t>
      </w:r>
      <w:r>
        <w:rPr>
          <w:spacing w:val="-55"/>
        </w:rPr>
        <w:t> </w:t>
      </w:r>
      <w:r>
        <w:rPr>
          <w:spacing w:val="-55"/>
        </w:rPr>
      </w:r>
      <w:r>
        <w:rPr>
          <w:spacing w:val="-1"/>
        </w:rPr>
        <w:t>得出结论。如果我们得出结论认为存在重大不确定性，审计准则要求我们在审计报告中提请报表</w:t>
      </w:r>
      <w:r>
        <w:rPr>
          <w:spacing w:val="-55"/>
        </w:rPr>
        <w:t> </w:t>
      </w:r>
      <w:r>
        <w:rPr>
          <w:spacing w:val="-55"/>
        </w:rPr>
      </w:r>
      <w:r>
        <w:rPr>
          <w:spacing w:val="-1"/>
        </w:rPr>
        <w:t>使用者注意财务报表中的相关披露；如果披露不充分，我们应当发表非无保留意见。我们的结论</w:t>
      </w:r>
      <w:r>
        <w:rPr>
          <w:spacing w:val="-55"/>
        </w:rPr>
        <w:t> </w:t>
      </w:r>
      <w:r>
        <w:rPr>
          <w:spacing w:val="-55"/>
        </w:rPr>
      </w:r>
      <w:r>
        <w:rPr>
          <w:spacing w:val="-1"/>
        </w:rPr>
        <w:t>基于截至审计报告日可获得的信息。然而，未来的事项或情况可能导致用友网络科技股份有限公</w:t>
      </w:r>
      <w:r>
        <w:rPr>
          <w:spacing w:val="-55"/>
        </w:rPr>
        <w:t> </w:t>
      </w:r>
      <w:r>
        <w:rPr>
          <w:spacing w:val="-55"/>
        </w:rPr>
      </w:r>
      <w:r>
        <w:rPr/>
        <w:t>司不能持续经营。</w:t>
      </w:r>
    </w:p>
    <w:p>
      <w:pPr>
        <w:pStyle w:val="BodyText"/>
        <w:spacing w:line="272" w:lineRule="exact" w:before="26"/>
        <w:ind w:left="318" w:right="208"/>
        <w:jc w:val="both"/>
      </w:pPr>
      <w:r>
        <w:rPr/>
        <w:t>（</w:t>
      </w:r>
      <w:r>
        <w:rPr>
          <w:rFonts w:ascii="宋体" w:hAnsi="宋体" w:cs="宋体" w:eastAsia="宋体" w:hint="default"/>
        </w:rPr>
        <w:t>5</w:t>
      </w:r>
      <w:r>
        <w:rPr/>
        <w:t>）</w:t>
      </w:r>
      <w:r>
        <w:rPr>
          <w:spacing w:val="6"/>
        </w:rPr>
        <w:t> </w:t>
      </w:r>
      <w:r>
        <w:rPr/>
        <w:t>评价财务报表的总体列报、结构和内容（包括披露），并评价财务报表是否公允反映相</w:t>
      </w:r>
      <w:r>
        <w:rPr>
          <w:w w:val="100"/>
        </w:rPr>
        <w:t> </w:t>
      </w:r>
      <w:r>
        <w:rPr/>
        <w:t>关交易和事项。</w:t>
      </w:r>
    </w:p>
    <w:p>
      <w:pPr>
        <w:spacing w:line="240" w:lineRule="auto" w:before="10"/>
        <w:rPr>
          <w:rFonts w:ascii="宋体" w:hAnsi="宋体" w:cs="宋体" w:eastAsia="宋体" w:hint="default"/>
          <w:sz w:val="18"/>
          <w:szCs w:val="18"/>
        </w:rPr>
      </w:pPr>
    </w:p>
    <w:p>
      <w:pPr>
        <w:pStyle w:val="BodyText"/>
        <w:spacing w:line="240" w:lineRule="auto"/>
        <w:ind w:left="318" w:right="208"/>
        <w:jc w:val="both"/>
      </w:pPr>
      <w:r>
        <w:rPr>
          <w:spacing w:val="-1"/>
        </w:rPr>
        <w:t>在按照审计准则执行审计工作的过程中，我们运用职业判断，并保持职业怀疑。同时，我们也执</w:t>
      </w:r>
      <w:r>
        <w:rPr>
          <w:spacing w:val="-55"/>
        </w:rPr>
        <w:t> </w:t>
      </w:r>
      <w:r>
        <w:rPr>
          <w:spacing w:val="-55"/>
        </w:rPr>
      </w:r>
      <w:r>
        <w:rPr/>
        <w:t>行以下工作</w:t>
      </w:r>
      <w:r>
        <w:rPr>
          <w:rFonts w:ascii="宋体" w:hAnsi="宋体" w:cs="宋体" w:eastAsia="宋体" w:hint="default"/>
        </w:rPr>
        <w:t>(</w:t>
      </w:r>
      <w:r>
        <w:rPr/>
        <w:t>续</w:t>
      </w:r>
      <w:r>
        <w:rPr>
          <w:rFonts w:ascii="宋体" w:hAnsi="宋体" w:cs="宋体" w:eastAsia="宋体" w:hint="default"/>
        </w:rPr>
        <w:t>)</w:t>
      </w:r>
      <w:r>
        <w:rPr/>
        <w:t>：</w:t>
      </w:r>
    </w:p>
    <w:p>
      <w:pPr>
        <w:spacing w:line="240" w:lineRule="auto" w:before="10"/>
        <w:rPr>
          <w:rFonts w:ascii="宋体" w:hAnsi="宋体" w:cs="宋体" w:eastAsia="宋体" w:hint="default"/>
          <w:sz w:val="22"/>
          <w:szCs w:val="22"/>
        </w:rPr>
      </w:pPr>
    </w:p>
    <w:p>
      <w:pPr>
        <w:pStyle w:val="BodyText"/>
        <w:tabs>
          <w:tab w:pos="1157" w:val="left" w:leader="none"/>
        </w:tabs>
        <w:spacing w:line="272" w:lineRule="exact"/>
        <w:ind w:left="318" w:right="102"/>
        <w:jc w:val="left"/>
      </w:pPr>
      <w:r>
        <w:rPr>
          <w:spacing w:val="-1"/>
          <w:w w:val="100"/>
        </w:rPr>
        <w:t>（</w:t>
      </w:r>
      <w:r>
        <w:rPr>
          <w:rFonts w:ascii="宋体" w:hAnsi="宋体" w:cs="宋体" w:eastAsia="宋体" w:hint="default"/>
          <w:spacing w:val="-1"/>
          <w:w w:val="100"/>
        </w:rPr>
        <w:t>6</w:t>
      </w:r>
      <w:r>
        <w:rPr>
          <w:spacing w:val="-1"/>
          <w:w w:val="100"/>
        </w:rPr>
        <w:t>）</w:t>
        <w:tab/>
      </w:r>
      <w:r>
        <w:rPr>
          <w:spacing w:val="-4"/>
          <w:w w:val="100"/>
        </w:rPr>
        <w:t>就用友网络科技股份有限公司中实体或业务活动的财务信息获取充分、适当的审计证据，</w:t>
      </w:r>
      <w:r>
        <w:rPr>
          <w:spacing w:val="-96"/>
          <w:w w:val="100"/>
        </w:rPr>
        <w:t> </w:t>
      </w:r>
      <w:r>
        <w:rPr>
          <w:spacing w:val="-96"/>
          <w:w w:val="100"/>
        </w:rPr>
      </w:r>
      <w:r>
        <w:rPr>
          <w:spacing w:val="-7"/>
        </w:rPr>
        <w:t>以对财务报表发表审计意见。我们负责指导、监督和执行集团审计，并对审计意见承担全部责任。</w:t>
      </w:r>
    </w:p>
    <w:p>
      <w:pPr>
        <w:spacing w:line="240" w:lineRule="auto" w:before="11"/>
        <w:rPr>
          <w:rFonts w:ascii="宋体" w:hAnsi="宋体" w:cs="宋体" w:eastAsia="宋体" w:hint="default"/>
          <w:sz w:val="20"/>
          <w:szCs w:val="20"/>
        </w:rPr>
      </w:pPr>
    </w:p>
    <w:p>
      <w:pPr>
        <w:pStyle w:val="BodyText"/>
        <w:spacing w:line="272" w:lineRule="exact"/>
        <w:ind w:left="318" w:right="208"/>
        <w:jc w:val="both"/>
      </w:pPr>
      <w:r>
        <w:rPr>
          <w:spacing w:val="-1"/>
        </w:rPr>
        <w:t>我们与治理层就计划的审计范围、时间安排和重大审计发现等事项进行沟通，包括沟通我们在审</w:t>
      </w:r>
      <w:r>
        <w:rPr>
          <w:spacing w:val="-55"/>
        </w:rPr>
        <w:t> </w:t>
      </w:r>
      <w:r>
        <w:rPr>
          <w:spacing w:val="-55"/>
        </w:rPr>
      </w:r>
      <w:r>
        <w:rPr/>
        <w:t>计中识别出的值得关注的内部控制缺陷。</w:t>
      </w:r>
    </w:p>
    <w:p>
      <w:pPr>
        <w:spacing w:line="240" w:lineRule="auto" w:before="10"/>
        <w:rPr>
          <w:rFonts w:ascii="宋体" w:hAnsi="宋体" w:cs="宋体" w:eastAsia="宋体" w:hint="default"/>
          <w:sz w:val="18"/>
          <w:szCs w:val="18"/>
        </w:rPr>
      </w:pPr>
    </w:p>
    <w:p>
      <w:pPr>
        <w:pStyle w:val="BodyText"/>
        <w:spacing w:line="240" w:lineRule="auto"/>
        <w:ind w:left="318" w:right="208"/>
        <w:jc w:val="both"/>
      </w:pPr>
      <w:r>
        <w:rPr>
          <w:spacing w:val="-1"/>
        </w:rPr>
        <w:t>我们还就已遵守与独立性相关的职业道德要求向治理层提供声明，并与治理层沟通可能被合理认</w:t>
      </w:r>
      <w:r>
        <w:rPr>
          <w:spacing w:val="-55"/>
        </w:rPr>
        <w:t> </w:t>
      </w:r>
      <w:r>
        <w:rPr>
          <w:spacing w:val="-55"/>
        </w:rPr>
      </w:r>
      <w:r>
        <w:rPr/>
        <w:t>为影响我们独立性的所有关系和其他事项，以及相关的防范措施（如适用）。</w:t>
      </w:r>
    </w:p>
    <w:p>
      <w:pPr>
        <w:spacing w:line="240" w:lineRule="auto" w:before="11"/>
        <w:rPr>
          <w:rFonts w:ascii="宋体" w:hAnsi="宋体" w:cs="宋体" w:eastAsia="宋体" w:hint="default"/>
          <w:sz w:val="20"/>
          <w:szCs w:val="20"/>
        </w:rPr>
      </w:pPr>
    </w:p>
    <w:p>
      <w:pPr>
        <w:pStyle w:val="BodyText"/>
        <w:spacing w:line="237" w:lineRule="auto"/>
        <w:ind w:left="318" w:right="208"/>
        <w:jc w:val="both"/>
      </w:pPr>
      <w:r>
        <w:rPr>
          <w:spacing w:val="-1"/>
        </w:rPr>
        <w:t>从与治理层沟通过的事项中，我们确定哪些事项对本期财务报表审计最为重要，因而构成关键审</w:t>
      </w:r>
      <w:r>
        <w:rPr>
          <w:spacing w:val="-55"/>
        </w:rPr>
        <w:t> </w:t>
      </w:r>
      <w:r>
        <w:rPr>
          <w:spacing w:val="-55"/>
        </w:rPr>
      </w:r>
      <w:r>
        <w:rPr>
          <w:spacing w:val="-1"/>
        </w:rPr>
        <w:t>计事项。我们在审计报告中描述这些事项，除非法律法规禁止公开披露这些事项，或在极少数情</w:t>
      </w:r>
      <w:r>
        <w:rPr>
          <w:spacing w:val="-55"/>
        </w:rPr>
        <w:t> </w:t>
      </w:r>
      <w:r>
        <w:rPr>
          <w:spacing w:val="-55"/>
        </w:rPr>
      </w:r>
      <w:r>
        <w:rPr>
          <w:spacing w:val="-1"/>
        </w:rPr>
        <w:t>形下，如果合理预期在审计报告中沟通某事项造成的负面后果超过在公众利益方面产生的益处，</w:t>
      </w:r>
      <w:r>
        <w:rPr>
          <w:spacing w:val="-55"/>
        </w:rPr>
        <w:t> </w:t>
      </w:r>
      <w:r>
        <w:rPr>
          <w:spacing w:val="-55"/>
        </w:rPr>
      </w:r>
      <w:r>
        <w:rPr/>
        <w:t>我们确定不应在审计报告中沟通该事项。</w:t>
      </w:r>
    </w:p>
    <w:p>
      <w:pPr>
        <w:spacing w:line="240" w:lineRule="auto" w:before="7"/>
        <w:rPr>
          <w:rFonts w:ascii="宋体" w:hAnsi="宋体" w:cs="宋体" w:eastAsia="宋体" w:hint="default"/>
          <w:sz w:val="25"/>
          <w:szCs w:val="25"/>
        </w:rPr>
      </w:pPr>
    </w:p>
    <w:tbl>
      <w:tblPr>
        <w:tblW w:w="0" w:type="auto"/>
        <w:jc w:val="left"/>
        <w:tblInd w:w="118" w:type="dxa"/>
        <w:tblLayout w:type="fixed"/>
        <w:tblCellMar>
          <w:top w:w="0" w:type="dxa"/>
          <w:left w:w="0" w:type="dxa"/>
          <w:bottom w:w="0" w:type="dxa"/>
          <w:right w:w="0" w:type="dxa"/>
        </w:tblCellMar>
        <w:tblLook w:val="01E0"/>
      </w:tblPr>
      <w:tblGrid>
        <w:gridCol w:w="4432"/>
        <w:gridCol w:w="2960"/>
      </w:tblGrid>
      <w:tr>
        <w:trPr>
          <w:trHeight w:val="1060" w:hRule="exact"/>
        </w:trPr>
        <w:tc>
          <w:tcPr>
            <w:tcW w:w="4432" w:type="dxa"/>
            <w:tcBorders>
              <w:top w:val="nil" w:sz="6" w:space="0" w:color="auto"/>
              <w:left w:val="nil" w:sz="6" w:space="0" w:color="auto"/>
              <w:bottom w:val="nil" w:sz="6" w:space="0" w:color="auto"/>
              <w:right w:val="nil" w:sz="6" w:space="0" w:color="auto"/>
            </w:tcBorders>
          </w:tcPr>
          <w:p>
            <w:pPr>
              <w:pStyle w:val="TableParagraph"/>
              <w:spacing w:line="211" w:lineRule="exact"/>
              <w:ind w:left="200" w:right="0"/>
              <w:jc w:val="left"/>
              <w:rPr>
                <w:rFonts w:ascii="宋体" w:hAnsi="宋体" w:cs="宋体" w:eastAsia="宋体" w:hint="default"/>
                <w:sz w:val="21"/>
                <w:szCs w:val="21"/>
              </w:rPr>
            </w:pPr>
            <w:r>
              <w:rPr>
                <w:rFonts w:ascii="宋体" w:hAnsi="宋体" w:cs="宋体" w:eastAsia="宋体" w:hint="default"/>
                <w:sz w:val="21"/>
                <w:szCs w:val="21"/>
              </w:rPr>
              <w:t>安永华明会计师事务所（特殊普通合伙）</w:t>
            </w:r>
          </w:p>
        </w:tc>
        <w:tc>
          <w:tcPr>
            <w:tcW w:w="2960" w:type="dxa"/>
            <w:tcBorders>
              <w:top w:val="nil" w:sz="6" w:space="0" w:color="auto"/>
              <w:left w:val="nil" w:sz="6" w:space="0" w:color="auto"/>
              <w:bottom w:val="nil" w:sz="6" w:space="0" w:color="auto"/>
              <w:right w:val="nil" w:sz="6" w:space="0" w:color="auto"/>
            </w:tcBorders>
          </w:tcPr>
          <w:p>
            <w:pPr>
              <w:pStyle w:val="TableParagraph"/>
              <w:tabs>
                <w:tab w:pos="2548" w:val="left" w:leader="none"/>
              </w:tabs>
              <w:spacing w:line="210" w:lineRule="exact"/>
              <w:ind w:left="446" w:right="0"/>
              <w:jc w:val="left"/>
              <w:rPr>
                <w:rFonts w:ascii="宋体" w:hAnsi="宋体" w:cs="宋体" w:eastAsia="宋体" w:hint="default"/>
                <w:sz w:val="21"/>
                <w:szCs w:val="21"/>
              </w:rPr>
            </w:pPr>
            <w:r>
              <w:rPr>
                <w:rFonts w:ascii="宋体" w:hAnsi="宋体" w:cs="宋体" w:eastAsia="宋体" w:hint="default"/>
                <w:spacing w:val="-1"/>
                <w:sz w:val="21"/>
                <w:szCs w:val="21"/>
              </w:rPr>
              <w:t>中国注册会计师：林</w:t>
              <w:tab/>
            </w:r>
            <w:r>
              <w:rPr>
                <w:rFonts w:ascii="宋体" w:hAnsi="宋体" w:cs="宋体" w:eastAsia="宋体" w:hint="default"/>
                <w:sz w:val="21"/>
                <w:szCs w:val="21"/>
              </w:rPr>
              <w:t>扬</w:t>
            </w:r>
          </w:p>
          <w:p>
            <w:pPr>
              <w:pStyle w:val="TableParagraph"/>
              <w:spacing w:line="274" w:lineRule="exact"/>
              <w:ind w:left="446" w:right="0"/>
              <w:jc w:val="left"/>
              <w:rPr>
                <w:rFonts w:ascii="宋体" w:hAnsi="宋体" w:cs="宋体" w:eastAsia="宋体" w:hint="default"/>
                <w:sz w:val="21"/>
                <w:szCs w:val="21"/>
              </w:rPr>
            </w:pPr>
            <w:r>
              <w:rPr>
                <w:rFonts w:ascii="宋体" w:hAnsi="宋体" w:cs="宋体" w:eastAsia="宋体" w:hint="default"/>
                <w:sz w:val="21"/>
                <w:szCs w:val="21"/>
              </w:rPr>
              <w:t>（项目合伙人）</w:t>
            </w:r>
          </w:p>
        </w:tc>
      </w:tr>
      <w:tr>
        <w:trPr>
          <w:trHeight w:val="1089" w:hRule="exact"/>
        </w:trPr>
        <w:tc>
          <w:tcPr>
            <w:tcW w:w="4432" w:type="dxa"/>
            <w:tcBorders>
              <w:top w:val="nil" w:sz="6" w:space="0" w:color="auto"/>
              <w:left w:val="nil" w:sz="6" w:space="0" w:color="auto"/>
              <w:bottom w:val="nil" w:sz="6" w:space="0" w:color="auto"/>
              <w:right w:val="nil" w:sz="6" w:space="0" w:color="auto"/>
            </w:tcBorders>
          </w:tcPr>
          <w:p>
            <w:pPr/>
          </w:p>
        </w:tc>
        <w:tc>
          <w:tcPr>
            <w:tcW w:w="296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46" w:right="0"/>
              <w:jc w:val="left"/>
              <w:rPr>
                <w:rFonts w:ascii="宋体" w:hAnsi="宋体" w:cs="宋体" w:eastAsia="宋体" w:hint="default"/>
                <w:sz w:val="21"/>
                <w:szCs w:val="21"/>
              </w:rPr>
            </w:pPr>
            <w:r>
              <w:rPr>
                <w:rFonts w:ascii="宋体" w:hAnsi="宋体" w:cs="宋体" w:eastAsia="宋体" w:hint="default"/>
                <w:sz w:val="21"/>
                <w:szCs w:val="21"/>
              </w:rPr>
              <w:t>中国注册会计师：张苏苏</w:t>
            </w:r>
          </w:p>
        </w:tc>
      </w:tr>
      <w:tr>
        <w:trPr>
          <w:trHeight w:val="514" w:hRule="exact"/>
        </w:trPr>
        <w:tc>
          <w:tcPr>
            <w:tcW w:w="443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tabs>
                <w:tab w:pos="831" w:val="left" w:leader="none"/>
              </w:tabs>
              <w:spacing w:line="240" w:lineRule="auto"/>
              <w:ind w:left="200" w:right="0"/>
              <w:jc w:val="left"/>
              <w:rPr>
                <w:rFonts w:ascii="宋体" w:hAnsi="宋体" w:cs="宋体" w:eastAsia="宋体" w:hint="default"/>
                <w:sz w:val="21"/>
                <w:szCs w:val="21"/>
              </w:rPr>
            </w:pPr>
            <w:r>
              <w:rPr>
                <w:rFonts w:ascii="宋体" w:hAnsi="宋体" w:cs="宋体" w:eastAsia="宋体" w:hint="default"/>
                <w:sz w:val="21"/>
                <w:szCs w:val="21"/>
              </w:rPr>
              <w:t>中国</w:t>
              <w:tab/>
              <w:t>北京</w:t>
            </w:r>
          </w:p>
        </w:tc>
        <w:tc>
          <w:tcPr>
            <w:tcW w:w="296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446"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23</w:t>
            </w:r>
            <w:r>
              <w:rPr>
                <w:rFonts w:ascii="宋体" w:hAnsi="宋体" w:cs="宋体" w:eastAsia="宋体" w:hint="default"/>
                <w:spacing w:val="-54"/>
                <w:sz w:val="21"/>
                <w:szCs w:val="21"/>
              </w:rPr>
              <w:t> </w:t>
            </w:r>
            <w:r>
              <w:rPr>
                <w:rFonts w:ascii="宋体" w:hAnsi="宋体" w:cs="宋体" w:eastAsia="宋体" w:hint="default"/>
                <w:sz w:val="21"/>
                <w:szCs w:val="21"/>
              </w:rPr>
              <w:t>日</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footerReference w:type="default" r:id="rId54"/>
          <w:pgSz w:w="11910" w:h="16840"/>
          <w:pgMar w:footer="1195" w:header="857" w:top="1320" w:bottom="1380" w:left="1480" w:right="1060"/>
          <w:pgNumType w:start="81"/>
        </w:sectPr>
      </w:pPr>
    </w:p>
    <w:p>
      <w:pPr>
        <w:spacing w:line="240" w:lineRule="auto" w:before="5"/>
        <w:rPr>
          <w:rFonts w:ascii="宋体" w:hAnsi="宋体" w:cs="宋体" w:eastAsia="宋体" w:hint="default"/>
          <w:sz w:val="16"/>
          <w:szCs w:val="16"/>
        </w:rPr>
      </w:pPr>
    </w:p>
    <w:p>
      <w:pPr>
        <w:pStyle w:val="Heading3"/>
        <w:spacing w:line="240" w:lineRule="auto"/>
        <w:ind w:left="318" w:right="-16"/>
        <w:jc w:val="left"/>
        <w:rPr>
          <w:b w:val="0"/>
          <w:bCs w:val="0"/>
        </w:rPr>
      </w:pPr>
      <w:r>
        <w:rPr/>
        <w:t>二、财务报表</w:t>
      </w:r>
      <w:r>
        <w:rPr>
          <w:b w:val="0"/>
          <w:bCs w:val="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13"/>
        <w:rPr>
          <w:rFonts w:ascii="宋体" w:hAnsi="宋体" w:cs="宋体" w:eastAsia="宋体" w:hint="default"/>
          <w:b/>
          <w:bCs/>
          <w:sz w:val="23"/>
          <w:szCs w:val="23"/>
        </w:rPr>
      </w:pPr>
    </w:p>
    <w:p>
      <w:pPr>
        <w:spacing w:line="272" w:lineRule="exact" w:before="0"/>
        <w:ind w:left="318" w:right="3747" w:firstLine="127"/>
        <w:jc w:val="left"/>
        <w:rPr>
          <w:rFonts w:ascii="宋体" w:hAnsi="宋体" w:cs="宋体" w:eastAsia="宋体" w:hint="default"/>
          <w:sz w:val="21"/>
          <w:szCs w:val="21"/>
        </w:rPr>
      </w:pPr>
      <w:r>
        <w:rPr>
          <w:rFonts w:ascii="宋体" w:hAnsi="宋体" w:cs="宋体" w:eastAsia="宋体" w:hint="default"/>
          <w:b/>
          <w:bCs/>
          <w:sz w:val="21"/>
          <w:szCs w:val="21"/>
        </w:rPr>
        <w:t>合并资产负债表</w:t>
      </w:r>
      <w:r>
        <w:rPr>
          <w:rFonts w:ascii="宋体" w:hAnsi="宋体" w:cs="宋体" w:eastAsia="宋体" w:hint="default"/>
          <w:b/>
          <w:bCs/>
          <w:w w:val="100"/>
          <w:sz w:val="21"/>
          <w:szCs w:val="21"/>
        </w:rPr>
        <w:t> </w:t>
      </w: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2"/>
          <w:sz w:val="21"/>
          <w:szCs w:val="21"/>
        </w:rPr>
        <w:t> </w:t>
      </w:r>
      <w:r>
        <w:rPr>
          <w:rFonts w:ascii="宋体" w:hAnsi="宋体" w:cs="宋体" w:eastAsia="宋体" w:hint="default"/>
          <w:sz w:val="21"/>
          <w:szCs w:val="21"/>
        </w:rPr>
        <w:t>日</w:t>
      </w:r>
    </w:p>
    <w:p>
      <w:pPr>
        <w:spacing w:after="0" w:line="272" w:lineRule="exact"/>
        <w:jc w:val="left"/>
        <w:rPr>
          <w:rFonts w:ascii="宋体" w:hAnsi="宋体" w:cs="宋体" w:eastAsia="宋体" w:hint="default"/>
          <w:sz w:val="21"/>
          <w:szCs w:val="21"/>
        </w:rPr>
        <w:sectPr>
          <w:type w:val="continuous"/>
          <w:pgSz w:w="11910" w:h="16840"/>
          <w:pgMar w:top="1320" w:bottom="1380" w:left="1480" w:right="1060"/>
          <w:cols w:num="2" w:equalWidth="0">
            <w:col w:w="1588" w:space="1962"/>
            <w:col w:w="5820"/>
          </w:cols>
        </w:sectPr>
      </w:pPr>
    </w:p>
    <w:p>
      <w:pPr>
        <w:pStyle w:val="BodyText"/>
        <w:spacing w:line="249" w:lineRule="exact"/>
        <w:ind w:left="318" w:right="0"/>
        <w:jc w:val="left"/>
      </w:pPr>
      <w:r>
        <w:rPr/>
        <w:t>编制单位</w:t>
      </w:r>
      <w:r>
        <w:rPr>
          <w:rFonts w:ascii="宋体" w:hAnsi="宋体" w:cs="宋体" w:eastAsia="宋体" w:hint="default"/>
        </w:rPr>
        <w:t>:</w:t>
      </w:r>
      <w:r>
        <w:rPr>
          <w:rFonts w:ascii="宋体" w:hAnsi="宋体" w:cs="宋体" w:eastAsia="宋体" w:hint="default"/>
          <w:spacing w:val="-2"/>
        </w:rPr>
        <w:t> </w:t>
      </w:r>
      <w:r>
        <w:rPr/>
        <w:t>用友网络科技股份有限公司</w:t>
      </w:r>
    </w:p>
    <w:p>
      <w:pPr>
        <w:spacing w:after="0" w:line="249" w:lineRule="exact"/>
        <w:jc w:val="left"/>
        <w:sectPr>
          <w:type w:val="continuous"/>
          <w:pgSz w:w="11910" w:h="16840"/>
          <w:pgMar w:top="1320" w:bottom="1380" w:left="1480" w:right="1060"/>
        </w:sectPr>
      </w:pPr>
    </w:p>
    <w:p>
      <w:pPr>
        <w:spacing w:line="240" w:lineRule="auto" w:before="2"/>
        <w:rPr>
          <w:rFonts w:ascii="宋体" w:hAnsi="宋体" w:cs="宋体" w:eastAsia="宋体" w:hint="default"/>
          <w:sz w:val="9"/>
          <w:szCs w:val="9"/>
        </w:rPr>
      </w:pPr>
    </w:p>
    <w:p>
      <w:pPr>
        <w:pStyle w:val="BodyText"/>
        <w:tabs>
          <w:tab w:pos="946" w:val="left" w:leader="none"/>
        </w:tabs>
        <w:spacing w:line="240" w:lineRule="auto" w:before="36"/>
        <w:ind w:left="0" w:right="230"/>
        <w:jc w:val="right"/>
      </w:pPr>
      <w:r>
        <w:rPr>
          <w:spacing w:val="-1"/>
        </w:rPr>
        <w:t>单位</w:t>
      </w:r>
      <w:r>
        <w:rPr>
          <w:rFonts w:ascii="宋体" w:hAnsi="宋体" w:cs="宋体" w:eastAsia="宋体" w:hint="default"/>
          <w:spacing w:val="-1"/>
        </w:rPr>
        <w:t>:</w:t>
      </w:r>
      <w:r>
        <w:rPr>
          <w:spacing w:val="-1"/>
        </w:rPr>
        <w:t>元</w:t>
        <w:tab/>
        <w:t>币种</w:t>
      </w:r>
      <w:r>
        <w:rPr>
          <w:rFonts w:ascii="宋体" w:hAnsi="宋体" w:cs="宋体" w:eastAsia="宋体" w:hint="default"/>
          <w:spacing w:val="-1"/>
        </w:rPr>
        <w:t>:</w:t>
      </w:r>
      <w:r>
        <w:rPr>
          <w:spacing w:val="-1"/>
        </w:rPr>
        <w:t>人民币</w:t>
      </w:r>
    </w:p>
    <w:p>
      <w:pPr>
        <w:spacing w:line="240" w:lineRule="auto" w:before="7"/>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3651"/>
        <w:gridCol w:w="1433"/>
        <w:gridCol w:w="2038"/>
        <w:gridCol w:w="1928"/>
      </w:tblGrid>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87"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33"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5399" w:type="dxa"/>
            <w:gridSpan w:val="3"/>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1</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4,022,148,465</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4,545,989,288</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结算备付金</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拆出资金</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311" w:right="0"/>
              <w:jc w:val="left"/>
              <w:rPr>
                <w:rFonts w:ascii="宋体" w:hAnsi="宋体" w:cs="宋体" w:eastAsia="宋体" w:hint="default"/>
                <w:sz w:val="21"/>
                <w:szCs w:val="21"/>
              </w:rPr>
            </w:pPr>
            <w:r>
              <w:rPr>
                <w:rFonts w:ascii="宋体" w:hAnsi="宋体" w:cs="宋体" w:eastAsia="宋体" w:hint="default"/>
                <w:sz w:val="21"/>
                <w:szCs w:val="21"/>
              </w:rPr>
              <w:t>以公允价值计量且其变动计入当期</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损益的金融资产</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衍生金融资产</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4</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123,939,211</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71,473,083</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5</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1,495,152,101</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1,608,862,312</w:t>
            </w:r>
          </w:p>
        </w:tc>
      </w:tr>
      <w:tr>
        <w:trPr>
          <w:trHeight w:val="289"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6</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57,672,699</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50,394,477</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应收保费</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应收分保账款</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应收分保合同准备金</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7</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3,643,103</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8,067,682</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9</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237,073,553</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142,758,718</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买入返售金融资产</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10</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31,837,078</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34,624,680</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持有待售资产</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一年内到期的非流动资产</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13</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1,307,828,081</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996,729,784</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流动资产合计</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7,279,294,291</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7,458,900,024</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5399" w:type="dxa"/>
            <w:gridSpan w:val="3"/>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发放贷款和垫款</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14</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764,088,138</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466,921,112</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17</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1,641,765,656</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200,331,888</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19</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2,097,774,540</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1,564,584,484</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20</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322,170,624</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613,555,733</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25</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682,307,835</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628,985,189</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26</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156,141,188</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122,529,566</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27</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975,910,098</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983,972,556</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28</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23,632,273</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18,950,687</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29</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90,894,932</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96,400,326</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非流动资产合计</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6,754,685,284</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4,696,231,541</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资产总计</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14,033,979,575</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12,155,131,565</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5399" w:type="dxa"/>
            <w:gridSpan w:val="3"/>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31</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3,450,000,000</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2,352,342,112</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向中央银行借款</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bl>
    <w:p>
      <w:pPr>
        <w:spacing w:after="0"/>
        <w:sectPr>
          <w:pgSz w:w="11910" w:h="16840"/>
          <w:pgMar w:header="857" w:footer="1195" w:top="1320" w:bottom="1380" w:left="1580" w:right="1040"/>
        </w:sectPr>
      </w:pPr>
    </w:p>
    <w:p>
      <w:pPr>
        <w:spacing w:line="240" w:lineRule="auto" w:before="6"/>
        <w:rPr>
          <w:rFonts w:ascii="Times New Roman" w:hAnsi="Times New Roman" w:cs="Times New Roman" w:eastAsia="Times New Roman" w:hint="default"/>
          <w:sz w:val="16"/>
          <w:szCs w:val="16"/>
        </w:rPr>
      </w:pPr>
    </w:p>
    <w:tbl>
      <w:tblPr>
        <w:tblW w:w="0" w:type="auto"/>
        <w:jc w:val="left"/>
        <w:tblInd w:w="102" w:type="dxa"/>
        <w:tblLayout w:type="fixed"/>
        <w:tblCellMar>
          <w:top w:w="0" w:type="dxa"/>
          <w:left w:w="0" w:type="dxa"/>
          <w:bottom w:w="0" w:type="dxa"/>
          <w:right w:w="0" w:type="dxa"/>
        </w:tblCellMar>
        <w:tblLook w:val="01E0"/>
      </w:tblPr>
      <w:tblGrid>
        <w:gridCol w:w="3651"/>
        <w:gridCol w:w="1433"/>
        <w:gridCol w:w="2038"/>
        <w:gridCol w:w="1928"/>
      </w:tblGrid>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311" w:right="0"/>
              <w:jc w:val="left"/>
              <w:rPr>
                <w:rFonts w:ascii="宋体" w:hAnsi="宋体" w:cs="宋体" w:eastAsia="宋体" w:hint="default"/>
                <w:sz w:val="21"/>
                <w:szCs w:val="21"/>
              </w:rPr>
            </w:pPr>
            <w:r>
              <w:rPr>
                <w:rFonts w:ascii="宋体" w:hAnsi="宋体" w:cs="宋体" w:eastAsia="宋体" w:hint="default"/>
                <w:sz w:val="21"/>
                <w:szCs w:val="21"/>
              </w:rPr>
              <w:t>吸收存款及同业存放</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拆入资金</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311" w:right="0"/>
              <w:jc w:val="left"/>
              <w:rPr>
                <w:rFonts w:ascii="宋体" w:hAnsi="宋体" w:cs="宋体" w:eastAsia="宋体" w:hint="default"/>
                <w:sz w:val="21"/>
                <w:szCs w:val="21"/>
              </w:rPr>
            </w:pPr>
            <w:r>
              <w:rPr>
                <w:rFonts w:ascii="宋体" w:hAnsi="宋体" w:cs="宋体" w:eastAsia="宋体" w:hint="default"/>
                <w:sz w:val="21"/>
                <w:szCs w:val="21"/>
              </w:rPr>
              <w:t>以公允价值计量且其变动计入当期</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损益的金融负债</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衍生金融负债</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35</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452,912,908</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436,007,797</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36</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854,830,443</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803,299,725</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卖出回购金融资产款</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应付手续费及佣金</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37</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861,926,389</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726,148,762</w:t>
            </w:r>
          </w:p>
        </w:tc>
      </w:tr>
      <w:tr>
        <w:trPr>
          <w:trHeight w:val="289"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38</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331,298,489</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280,969,281</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40</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312,500</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312,500</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41</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644,927,547</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603,245,801</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应付分保账款</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保险合同准备金</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代理买卖证券款</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代理承销证券款</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持有待售负债</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一年内到期的非流动负债</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43</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191,168,565</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113,415,571</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44</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137,415,463</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143,720,189</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流动负债合计</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6,924,792,304</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5,459,461,738</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45</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305,133,983</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254,327,079</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其中：优先股</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永续债</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长期应付职工薪酬</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51</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34,421,811</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41,924,045</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29</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28,602,501</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11,010,341</w:t>
            </w:r>
          </w:p>
        </w:tc>
      </w:tr>
      <w:tr>
        <w:trPr>
          <w:trHeight w:val="289"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非流动负债合计</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368,158,295</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307,261,465</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731" w:right="0"/>
              <w:jc w:val="left"/>
              <w:rPr>
                <w:rFonts w:ascii="宋体" w:hAnsi="宋体" w:cs="宋体" w:eastAsia="宋体" w:hint="default"/>
                <w:sz w:val="21"/>
                <w:szCs w:val="21"/>
              </w:rPr>
            </w:pPr>
            <w:r>
              <w:rPr>
                <w:rFonts w:ascii="宋体" w:hAnsi="宋体" w:cs="宋体" w:eastAsia="宋体" w:hint="default"/>
                <w:sz w:val="21"/>
                <w:szCs w:val="21"/>
              </w:rPr>
              <w:t>负债合计</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7,292,950,599</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5,766,723,203</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所有者权益</w:t>
            </w:r>
            <w:r>
              <w:rPr>
                <w:rFonts w:ascii="宋体" w:hAnsi="宋体" w:cs="宋体" w:eastAsia="宋体" w:hint="default"/>
                <w:sz w:val="21"/>
                <w:szCs w:val="21"/>
              </w:rPr>
            </w:r>
          </w:p>
        </w:tc>
        <w:tc>
          <w:tcPr>
            <w:tcW w:w="5399" w:type="dxa"/>
            <w:gridSpan w:val="3"/>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股本</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53</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1,464,217,811</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1,464,293,443</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其他权益工具</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其中：优先股</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永续债</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55</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2,219,017,521</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2,385,810,133</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56</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102,196,291</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186,377,326</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其他综合收益</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57</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47,946,567</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2,944,939</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59</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725,148,306</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675,739,412</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一般风险准备</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bl>
    <w:p>
      <w:pPr>
        <w:spacing w:after="0"/>
        <w:sectPr>
          <w:pgSz w:w="11910" w:h="16840"/>
          <w:pgMar w:header="857" w:footer="1195" w:top="1320" w:bottom="1380" w:left="1580" w:right="1040"/>
        </w:sectPr>
      </w:pPr>
    </w:p>
    <w:p>
      <w:pPr>
        <w:spacing w:line="240" w:lineRule="auto" w:before="6"/>
        <w:rPr>
          <w:rFonts w:ascii="Times New Roman" w:hAnsi="Times New Roman" w:cs="Times New Roman" w:eastAsia="Times New Roman" w:hint="default"/>
          <w:sz w:val="16"/>
          <w:szCs w:val="16"/>
        </w:rPr>
      </w:pPr>
    </w:p>
    <w:tbl>
      <w:tblPr>
        <w:tblW w:w="0" w:type="auto"/>
        <w:jc w:val="left"/>
        <w:tblInd w:w="102" w:type="dxa"/>
        <w:tblLayout w:type="fixed"/>
        <w:tblCellMar>
          <w:top w:w="0" w:type="dxa"/>
          <w:left w:w="0" w:type="dxa"/>
          <w:bottom w:w="0" w:type="dxa"/>
          <w:right w:w="0" w:type="dxa"/>
        </w:tblCellMar>
        <w:tblLook w:val="01E0"/>
      </w:tblPr>
      <w:tblGrid>
        <w:gridCol w:w="3651"/>
        <w:gridCol w:w="1433"/>
        <w:gridCol w:w="2038"/>
        <w:gridCol w:w="1928"/>
      </w:tblGrid>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311"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60</w:t>
            </w: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right="98"/>
              <w:jc w:val="right"/>
              <w:rPr>
                <w:rFonts w:ascii="宋体" w:hAnsi="宋体" w:cs="宋体" w:eastAsia="宋体" w:hint="default"/>
                <w:sz w:val="21"/>
                <w:szCs w:val="21"/>
              </w:rPr>
            </w:pPr>
            <w:r>
              <w:rPr>
                <w:rFonts w:ascii="宋体"/>
                <w:spacing w:val="-1"/>
                <w:sz w:val="21"/>
              </w:rPr>
              <w:t>1,495,033,934</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right="96"/>
              <w:jc w:val="right"/>
              <w:rPr>
                <w:rFonts w:ascii="宋体" w:hAnsi="宋体" w:cs="宋体" w:eastAsia="宋体" w:hint="default"/>
                <w:sz w:val="21"/>
                <w:szCs w:val="21"/>
              </w:rPr>
            </w:pPr>
            <w:r>
              <w:rPr>
                <w:rFonts w:ascii="宋体"/>
                <w:spacing w:val="-1"/>
                <w:sz w:val="21"/>
              </w:rPr>
              <w:t>1,345,710,249</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归属于母公司所有者权益合计</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5,849,167,848</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5,688,120,850</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891,861,128</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700,287,512</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所有者权益合计</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6,741,028,976</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6,388,408,362</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731" w:right="0"/>
              <w:jc w:val="left"/>
              <w:rPr>
                <w:rFonts w:ascii="宋体" w:hAnsi="宋体" w:cs="宋体" w:eastAsia="宋体" w:hint="default"/>
                <w:sz w:val="21"/>
                <w:szCs w:val="21"/>
              </w:rPr>
            </w:pPr>
            <w:r>
              <w:rPr>
                <w:rFonts w:ascii="宋体" w:hAnsi="宋体" w:cs="宋体" w:eastAsia="宋体" w:hint="default"/>
                <w:sz w:val="21"/>
                <w:szCs w:val="21"/>
              </w:rPr>
              <w:t>负债和所有者权益总计</w:t>
            </w:r>
          </w:p>
        </w:tc>
        <w:tc>
          <w:tcPr>
            <w:tcW w:w="1433" w:type="dxa"/>
            <w:tcBorders>
              <w:top w:val="single" w:sz="6" w:space="0" w:color="000000"/>
              <w:left w:val="single" w:sz="6" w:space="0" w:color="000000"/>
              <w:bottom w:val="single" w:sz="6" w:space="0" w:color="000000"/>
              <w:right w:val="single" w:sz="6" w:space="0" w:color="000000"/>
            </w:tcBorders>
          </w:tcPr>
          <w:p>
            <w:pPr/>
          </w:p>
        </w:tc>
        <w:tc>
          <w:tcPr>
            <w:tcW w:w="203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14,033,979,575</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12,155,131,565</w:t>
            </w:r>
          </w:p>
        </w:tc>
      </w:tr>
    </w:tbl>
    <w:p>
      <w:pPr>
        <w:spacing w:line="240" w:lineRule="auto" w:before="8"/>
        <w:rPr>
          <w:rFonts w:ascii="Times New Roman" w:hAnsi="Times New Roman" w:cs="Times New Roman" w:eastAsia="Times New Roman" w:hint="default"/>
          <w:sz w:val="17"/>
          <w:szCs w:val="17"/>
        </w:rPr>
      </w:pPr>
    </w:p>
    <w:p>
      <w:pPr>
        <w:pStyle w:val="BodyText"/>
        <w:spacing w:line="240" w:lineRule="auto" w:before="36"/>
        <w:ind w:right="99"/>
        <w:jc w:val="left"/>
      </w:pPr>
      <w:r>
        <w:rPr/>
        <w:t>法定代表人：王文京 主管会计工作负责人：章培林</w:t>
      </w:r>
      <w:r>
        <w:rPr>
          <w:spacing w:val="-6"/>
        </w:rPr>
        <w:t> </w:t>
      </w:r>
      <w:r>
        <w:rPr/>
        <w:t>会计机构负责人：王仕平</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pgSz w:w="11910" w:h="16840"/>
          <w:pgMar w:header="857" w:footer="1195" w:top="1320" w:bottom="1380" w:left="1580" w:right="104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4"/>
          <w:szCs w:val="24"/>
        </w:rPr>
      </w:pPr>
    </w:p>
    <w:p>
      <w:pPr>
        <w:pStyle w:val="BodyText"/>
        <w:spacing w:line="240" w:lineRule="auto"/>
        <w:ind w:right="0"/>
        <w:jc w:val="left"/>
      </w:pPr>
      <w:r>
        <w:rPr>
          <w:spacing w:val="-2"/>
        </w:rPr>
        <w:t>编制单位</w:t>
      </w:r>
      <w:r>
        <w:rPr>
          <w:rFonts w:ascii="宋体" w:hAnsi="宋体" w:cs="宋体" w:eastAsia="宋体" w:hint="default"/>
          <w:spacing w:val="-2"/>
        </w:rPr>
        <w:t>:</w:t>
      </w:r>
      <w:r>
        <w:rPr>
          <w:spacing w:val="-2"/>
        </w:rPr>
        <w:t>用友网络科技股份有限公司</w:t>
      </w:r>
    </w:p>
    <w:p>
      <w:pPr>
        <w:spacing w:before="36"/>
        <w:ind w:left="41" w:right="-15" w:firstLine="21"/>
        <w:jc w:val="left"/>
        <w:rPr>
          <w:rFonts w:ascii="宋体" w:hAnsi="宋体" w:cs="宋体" w:eastAsia="宋体" w:hint="default"/>
          <w:sz w:val="21"/>
          <w:szCs w:val="21"/>
        </w:rPr>
      </w:pPr>
      <w:r>
        <w:rPr/>
        <w:br w:type="column"/>
      </w:r>
      <w:r>
        <w:rPr>
          <w:rFonts w:ascii="宋体" w:hAnsi="宋体" w:cs="宋体" w:eastAsia="宋体" w:hint="default"/>
          <w:b/>
          <w:bCs/>
          <w:sz w:val="21"/>
          <w:szCs w:val="21"/>
        </w:rPr>
        <w:t>母公司资产负债表</w:t>
      </w:r>
      <w:r>
        <w:rPr>
          <w:rFonts w:ascii="宋体" w:hAnsi="宋体" w:cs="宋体" w:eastAsia="宋体" w:hint="default"/>
          <w:b/>
          <w:bCs/>
          <w:w w:val="100"/>
          <w:sz w:val="21"/>
          <w:szCs w:val="21"/>
        </w:rPr>
        <w:t> </w:t>
      </w: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2"/>
          <w:sz w:val="21"/>
          <w:szCs w:val="21"/>
        </w:rPr>
        <w:t> </w:t>
      </w:r>
      <w:r>
        <w:rPr>
          <w:rFonts w:ascii="宋体" w:hAnsi="宋体" w:cs="宋体" w:eastAsia="宋体" w:hint="default"/>
          <w:sz w:val="21"/>
          <w:szCs w:val="21"/>
        </w:rPr>
        <w:t>日</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pStyle w:val="BodyText"/>
        <w:tabs>
          <w:tab w:pos="1164" w:val="left" w:leader="none"/>
        </w:tabs>
        <w:spacing w:line="240" w:lineRule="auto"/>
        <w:ind w:right="0"/>
        <w:jc w:val="left"/>
      </w:pPr>
      <w:r>
        <w:rPr>
          <w:spacing w:val="-1"/>
        </w:rPr>
        <w:t>单位</w:t>
      </w:r>
      <w:r>
        <w:rPr>
          <w:rFonts w:ascii="宋体" w:hAnsi="宋体" w:cs="宋体" w:eastAsia="宋体" w:hint="default"/>
          <w:spacing w:val="-1"/>
        </w:rPr>
        <w:t>:</w:t>
      </w:r>
      <w:r>
        <w:rPr>
          <w:spacing w:val="-1"/>
        </w:rPr>
        <w:t>元</w:t>
        <w:tab/>
        <w:t>币种</w:t>
      </w:r>
      <w:r>
        <w:rPr>
          <w:rFonts w:ascii="宋体" w:hAnsi="宋体" w:cs="宋体" w:eastAsia="宋体" w:hint="default"/>
          <w:spacing w:val="-1"/>
        </w:rPr>
        <w:t>:</w:t>
      </w:r>
      <w:r>
        <w:rPr>
          <w:spacing w:val="-1"/>
        </w:rPr>
        <w:t>人民币</w:t>
      </w:r>
    </w:p>
    <w:p>
      <w:pPr>
        <w:spacing w:after="0" w:line="240" w:lineRule="auto"/>
        <w:jc w:val="left"/>
        <w:sectPr>
          <w:type w:val="continuous"/>
          <w:pgSz w:w="11910" w:h="16840"/>
          <w:pgMar w:top="1320" w:bottom="1380" w:left="1580" w:right="1040"/>
          <w:cols w:num="3" w:equalWidth="0">
            <w:col w:w="3687" w:space="40"/>
            <w:col w:w="1778" w:space="1229"/>
            <w:col w:w="2556"/>
          </w:cols>
        </w:sectPr>
      </w:pPr>
    </w:p>
    <w:p>
      <w:pPr>
        <w:spacing w:line="240" w:lineRule="auto" w:before="4"/>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3661"/>
        <w:gridCol w:w="1421"/>
        <w:gridCol w:w="2040"/>
        <w:gridCol w:w="1928"/>
      </w:tblGrid>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4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center"/>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87"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33"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5389" w:type="dxa"/>
            <w:gridSpan w:val="3"/>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1,925,598,683</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2,326,825,284</w:t>
            </w:r>
          </w:p>
        </w:tc>
      </w:tr>
      <w:tr>
        <w:trPr>
          <w:trHeight w:val="559"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以公允价值计量且其变动计入当期</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损益的金融资产</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衍生金融资产</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51,637,035</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38,596,182</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4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47"/>
              <w:jc w:val="center"/>
              <w:rPr>
                <w:rFonts w:ascii="宋体" w:hAnsi="宋体" w:cs="宋体" w:eastAsia="宋体" w:hint="default"/>
                <w:sz w:val="21"/>
                <w:szCs w:val="21"/>
              </w:rPr>
            </w:pPr>
            <w:r>
              <w:rPr>
                <w:rFonts w:ascii="宋体" w:hAnsi="宋体" w:cs="宋体" w:eastAsia="宋体" w:hint="default"/>
                <w:sz w:val="21"/>
                <w:szCs w:val="21"/>
              </w:rPr>
              <w:t>附注十七、</w:t>
            </w:r>
            <w:r>
              <w:rPr>
                <w:rFonts w:ascii="宋体" w:hAnsi="宋体" w:cs="宋体" w:eastAsia="宋体" w:hint="default"/>
                <w:sz w:val="21"/>
                <w:szCs w:val="21"/>
              </w:rPr>
              <w:t>1</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644,660,831</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660,407,517</w:t>
            </w:r>
          </w:p>
        </w:tc>
      </w:tr>
      <w:tr>
        <w:trPr>
          <w:trHeight w:val="286"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13,820,712</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17,526,429</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12,002,658</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4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47"/>
              <w:jc w:val="center"/>
              <w:rPr>
                <w:rFonts w:ascii="宋体" w:hAnsi="宋体" w:cs="宋体" w:eastAsia="宋体" w:hint="default"/>
                <w:sz w:val="21"/>
                <w:szCs w:val="21"/>
              </w:rPr>
            </w:pPr>
            <w:r>
              <w:rPr>
                <w:rFonts w:ascii="宋体" w:hAnsi="宋体" w:cs="宋体" w:eastAsia="宋体" w:hint="default"/>
                <w:sz w:val="21"/>
                <w:szCs w:val="21"/>
              </w:rPr>
              <w:t>附注十七、</w:t>
            </w:r>
            <w:r>
              <w:rPr>
                <w:rFonts w:ascii="宋体" w:hAnsi="宋体" w:cs="宋体" w:eastAsia="宋体" w:hint="default"/>
                <w:sz w:val="21"/>
                <w:szCs w:val="21"/>
              </w:rPr>
              <w:t>2</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808,513,287</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771,653,706</w:t>
            </w:r>
          </w:p>
        </w:tc>
      </w:tr>
      <w:tr>
        <w:trPr>
          <w:trHeight w:val="286"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9,619,027</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10,627,739</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持有待售资产</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一年内到期的非流动资产</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114,137,122</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45,000,040</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520" w:right="0"/>
              <w:jc w:val="left"/>
              <w:rPr>
                <w:rFonts w:ascii="宋体" w:hAnsi="宋体" w:cs="宋体" w:eastAsia="宋体" w:hint="default"/>
                <w:sz w:val="21"/>
                <w:szCs w:val="21"/>
              </w:rPr>
            </w:pPr>
            <w:r>
              <w:rPr>
                <w:rFonts w:ascii="宋体" w:hAnsi="宋体" w:cs="宋体" w:eastAsia="宋体" w:hint="default"/>
                <w:sz w:val="21"/>
                <w:szCs w:val="21"/>
              </w:rPr>
              <w:t>流动资产合计</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3,567,986,697</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3,882,639,555</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5389" w:type="dxa"/>
            <w:gridSpan w:val="3"/>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631,815,300</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405,700,000</w:t>
            </w:r>
          </w:p>
        </w:tc>
      </w:tr>
      <w:tr>
        <w:trPr>
          <w:trHeight w:val="286"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9"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4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47"/>
              <w:jc w:val="center"/>
              <w:rPr>
                <w:rFonts w:ascii="宋体" w:hAnsi="宋体" w:cs="宋体" w:eastAsia="宋体" w:hint="default"/>
                <w:sz w:val="21"/>
                <w:szCs w:val="21"/>
              </w:rPr>
            </w:pPr>
            <w:r>
              <w:rPr>
                <w:rFonts w:ascii="宋体" w:hAnsi="宋体" w:cs="宋体" w:eastAsia="宋体" w:hint="default"/>
                <w:sz w:val="21"/>
                <w:szCs w:val="21"/>
              </w:rPr>
              <w:t>附注十七、</w:t>
            </w:r>
            <w:r>
              <w:rPr>
                <w:rFonts w:ascii="宋体" w:hAnsi="宋体" w:cs="宋体" w:eastAsia="宋体" w:hint="default"/>
                <w:sz w:val="21"/>
                <w:szCs w:val="21"/>
              </w:rPr>
              <w:t>3</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4,478,394,947</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2,808,015,470</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1,669,879,359</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1,103,221,943</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487,258,935</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463,764,614</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398,502,221</w:t>
            </w:r>
          </w:p>
        </w:tc>
      </w:tr>
      <w:tr>
        <w:trPr>
          <w:trHeight w:val="286"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31,523,212</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93,332,756</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96,914,448</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67,850,075</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7,191,974</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8,756,697</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45,730,413</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44,512,321</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bl>
    <w:p>
      <w:pPr>
        <w:spacing w:after="0"/>
        <w:sectPr>
          <w:type w:val="continuous"/>
          <w:pgSz w:w="11910" w:h="16840"/>
          <w:pgMar w:top="1320" w:bottom="1380" w:left="1580" w:right="1040"/>
        </w:sectPr>
      </w:pPr>
    </w:p>
    <w:p>
      <w:pPr>
        <w:spacing w:line="240" w:lineRule="auto" w:before="6"/>
        <w:rPr>
          <w:rFonts w:ascii="宋体" w:hAnsi="宋体" w:cs="宋体" w:eastAsia="宋体" w:hint="default"/>
          <w:sz w:val="14"/>
          <w:szCs w:val="14"/>
        </w:rPr>
      </w:pPr>
    </w:p>
    <w:tbl>
      <w:tblPr>
        <w:tblW w:w="0" w:type="auto"/>
        <w:jc w:val="left"/>
        <w:tblInd w:w="102" w:type="dxa"/>
        <w:tblLayout w:type="fixed"/>
        <w:tblCellMar>
          <w:top w:w="0" w:type="dxa"/>
          <w:left w:w="0" w:type="dxa"/>
          <w:bottom w:w="0" w:type="dxa"/>
          <w:right w:w="0" w:type="dxa"/>
        </w:tblCellMar>
        <w:tblLook w:val="01E0"/>
      </w:tblPr>
      <w:tblGrid>
        <w:gridCol w:w="3661"/>
        <w:gridCol w:w="1421"/>
        <w:gridCol w:w="2040"/>
        <w:gridCol w:w="1928"/>
      </w:tblGrid>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520" w:right="0"/>
              <w:jc w:val="left"/>
              <w:rPr>
                <w:rFonts w:ascii="宋体" w:hAnsi="宋体" w:cs="宋体" w:eastAsia="宋体" w:hint="default"/>
                <w:sz w:val="21"/>
                <w:szCs w:val="21"/>
              </w:rPr>
            </w:pPr>
            <w:r>
              <w:rPr>
                <w:rFonts w:ascii="宋体" w:hAnsi="宋体" w:cs="宋体" w:eastAsia="宋体" w:hint="default"/>
                <w:sz w:val="21"/>
                <w:szCs w:val="21"/>
              </w:rPr>
              <w:t>非流动资产合计</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right="98"/>
              <w:jc w:val="right"/>
              <w:rPr>
                <w:rFonts w:ascii="宋体" w:hAnsi="宋体" w:cs="宋体" w:eastAsia="宋体" w:hint="default"/>
                <w:sz w:val="21"/>
                <w:szCs w:val="21"/>
              </w:rPr>
            </w:pPr>
            <w:r>
              <w:rPr>
                <w:rFonts w:ascii="宋体"/>
                <w:spacing w:val="-1"/>
                <w:sz w:val="21"/>
              </w:rPr>
              <w:t>7,425,214,267</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right="96"/>
              <w:jc w:val="right"/>
              <w:rPr>
                <w:rFonts w:ascii="宋体" w:hAnsi="宋体" w:cs="宋体" w:eastAsia="宋体" w:hint="default"/>
                <w:sz w:val="21"/>
                <w:szCs w:val="21"/>
              </w:rPr>
            </w:pPr>
            <w:r>
              <w:rPr>
                <w:rFonts w:ascii="宋体"/>
                <w:spacing w:val="-1"/>
                <w:sz w:val="21"/>
              </w:rPr>
              <w:t>5,417,150,418</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资产总计</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10,993,200,964</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9,299,789,973</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5389" w:type="dxa"/>
            <w:gridSpan w:val="3"/>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4,115,861,548</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2,826,736,451</w:t>
            </w:r>
          </w:p>
        </w:tc>
      </w:tr>
      <w:tr>
        <w:trPr>
          <w:trHeight w:val="562"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以公允价值计量且其变动计入当期</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损益的金融负债</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衍生金融负债</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153,867,651</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159,174,246</w:t>
            </w:r>
          </w:p>
        </w:tc>
      </w:tr>
      <w:tr>
        <w:trPr>
          <w:trHeight w:val="286"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370,802,704</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324,643,268</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396,760,406</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279,955,653</w:t>
            </w:r>
          </w:p>
        </w:tc>
      </w:tr>
      <w:tr>
        <w:trPr>
          <w:trHeight w:val="289"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118,680,267</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105,535,376</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471,976,517</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253,312,107</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持有待售负债</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一年内到期的非流动负债</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112,361,331</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72,300,920</w:t>
            </w:r>
          </w:p>
        </w:tc>
      </w:tr>
      <w:tr>
        <w:trPr>
          <w:trHeight w:val="286"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89,445,223</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60,518,373</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流动负债合计</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5,829,755,647</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4,082,176,394</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5389" w:type="dxa"/>
            <w:gridSpan w:val="3"/>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95,133,983</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74,327,079</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其中：优先股</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永续债</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长期应付职工薪酬</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33,150,000</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40,300,000</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4,156,055</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4,156,055</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非流动负债合计</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132,440,038</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118,783,134</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731" w:right="0"/>
              <w:jc w:val="left"/>
              <w:rPr>
                <w:rFonts w:ascii="宋体" w:hAnsi="宋体" w:cs="宋体" w:eastAsia="宋体" w:hint="default"/>
                <w:sz w:val="21"/>
                <w:szCs w:val="21"/>
              </w:rPr>
            </w:pPr>
            <w:r>
              <w:rPr>
                <w:rFonts w:ascii="宋体" w:hAnsi="宋体" w:cs="宋体" w:eastAsia="宋体" w:hint="default"/>
                <w:sz w:val="21"/>
                <w:szCs w:val="21"/>
              </w:rPr>
              <w:t>负债合计</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5,962,195,685</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4,200,959,528</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所有者权益：</w:t>
            </w:r>
            <w:r>
              <w:rPr>
                <w:rFonts w:ascii="宋体" w:hAnsi="宋体" w:cs="宋体" w:eastAsia="宋体" w:hint="default"/>
                <w:sz w:val="21"/>
                <w:szCs w:val="21"/>
              </w:rPr>
            </w:r>
          </w:p>
        </w:tc>
        <w:tc>
          <w:tcPr>
            <w:tcW w:w="5389" w:type="dxa"/>
            <w:gridSpan w:val="3"/>
            <w:tcBorders>
              <w:top w:val="single" w:sz="6" w:space="0" w:color="000000"/>
              <w:left w:val="single" w:sz="6" w:space="0" w:color="000000"/>
              <w:bottom w:val="single" w:sz="6" w:space="0" w:color="000000"/>
              <w:right w:val="single" w:sz="6" w:space="0" w:color="000000"/>
            </w:tcBorders>
          </w:tcPr>
          <w:p>
            <w:pPr/>
          </w:p>
        </w:tc>
      </w:tr>
      <w:tr>
        <w:trPr>
          <w:trHeight w:val="289"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股本</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1,464,217,811</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1,464,293,443</w:t>
            </w:r>
          </w:p>
        </w:tc>
      </w:tr>
      <w:tr>
        <w:trPr>
          <w:trHeight w:val="286"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其他权益工具</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其中：优先股</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永续债</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1,688,282,407</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1,812,470,035</w:t>
            </w:r>
          </w:p>
        </w:tc>
      </w:tr>
      <w:tr>
        <w:trPr>
          <w:trHeight w:val="286"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102,196,291</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19,590,072</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其他综合收益</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
        </w:tc>
        <w:tc>
          <w:tcPr>
            <w:tcW w:w="1928"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725,148,306</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675,739,412</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1,255,553,046</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1,165,917,627</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所有者权益合计</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5,031,005,279</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5,098,830,445</w:t>
            </w:r>
          </w:p>
        </w:tc>
      </w:tr>
      <w:tr>
        <w:trPr>
          <w:trHeight w:val="288" w:hRule="exact"/>
        </w:trPr>
        <w:tc>
          <w:tcPr>
            <w:tcW w:w="3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负债和所有者权益总计</w:t>
            </w:r>
          </w:p>
        </w:tc>
        <w:tc>
          <w:tcPr>
            <w:tcW w:w="1421" w:type="dxa"/>
            <w:tcBorders>
              <w:top w:val="single" w:sz="6" w:space="0" w:color="000000"/>
              <w:left w:val="single" w:sz="6" w:space="0" w:color="000000"/>
              <w:bottom w:val="single" w:sz="6" w:space="0" w:color="000000"/>
              <w:right w:val="single" w:sz="6" w:space="0" w:color="000000"/>
            </w:tcBorders>
          </w:tcPr>
          <w:p>
            <w:pP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10,993,200,964</w:t>
            </w:r>
          </w:p>
        </w:tc>
        <w:tc>
          <w:tcPr>
            <w:tcW w:w="19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9,299,789,973</w:t>
            </w:r>
          </w:p>
        </w:tc>
      </w:tr>
    </w:tbl>
    <w:p>
      <w:pPr>
        <w:spacing w:line="240" w:lineRule="auto" w:before="5"/>
        <w:rPr>
          <w:rFonts w:ascii="宋体" w:hAnsi="宋体" w:cs="宋体" w:eastAsia="宋体" w:hint="default"/>
          <w:sz w:val="15"/>
          <w:szCs w:val="15"/>
        </w:rPr>
      </w:pPr>
    </w:p>
    <w:p>
      <w:pPr>
        <w:pStyle w:val="BodyText"/>
        <w:spacing w:line="240" w:lineRule="auto" w:before="36"/>
        <w:ind w:right="99"/>
        <w:jc w:val="left"/>
      </w:pPr>
      <w:r>
        <w:rPr/>
        <w:t>法定代表人：王文京 主管会计工作负责人：章培林</w:t>
      </w:r>
      <w:r>
        <w:rPr>
          <w:spacing w:val="-6"/>
        </w:rPr>
        <w:t> </w:t>
      </w:r>
      <w:r>
        <w:rPr/>
        <w:t>会计机构负责人：王仕平</w:t>
      </w:r>
    </w:p>
    <w:p>
      <w:pPr>
        <w:spacing w:after="0" w:line="240" w:lineRule="auto"/>
        <w:jc w:val="left"/>
        <w:sectPr>
          <w:pgSz w:w="11910" w:h="16840"/>
          <w:pgMar w:header="857" w:footer="1195" w:top="1320" w:bottom="1380" w:left="1580" w:right="1040"/>
        </w:sect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57" w:footer="1195" w:top="1320" w:bottom="1380" w:left="1580" w:right="1040"/>
        </w:sectPr>
      </w:pPr>
    </w:p>
    <w:p>
      <w:pPr>
        <w:spacing w:line="240" w:lineRule="auto" w:before="12"/>
        <w:rPr>
          <w:rFonts w:ascii="宋体" w:hAnsi="宋体" w:cs="宋体" w:eastAsia="宋体" w:hint="default"/>
          <w:sz w:val="14"/>
          <w:szCs w:val="14"/>
        </w:rPr>
      </w:pPr>
    </w:p>
    <w:p>
      <w:pPr>
        <w:spacing w:line="272" w:lineRule="exact" w:before="0"/>
        <w:ind w:left="3873" w:right="-16" w:firstLine="232"/>
        <w:jc w:val="left"/>
        <w:rPr>
          <w:rFonts w:ascii="宋体" w:hAnsi="宋体" w:cs="宋体" w:eastAsia="宋体" w:hint="default"/>
          <w:sz w:val="21"/>
          <w:szCs w:val="21"/>
        </w:rPr>
      </w:pPr>
      <w:r>
        <w:rPr>
          <w:rFonts w:ascii="宋体" w:hAnsi="宋体" w:cs="宋体" w:eastAsia="宋体" w:hint="default"/>
          <w:b/>
          <w:bCs/>
          <w:sz w:val="21"/>
          <w:szCs w:val="21"/>
        </w:rPr>
        <w:t>合并利润表</w:t>
      </w:r>
      <w:r>
        <w:rPr>
          <w:rFonts w:ascii="宋体" w:hAnsi="宋体" w:cs="宋体" w:eastAsia="宋体" w:hint="default"/>
          <w:b/>
          <w:bCs/>
          <w:w w:val="100"/>
          <w:sz w:val="21"/>
          <w:szCs w:val="21"/>
        </w:rPr>
        <w:t> </w:t>
      </w: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z w:val="21"/>
          <w:szCs w:val="21"/>
        </w:rPr>
        <w:t>—</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BodyText"/>
        <w:tabs>
          <w:tab w:pos="2458" w:val="left" w:leader="none"/>
        </w:tabs>
        <w:spacing w:line="240" w:lineRule="auto"/>
        <w:ind w:left="1512" w:right="0"/>
        <w:jc w:val="left"/>
      </w:pPr>
      <w:r>
        <w:rPr>
          <w:spacing w:val="-1"/>
        </w:rPr>
        <w:t>单位</w:t>
      </w:r>
      <w:r>
        <w:rPr>
          <w:rFonts w:ascii="宋体" w:hAnsi="宋体" w:cs="宋体" w:eastAsia="宋体" w:hint="default"/>
          <w:spacing w:val="-1"/>
        </w:rPr>
        <w:t>:</w:t>
      </w:r>
      <w:r>
        <w:rPr>
          <w:spacing w:val="-1"/>
        </w:rPr>
        <w:t>元</w:t>
        <w:tab/>
        <w:t>币种</w:t>
      </w:r>
      <w:r>
        <w:rPr>
          <w:rFonts w:ascii="宋体" w:hAnsi="宋体" w:cs="宋体" w:eastAsia="宋体" w:hint="default"/>
          <w:spacing w:val="-1"/>
        </w:rPr>
        <w:t>:</w:t>
      </w:r>
      <w:r>
        <w:rPr>
          <w:spacing w:val="-1"/>
        </w:rPr>
        <w:t>人民币</w:t>
      </w:r>
    </w:p>
    <w:p>
      <w:pPr>
        <w:spacing w:after="0" w:line="240" w:lineRule="auto"/>
        <w:jc w:val="left"/>
        <w:sectPr>
          <w:type w:val="continuous"/>
          <w:pgSz w:w="11910" w:h="16840"/>
          <w:pgMar w:top="1320" w:bottom="1380" w:left="1580" w:right="1040"/>
          <w:cols w:num="2" w:equalWidth="0">
            <w:col w:w="5399" w:space="40"/>
            <w:col w:w="3851"/>
          </w:cols>
        </w:sectPr>
      </w:pPr>
    </w:p>
    <w:p>
      <w:pPr>
        <w:spacing w:line="240" w:lineRule="auto" w:before="4"/>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4121"/>
        <w:gridCol w:w="1546"/>
        <w:gridCol w:w="1750"/>
        <w:gridCol w:w="1632"/>
      </w:tblGrid>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9"/>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2"/>
              <w:jc w:val="center"/>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38"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280"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一、营业总收入</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6,343,658,549</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5,113,348,861</w:t>
            </w: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其中：营业收入</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61</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6,343,658,549</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5,113,348,861</w:t>
            </w:r>
          </w:p>
        </w:tc>
      </w:tr>
      <w:tr>
        <w:trPr>
          <w:trHeight w:val="286"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已赚保费</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手续费及佣金收入</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二、营业总成本</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6,126,804,098</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5,216,250,106</w:t>
            </w:r>
          </w:p>
        </w:tc>
      </w:tr>
      <w:tr>
        <w:trPr>
          <w:trHeight w:val="289"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其中：营业成本</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61</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1,812,454,538</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1,603,567,007</w:t>
            </w: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手续费及佣金支出</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退保金</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731" w:right="0"/>
              <w:jc w:val="left"/>
              <w:rPr>
                <w:rFonts w:ascii="宋体" w:hAnsi="宋体" w:cs="宋体" w:eastAsia="宋体" w:hint="default"/>
                <w:sz w:val="21"/>
                <w:szCs w:val="21"/>
              </w:rPr>
            </w:pPr>
            <w:r>
              <w:rPr>
                <w:rFonts w:ascii="宋体" w:hAnsi="宋体" w:cs="宋体" w:eastAsia="宋体" w:hint="default"/>
                <w:sz w:val="21"/>
                <w:szCs w:val="21"/>
              </w:rPr>
              <w:t>赔付支出净额</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提取保险合同准备金净额</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保单红利支出</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731" w:right="0"/>
              <w:jc w:val="left"/>
              <w:rPr>
                <w:rFonts w:ascii="宋体" w:hAnsi="宋体" w:cs="宋体" w:eastAsia="宋体" w:hint="default"/>
                <w:sz w:val="21"/>
                <w:szCs w:val="21"/>
              </w:rPr>
            </w:pPr>
            <w:r>
              <w:rPr>
                <w:rFonts w:ascii="宋体" w:hAnsi="宋体" w:cs="宋体" w:eastAsia="宋体" w:hint="default"/>
                <w:sz w:val="21"/>
                <w:szCs w:val="21"/>
              </w:rPr>
              <w:t>分保费用</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税金及附加</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62</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94,776,444</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72,828,971</w:t>
            </w: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63</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1,417,298,968</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1,313,070,973</w:t>
            </w:r>
          </w:p>
        </w:tc>
      </w:tr>
      <w:tr>
        <w:trPr>
          <w:trHeight w:val="286"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64</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2,334,184,078</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2,030,924,271</w:t>
            </w: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731"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65</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168,925,671</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76,147,791</w:t>
            </w: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66</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299,164,399</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119,711,093</w:t>
            </w:r>
          </w:p>
        </w:tc>
      </w:tr>
      <w:tr>
        <w:trPr>
          <w:trHeight w:val="559"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311" w:right="0"/>
              <w:jc w:val="left"/>
              <w:rPr>
                <w:rFonts w:ascii="宋体" w:hAnsi="宋体" w:cs="宋体" w:eastAsia="宋体" w:hint="default"/>
                <w:sz w:val="21"/>
                <w:szCs w:val="21"/>
              </w:rPr>
            </w:pPr>
            <w:r>
              <w:rPr>
                <w:rFonts w:ascii="宋体" w:hAnsi="宋体" w:cs="宋体" w:eastAsia="宋体" w:hint="default"/>
                <w:spacing w:val="-7"/>
                <w:sz w:val="21"/>
                <w:szCs w:val="21"/>
              </w:rPr>
              <w:t>加：公允价值变动收益（损失以“－”号</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填列）</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投资收益（损失以“－”号填列）</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68</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71,634,696</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51,517,834</w:t>
            </w:r>
          </w:p>
        </w:tc>
      </w:tr>
      <w:tr>
        <w:trPr>
          <w:trHeight w:val="559"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1" w:right="0"/>
              <w:jc w:val="left"/>
              <w:rPr>
                <w:rFonts w:ascii="宋体" w:hAnsi="宋体" w:cs="宋体" w:eastAsia="宋体" w:hint="default"/>
                <w:sz w:val="21"/>
                <w:szCs w:val="21"/>
              </w:rPr>
            </w:pPr>
            <w:r>
              <w:rPr>
                <w:rFonts w:ascii="宋体" w:hAnsi="宋体" w:cs="宋体" w:eastAsia="宋体" w:hint="default"/>
                <w:w w:val="100"/>
                <w:sz w:val="21"/>
                <w:szCs w:val="21"/>
              </w:rPr>
              <w:t>其中</w:t>
            </w:r>
            <w:r>
              <w:rPr>
                <w:rFonts w:ascii="宋体" w:hAnsi="宋体" w:cs="宋体" w:eastAsia="宋体" w:hint="default"/>
                <w:spacing w:val="-89"/>
                <w:w w:val="100"/>
                <w:sz w:val="21"/>
                <w:szCs w:val="21"/>
              </w:rPr>
              <w:t>：</w:t>
            </w:r>
            <w:r>
              <w:rPr>
                <w:rFonts w:ascii="宋体" w:hAnsi="宋体" w:cs="宋体" w:eastAsia="宋体" w:hint="default"/>
                <w:w w:val="100"/>
                <w:sz w:val="21"/>
                <w:szCs w:val="21"/>
              </w:rPr>
              <w:t>对</w:t>
            </w:r>
            <w:r>
              <w:rPr>
                <w:rFonts w:ascii="宋体" w:hAnsi="宋体" w:cs="宋体" w:eastAsia="宋体" w:hint="default"/>
                <w:spacing w:val="-3"/>
                <w:w w:val="100"/>
                <w:sz w:val="21"/>
                <w:szCs w:val="21"/>
              </w:rPr>
              <w:t>联</w:t>
            </w:r>
            <w:r>
              <w:rPr>
                <w:rFonts w:ascii="宋体" w:hAnsi="宋体" w:cs="宋体" w:eastAsia="宋体" w:hint="default"/>
                <w:w w:val="100"/>
                <w:sz w:val="21"/>
                <w:szCs w:val="21"/>
              </w:rPr>
              <w:t>营</w:t>
            </w:r>
            <w:r>
              <w:rPr>
                <w:rFonts w:ascii="宋体" w:hAnsi="宋体" w:cs="宋体" w:eastAsia="宋体" w:hint="default"/>
                <w:spacing w:val="-3"/>
                <w:w w:val="100"/>
                <w:sz w:val="21"/>
                <w:szCs w:val="21"/>
              </w:rPr>
              <w:t>企</w:t>
            </w:r>
            <w:r>
              <w:rPr>
                <w:rFonts w:ascii="宋体" w:hAnsi="宋体" w:cs="宋体" w:eastAsia="宋体" w:hint="default"/>
                <w:w w:val="100"/>
                <w:sz w:val="21"/>
                <w:szCs w:val="21"/>
              </w:rPr>
              <w:t>业</w:t>
            </w:r>
            <w:r>
              <w:rPr>
                <w:rFonts w:ascii="宋体" w:hAnsi="宋体" w:cs="宋体" w:eastAsia="宋体" w:hint="default"/>
                <w:spacing w:val="-3"/>
                <w:w w:val="100"/>
                <w:sz w:val="21"/>
                <w:szCs w:val="21"/>
              </w:rPr>
              <w:t>和</w:t>
            </w:r>
            <w:r>
              <w:rPr>
                <w:rFonts w:ascii="宋体" w:hAnsi="宋体" w:cs="宋体" w:eastAsia="宋体" w:hint="default"/>
                <w:w w:val="100"/>
                <w:sz w:val="21"/>
                <w:szCs w:val="21"/>
              </w:rPr>
              <w:t>合</w:t>
            </w:r>
            <w:r>
              <w:rPr>
                <w:rFonts w:ascii="宋体" w:hAnsi="宋体" w:cs="宋体" w:eastAsia="宋体" w:hint="default"/>
                <w:spacing w:val="-3"/>
                <w:w w:val="100"/>
                <w:sz w:val="21"/>
                <w:szCs w:val="21"/>
              </w:rPr>
              <w:t>营企</w:t>
            </w:r>
            <w:r>
              <w:rPr>
                <w:rFonts w:ascii="宋体" w:hAnsi="宋体" w:cs="宋体" w:eastAsia="宋体" w:hint="default"/>
                <w:w w:val="100"/>
                <w:sz w:val="21"/>
                <w:szCs w:val="21"/>
              </w:rPr>
              <w:t>业的</w:t>
            </w:r>
            <w:r>
              <w:rPr>
                <w:rFonts w:ascii="宋体" w:hAnsi="宋体" w:cs="宋体" w:eastAsia="宋体" w:hint="default"/>
                <w:spacing w:val="-3"/>
                <w:w w:val="100"/>
                <w:sz w:val="21"/>
                <w:szCs w:val="21"/>
              </w:rPr>
              <w:t>投</w:t>
            </w:r>
            <w:r>
              <w:rPr>
                <w:rFonts w:ascii="宋体" w:hAnsi="宋体" w:cs="宋体" w:eastAsia="宋体" w:hint="default"/>
                <w:w w:val="100"/>
                <w:sz w:val="21"/>
                <w:szCs w:val="21"/>
              </w:rPr>
              <w:t>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收益</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68</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-13,850,998</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4,827,064</w:t>
            </w: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7"/>
              <w:jc w:val="left"/>
              <w:rPr>
                <w:rFonts w:ascii="宋体" w:hAnsi="宋体" w:cs="宋体" w:eastAsia="宋体" w:hint="default"/>
                <w:sz w:val="21"/>
                <w:szCs w:val="21"/>
              </w:rPr>
            </w:pPr>
            <w:r>
              <w:rPr>
                <w:rFonts w:ascii="宋体" w:hAnsi="宋体" w:cs="宋体" w:eastAsia="宋体" w:hint="default"/>
                <w:spacing w:val="-13"/>
                <w:sz w:val="21"/>
                <w:szCs w:val="21"/>
              </w:rPr>
              <w:t>资产处置收益（损失以“－”号填列）</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405,547</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-145,294</w:t>
            </w:r>
          </w:p>
        </w:tc>
      </w:tr>
      <w:tr>
        <w:trPr>
          <w:trHeight w:val="286"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汇兑收益（损失以“－”号填列）</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731" w:right="0"/>
              <w:jc w:val="left"/>
              <w:rPr>
                <w:rFonts w:ascii="宋体" w:hAnsi="宋体" w:cs="宋体" w:eastAsia="宋体" w:hint="default"/>
                <w:sz w:val="21"/>
                <w:szCs w:val="21"/>
              </w:rPr>
            </w:pPr>
            <w:r>
              <w:rPr>
                <w:rFonts w:ascii="宋体" w:hAnsi="宋体" w:cs="宋体" w:eastAsia="宋体" w:hint="default"/>
                <w:sz w:val="21"/>
                <w:szCs w:val="21"/>
              </w:rPr>
              <w:t>其他收益</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387,312,627</w:t>
            </w: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三、营业利润（亏损以“－”号填列）</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676,207,321</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-51,528,705</w:t>
            </w: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69</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17,707,394</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361,254,728</w:t>
            </w:r>
          </w:p>
        </w:tc>
      </w:tr>
      <w:tr>
        <w:trPr>
          <w:trHeight w:val="286"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70</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8,103,940</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14,236,817</w:t>
            </w: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pacing w:val="-2"/>
                <w:sz w:val="21"/>
                <w:szCs w:val="21"/>
              </w:rPr>
              <w:t>四、利润总额（亏损总额以“－”号填列）</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685,810,775</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295,489,206</w:t>
            </w: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71</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125,788,218</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51,320,126</w:t>
            </w: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五、净利润（净亏损以“－”号填列）</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560,022,557</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244,169,080</w:t>
            </w:r>
          </w:p>
        </w:tc>
      </w:tr>
      <w:tr>
        <w:trPr>
          <w:trHeight w:val="286"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一</w:t>
            </w:r>
            <w:r>
              <w:rPr>
                <w:rFonts w:ascii="宋体" w:hAnsi="宋体" w:cs="宋体" w:eastAsia="宋体" w:hint="default"/>
                <w:sz w:val="21"/>
                <w:szCs w:val="21"/>
              </w:rPr>
              <w:t>)</w:t>
            </w:r>
            <w:r>
              <w:rPr>
                <w:rFonts w:ascii="宋体" w:hAnsi="宋体" w:cs="宋体" w:eastAsia="宋体" w:hint="default"/>
                <w:sz w:val="21"/>
                <w:szCs w:val="21"/>
              </w:rPr>
              <w:t>按经营持续性分类</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w w:val="100"/>
                <w:sz w:val="21"/>
                <w:szCs w:val="21"/>
              </w:rPr>
              <w:t>1.</w:t>
            </w:r>
            <w:r>
              <w:rPr>
                <w:rFonts w:ascii="宋体" w:hAnsi="宋体" w:cs="宋体" w:eastAsia="宋体" w:hint="default"/>
                <w:w w:val="100"/>
                <w:sz w:val="21"/>
                <w:szCs w:val="21"/>
              </w:rPr>
              <w:t>持</w:t>
            </w:r>
            <w:r>
              <w:rPr>
                <w:rFonts w:ascii="宋体" w:hAnsi="宋体" w:cs="宋体" w:eastAsia="宋体" w:hint="default"/>
                <w:spacing w:val="-3"/>
                <w:w w:val="100"/>
                <w:sz w:val="21"/>
                <w:szCs w:val="21"/>
              </w:rPr>
              <w:t>续</w:t>
            </w:r>
            <w:r>
              <w:rPr>
                <w:rFonts w:ascii="宋体" w:hAnsi="宋体" w:cs="宋体" w:eastAsia="宋体" w:hint="default"/>
                <w:w w:val="100"/>
                <w:sz w:val="21"/>
                <w:szCs w:val="21"/>
              </w:rPr>
              <w:t>经</w:t>
            </w:r>
            <w:r>
              <w:rPr>
                <w:rFonts w:ascii="宋体" w:hAnsi="宋体" w:cs="宋体" w:eastAsia="宋体" w:hint="default"/>
                <w:spacing w:val="-3"/>
                <w:w w:val="100"/>
                <w:sz w:val="21"/>
                <w:szCs w:val="21"/>
              </w:rPr>
              <w:t>营</w:t>
            </w:r>
            <w:r>
              <w:rPr>
                <w:rFonts w:ascii="宋体" w:hAnsi="宋体" w:cs="宋体" w:eastAsia="宋体" w:hint="default"/>
                <w:w w:val="100"/>
                <w:sz w:val="21"/>
                <w:szCs w:val="21"/>
              </w:rPr>
              <w:t>净</w:t>
            </w:r>
            <w:r>
              <w:rPr>
                <w:rFonts w:ascii="宋体" w:hAnsi="宋体" w:cs="宋体" w:eastAsia="宋体" w:hint="default"/>
                <w:spacing w:val="-3"/>
                <w:w w:val="100"/>
                <w:sz w:val="21"/>
                <w:szCs w:val="21"/>
              </w:rPr>
              <w:t>利</w:t>
            </w:r>
            <w:r>
              <w:rPr>
                <w:rFonts w:ascii="宋体" w:hAnsi="宋体" w:cs="宋体" w:eastAsia="宋体" w:hint="default"/>
                <w:spacing w:val="-87"/>
                <w:w w:val="100"/>
                <w:sz w:val="21"/>
                <w:szCs w:val="21"/>
              </w:rPr>
              <w:t>润</w:t>
            </w:r>
            <w:r>
              <w:rPr>
                <w:rFonts w:ascii="宋体" w:hAnsi="宋体" w:cs="宋体" w:eastAsia="宋体" w:hint="default"/>
                <w:spacing w:val="-3"/>
                <w:w w:val="100"/>
                <w:sz w:val="21"/>
                <w:szCs w:val="21"/>
              </w:rPr>
              <w:t>（</w:t>
            </w:r>
            <w:r>
              <w:rPr>
                <w:rFonts w:ascii="宋体" w:hAnsi="宋体" w:cs="宋体" w:eastAsia="宋体" w:hint="default"/>
                <w:w w:val="100"/>
                <w:sz w:val="21"/>
                <w:szCs w:val="21"/>
              </w:rPr>
              <w:t>净</w:t>
            </w:r>
            <w:r>
              <w:rPr>
                <w:rFonts w:ascii="宋体" w:hAnsi="宋体" w:cs="宋体" w:eastAsia="宋体" w:hint="default"/>
                <w:spacing w:val="-3"/>
                <w:w w:val="100"/>
                <w:sz w:val="21"/>
                <w:szCs w:val="21"/>
              </w:rPr>
              <w:t>亏损</w:t>
            </w:r>
            <w:r>
              <w:rPr>
                <w:rFonts w:ascii="宋体" w:hAnsi="宋体" w:cs="宋体" w:eastAsia="宋体" w:hint="default"/>
                <w:w w:val="100"/>
                <w:sz w:val="21"/>
                <w:szCs w:val="21"/>
              </w:rPr>
              <w:t>以“</w:t>
            </w:r>
            <w:r>
              <w:rPr>
                <w:rFonts w:ascii="宋体" w:hAnsi="宋体" w:cs="宋体" w:eastAsia="宋体" w:hint="default"/>
                <w:spacing w:val="-3"/>
                <w:w w:val="100"/>
                <w:sz w:val="21"/>
                <w:szCs w:val="21"/>
              </w:rPr>
              <w:t>－</w:t>
            </w:r>
            <w:r>
              <w:rPr>
                <w:rFonts w:ascii="宋体" w:hAnsi="宋体" w:cs="宋体" w:eastAsia="宋体" w:hint="default"/>
                <w:w w:val="100"/>
                <w:sz w:val="21"/>
                <w:szCs w:val="21"/>
              </w:rPr>
              <w:t>”号</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填列）</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560,022,557</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244,169,080</w:t>
            </w:r>
          </w:p>
        </w:tc>
      </w:tr>
      <w:tr>
        <w:trPr>
          <w:trHeight w:val="562"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w w:val="100"/>
                <w:sz w:val="21"/>
                <w:szCs w:val="21"/>
              </w:rPr>
              <w:t>2.</w:t>
            </w:r>
            <w:r>
              <w:rPr>
                <w:rFonts w:ascii="宋体" w:hAnsi="宋体" w:cs="宋体" w:eastAsia="宋体" w:hint="default"/>
                <w:w w:val="100"/>
                <w:sz w:val="21"/>
                <w:szCs w:val="21"/>
              </w:rPr>
              <w:t>终</w:t>
            </w:r>
            <w:r>
              <w:rPr>
                <w:rFonts w:ascii="宋体" w:hAnsi="宋体" w:cs="宋体" w:eastAsia="宋体" w:hint="default"/>
                <w:spacing w:val="-3"/>
                <w:w w:val="100"/>
                <w:sz w:val="21"/>
                <w:szCs w:val="21"/>
              </w:rPr>
              <w:t>止</w:t>
            </w:r>
            <w:r>
              <w:rPr>
                <w:rFonts w:ascii="宋体" w:hAnsi="宋体" w:cs="宋体" w:eastAsia="宋体" w:hint="default"/>
                <w:w w:val="100"/>
                <w:sz w:val="21"/>
                <w:szCs w:val="21"/>
              </w:rPr>
              <w:t>经</w:t>
            </w:r>
            <w:r>
              <w:rPr>
                <w:rFonts w:ascii="宋体" w:hAnsi="宋体" w:cs="宋体" w:eastAsia="宋体" w:hint="default"/>
                <w:spacing w:val="-3"/>
                <w:w w:val="100"/>
                <w:sz w:val="21"/>
                <w:szCs w:val="21"/>
              </w:rPr>
              <w:t>营</w:t>
            </w:r>
            <w:r>
              <w:rPr>
                <w:rFonts w:ascii="宋体" w:hAnsi="宋体" w:cs="宋体" w:eastAsia="宋体" w:hint="default"/>
                <w:w w:val="100"/>
                <w:sz w:val="21"/>
                <w:szCs w:val="21"/>
              </w:rPr>
              <w:t>净</w:t>
            </w:r>
            <w:r>
              <w:rPr>
                <w:rFonts w:ascii="宋体" w:hAnsi="宋体" w:cs="宋体" w:eastAsia="宋体" w:hint="default"/>
                <w:spacing w:val="-3"/>
                <w:w w:val="100"/>
                <w:sz w:val="21"/>
                <w:szCs w:val="21"/>
              </w:rPr>
              <w:t>利</w:t>
            </w:r>
            <w:r>
              <w:rPr>
                <w:rFonts w:ascii="宋体" w:hAnsi="宋体" w:cs="宋体" w:eastAsia="宋体" w:hint="default"/>
                <w:spacing w:val="-87"/>
                <w:w w:val="100"/>
                <w:sz w:val="21"/>
                <w:szCs w:val="21"/>
              </w:rPr>
              <w:t>润</w:t>
            </w:r>
            <w:r>
              <w:rPr>
                <w:rFonts w:ascii="宋体" w:hAnsi="宋体" w:cs="宋体" w:eastAsia="宋体" w:hint="default"/>
                <w:spacing w:val="-3"/>
                <w:w w:val="100"/>
                <w:sz w:val="21"/>
                <w:szCs w:val="21"/>
              </w:rPr>
              <w:t>（</w:t>
            </w:r>
            <w:r>
              <w:rPr>
                <w:rFonts w:ascii="宋体" w:hAnsi="宋体" w:cs="宋体" w:eastAsia="宋体" w:hint="default"/>
                <w:w w:val="100"/>
                <w:sz w:val="21"/>
                <w:szCs w:val="21"/>
              </w:rPr>
              <w:t>净</w:t>
            </w:r>
            <w:r>
              <w:rPr>
                <w:rFonts w:ascii="宋体" w:hAnsi="宋体" w:cs="宋体" w:eastAsia="宋体" w:hint="default"/>
                <w:spacing w:val="-3"/>
                <w:w w:val="100"/>
                <w:sz w:val="21"/>
                <w:szCs w:val="21"/>
              </w:rPr>
              <w:t>亏损</w:t>
            </w:r>
            <w:r>
              <w:rPr>
                <w:rFonts w:ascii="宋体" w:hAnsi="宋体" w:cs="宋体" w:eastAsia="宋体" w:hint="default"/>
                <w:w w:val="100"/>
                <w:sz w:val="21"/>
                <w:szCs w:val="21"/>
              </w:rPr>
              <w:t>以“</w:t>
            </w:r>
            <w:r>
              <w:rPr>
                <w:rFonts w:ascii="宋体" w:hAnsi="宋体" w:cs="宋体" w:eastAsia="宋体" w:hint="default"/>
                <w:spacing w:val="-3"/>
                <w:w w:val="100"/>
                <w:sz w:val="21"/>
                <w:szCs w:val="21"/>
              </w:rPr>
              <w:t>－</w:t>
            </w:r>
            <w:r>
              <w:rPr>
                <w:rFonts w:ascii="宋体" w:hAnsi="宋体" w:cs="宋体" w:eastAsia="宋体" w:hint="default"/>
                <w:w w:val="100"/>
                <w:sz w:val="21"/>
                <w:szCs w:val="21"/>
              </w:rPr>
              <w:t>”号</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填列）</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二</w:t>
            </w:r>
            <w:r>
              <w:rPr>
                <w:rFonts w:ascii="宋体" w:hAnsi="宋体" w:cs="宋体" w:eastAsia="宋体" w:hint="default"/>
                <w:sz w:val="21"/>
                <w:szCs w:val="21"/>
              </w:rPr>
              <w:t>)</w:t>
            </w:r>
            <w:r>
              <w:rPr>
                <w:rFonts w:ascii="宋体" w:hAnsi="宋体" w:cs="宋体" w:eastAsia="宋体" w:hint="default"/>
                <w:sz w:val="21"/>
                <w:szCs w:val="21"/>
              </w:rPr>
              <w:t>按所有权归属分类</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520"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少数股东损益</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170,941,663</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46,777,355</w:t>
            </w: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归属于母公司股东的净利润</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389,080,894</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197,391,725</w:t>
            </w: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六、其他综合收益的税后净额</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45,024,860</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2,442,463</w:t>
            </w: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归属母公司所有者的其他综合收益的税</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72</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45,001,628</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2,224,603</w:t>
            </w:r>
          </w:p>
        </w:tc>
      </w:tr>
    </w:tbl>
    <w:p>
      <w:pPr>
        <w:spacing w:after="0" w:line="241" w:lineRule="exact"/>
        <w:jc w:val="right"/>
        <w:rPr>
          <w:rFonts w:ascii="宋体" w:hAnsi="宋体" w:cs="宋体" w:eastAsia="宋体" w:hint="default"/>
          <w:sz w:val="21"/>
          <w:szCs w:val="21"/>
        </w:rPr>
        <w:sectPr>
          <w:type w:val="continuous"/>
          <w:pgSz w:w="11910" w:h="16840"/>
          <w:pgMar w:top="1320" w:bottom="1380" w:left="1580" w:right="1040"/>
        </w:sectPr>
      </w:pPr>
    </w:p>
    <w:p>
      <w:pPr>
        <w:spacing w:line="240" w:lineRule="auto" w:before="6"/>
        <w:rPr>
          <w:rFonts w:ascii="宋体" w:hAnsi="宋体" w:cs="宋体" w:eastAsia="宋体" w:hint="default"/>
          <w:sz w:val="14"/>
          <w:szCs w:val="14"/>
        </w:rPr>
      </w:pPr>
    </w:p>
    <w:tbl>
      <w:tblPr>
        <w:tblW w:w="0" w:type="auto"/>
        <w:jc w:val="left"/>
        <w:tblInd w:w="102" w:type="dxa"/>
        <w:tblLayout w:type="fixed"/>
        <w:tblCellMar>
          <w:top w:w="0" w:type="dxa"/>
          <w:left w:w="0" w:type="dxa"/>
          <w:bottom w:w="0" w:type="dxa"/>
          <w:right w:w="0" w:type="dxa"/>
        </w:tblCellMar>
        <w:tblLook w:val="01E0"/>
      </w:tblPr>
      <w:tblGrid>
        <w:gridCol w:w="4121"/>
        <w:gridCol w:w="1546"/>
        <w:gridCol w:w="1750"/>
        <w:gridCol w:w="1632"/>
      </w:tblGrid>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100" w:right="0"/>
              <w:jc w:val="left"/>
              <w:rPr>
                <w:rFonts w:ascii="宋体" w:hAnsi="宋体" w:cs="宋体" w:eastAsia="宋体" w:hint="default"/>
                <w:sz w:val="21"/>
                <w:szCs w:val="21"/>
              </w:rPr>
            </w:pPr>
            <w:r>
              <w:rPr>
                <w:rFonts w:ascii="宋体" w:hAnsi="宋体" w:cs="宋体" w:eastAsia="宋体" w:hint="default"/>
                <w:sz w:val="21"/>
                <w:szCs w:val="21"/>
              </w:rPr>
              <w:t>后净额</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w w:val="100"/>
                <w:sz w:val="21"/>
                <w:szCs w:val="21"/>
              </w:rPr>
              <w:t>（一</w:t>
            </w:r>
            <w:r>
              <w:rPr>
                <w:rFonts w:ascii="宋体" w:hAnsi="宋体" w:cs="宋体" w:eastAsia="宋体" w:hint="default"/>
                <w:spacing w:val="-89"/>
                <w:w w:val="100"/>
                <w:sz w:val="21"/>
                <w:szCs w:val="21"/>
              </w:rPr>
              <w:t>）</w:t>
            </w:r>
            <w:r>
              <w:rPr>
                <w:rFonts w:ascii="宋体" w:hAnsi="宋体" w:cs="宋体" w:eastAsia="宋体" w:hint="default"/>
                <w:w w:val="100"/>
                <w:sz w:val="21"/>
                <w:szCs w:val="21"/>
              </w:rPr>
              <w:t>以</w:t>
            </w:r>
            <w:r>
              <w:rPr>
                <w:rFonts w:ascii="宋体" w:hAnsi="宋体" w:cs="宋体" w:eastAsia="宋体" w:hint="default"/>
                <w:spacing w:val="-3"/>
                <w:w w:val="100"/>
                <w:sz w:val="21"/>
                <w:szCs w:val="21"/>
              </w:rPr>
              <w:t>后</w:t>
            </w:r>
            <w:r>
              <w:rPr>
                <w:rFonts w:ascii="宋体" w:hAnsi="宋体" w:cs="宋体" w:eastAsia="宋体" w:hint="default"/>
                <w:w w:val="100"/>
                <w:sz w:val="21"/>
                <w:szCs w:val="21"/>
              </w:rPr>
              <w:t>不</w:t>
            </w:r>
            <w:r>
              <w:rPr>
                <w:rFonts w:ascii="宋体" w:hAnsi="宋体" w:cs="宋体" w:eastAsia="宋体" w:hint="default"/>
                <w:spacing w:val="-3"/>
                <w:w w:val="100"/>
                <w:sz w:val="21"/>
                <w:szCs w:val="21"/>
              </w:rPr>
              <w:t>能</w:t>
            </w:r>
            <w:r>
              <w:rPr>
                <w:rFonts w:ascii="宋体" w:hAnsi="宋体" w:cs="宋体" w:eastAsia="宋体" w:hint="default"/>
                <w:w w:val="100"/>
                <w:sz w:val="21"/>
                <w:szCs w:val="21"/>
              </w:rPr>
              <w:t>重</w:t>
            </w:r>
            <w:r>
              <w:rPr>
                <w:rFonts w:ascii="宋体" w:hAnsi="宋体" w:cs="宋体" w:eastAsia="宋体" w:hint="default"/>
                <w:spacing w:val="-3"/>
                <w:w w:val="100"/>
                <w:sz w:val="21"/>
                <w:szCs w:val="21"/>
              </w:rPr>
              <w:t>分</w:t>
            </w:r>
            <w:r>
              <w:rPr>
                <w:rFonts w:ascii="宋体" w:hAnsi="宋体" w:cs="宋体" w:eastAsia="宋体" w:hint="default"/>
                <w:w w:val="100"/>
                <w:sz w:val="21"/>
                <w:szCs w:val="21"/>
              </w:rPr>
              <w:t>类</w:t>
            </w:r>
            <w:r>
              <w:rPr>
                <w:rFonts w:ascii="宋体" w:hAnsi="宋体" w:cs="宋体" w:eastAsia="宋体" w:hint="default"/>
                <w:spacing w:val="-3"/>
                <w:w w:val="100"/>
                <w:sz w:val="21"/>
                <w:szCs w:val="21"/>
              </w:rPr>
              <w:t>进损</w:t>
            </w:r>
            <w:r>
              <w:rPr>
                <w:rFonts w:ascii="宋体" w:hAnsi="宋体" w:cs="宋体" w:eastAsia="宋体" w:hint="default"/>
                <w:w w:val="100"/>
                <w:sz w:val="21"/>
                <w:szCs w:val="21"/>
              </w:rPr>
              <w:t>益的</w:t>
            </w:r>
            <w:r>
              <w:rPr>
                <w:rFonts w:ascii="宋体" w:hAnsi="宋体" w:cs="宋体" w:eastAsia="宋体" w:hint="default"/>
                <w:spacing w:val="-3"/>
                <w:w w:val="100"/>
                <w:sz w:val="21"/>
                <w:szCs w:val="21"/>
              </w:rPr>
              <w:t>其</w:t>
            </w:r>
            <w:r>
              <w:rPr>
                <w:rFonts w:ascii="宋体" w:hAnsi="宋体" w:cs="宋体" w:eastAsia="宋体" w:hint="default"/>
                <w:w w:val="100"/>
                <w:sz w:val="21"/>
                <w:szCs w:val="21"/>
              </w:rPr>
              <w:t>他综</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合收益</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562"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重新计量设定受益计划净负债或</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净资产的变动</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731"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权益法下在被投资单位不能重分</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类进损益的其他综合收益中享有的份额</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520" w:right="0"/>
              <w:jc w:val="left"/>
              <w:rPr>
                <w:rFonts w:ascii="宋体" w:hAnsi="宋体" w:cs="宋体" w:eastAsia="宋体" w:hint="default"/>
                <w:sz w:val="21"/>
                <w:szCs w:val="21"/>
              </w:rPr>
            </w:pPr>
            <w:r>
              <w:rPr>
                <w:rFonts w:ascii="宋体" w:hAnsi="宋体" w:cs="宋体" w:eastAsia="宋体" w:hint="default"/>
                <w:w w:val="100"/>
                <w:sz w:val="21"/>
                <w:szCs w:val="21"/>
              </w:rPr>
              <w:t>（二</w:t>
            </w:r>
            <w:r>
              <w:rPr>
                <w:rFonts w:ascii="宋体" w:hAnsi="宋体" w:cs="宋体" w:eastAsia="宋体" w:hint="default"/>
                <w:spacing w:val="-89"/>
                <w:w w:val="100"/>
                <w:sz w:val="21"/>
                <w:szCs w:val="21"/>
              </w:rPr>
              <w:t>）</w:t>
            </w:r>
            <w:r>
              <w:rPr>
                <w:rFonts w:ascii="宋体" w:hAnsi="宋体" w:cs="宋体" w:eastAsia="宋体" w:hint="default"/>
                <w:w w:val="100"/>
                <w:sz w:val="21"/>
                <w:szCs w:val="21"/>
              </w:rPr>
              <w:t>以</w:t>
            </w:r>
            <w:r>
              <w:rPr>
                <w:rFonts w:ascii="宋体" w:hAnsi="宋体" w:cs="宋体" w:eastAsia="宋体" w:hint="default"/>
                <w:spacing w:val="-3"/>
                <w:w w:val="100"/>
                <w:sz w:val="21"/>
                <w:szCs w:val="21"/>
              </w:rPr>
              <w:t>后</w:t>
            </w:r>
            <w:r>
              <w:rPr>
                <w:rFonts w:ascii="宋体" w:hAnsi="宋体" w:cs="宋体" w:eastAsia="宋体" w:hint="default"/>
                <w:w w:val="100"/>
                <w:sz w:val="21"/>
                <w:szCs w:val="21"/>
              </w:rPr>
              <w:t>将</w:t>
            </w:r>
            <w:r>
              <w:rPr>
                <w:rFonts w:ascii="宋体" w:hAnsi="宋体" w:cs="宋体" w:eastAsia="宋体" w:hint="default"/>
                <w:spacing w:val="-3"/>
                <w:w w:val="100"/>
                <w:sz w:val="21"/>
                <w:szCs w:val="21"/>
              </w:rPr>
              <w:t>重</w:t>
            </w:r>
            <w:r>
              <w:rPr>
                <w:rFonts w:ascii="宋体" w:hAnsi="宋体" w:cs="宋体" w:eastAsia="宋体" w:hint="default"/>
                <w:w w:val="100"/>
                <w:sz w:val="21"/>
                <w:szCs w:val="21"/>
              </w:rPr>
              <w:t>分</w:t>
            </w:r>
            <w:r>
              <w:rPr>
                <w:rFonts w:ascii="宋体" w:hAnsi="宋体" w:cs="宋体" w:eastAsia="宋体" w:hint="default"/>
                <w:spacing w:val="-3"/>
                <w:w w:val="100"/>
                <w:sz w:val="21"/>
                <w:szCs w:val="21"/>
              </w:rPr>
              <w:t>类</w:t>
            </w:r>
            <w:r>
              <w:rPr>
                <w:rFonts w:ascii="宋体" w:hAnsi="宋体" w:cs="宋体" w:eastAsia="宋体" w:hint="default"/>
                <w:w w:val="100"/>
                <w:sz w:val="21"/>
                <w:szCs w:val="21"/>
              </w:rPr>
              <w:t>进</w:t>
            </w:r>
            <w:r>
              <w:rPr>
                <w:rFonts w:ascii="宋体" w:hAnsi="宋体" w:cs="宋体" w:eastAsia="宋体" w:hint="default"/>
                <w:spacing w:val="-3"/>
                <w:w w:val="100"/>
                <w:sz w:val="21"/>
                <w:szCs w:val="21"/>
              </w:rPr>
              <w:t>损益</w:t>
            </w:r>
            <w:r>
              <w:rPr>
                <w:rFonts w:ascii="宋体" w:hAnsi="宋体" w:cs="宋体" w:eastAsia="宋体" w:hint="default"/>
                <w:w w:val="100"/>
                <w:sz w:val="21"/>
                <w:szCs w:val="21"/>
              </w:rPr>
              <w:t>的其</w:t>
            </w:r>
            <w:r>
              <w:rPr>
                <w:rFonts w:ascii="宋体" w:hAnsi="宋体" w:cs="宋体" w:eastAsia="宋体" w:hint="default"/>
                <w:spacing w:val="-3"/>
                <w:w w:val="100"/>
                <w:sz w:val="21"/>
                <w:szCs w:val="21"/>
              </w:rPr>
              <w:t>他</w:t>
            </w:r>
            <w:r>
              <w:rPr>
                <w:rFonts w:ascii="宋体" w:hAnsi="宋体" w:cs="宋体" w:eastAsia="宋体" w:hint="default"/>
                <w:w w:val="100"/>
                <w:sz w:val="21"/>
                <w:szCs w:val="21"/>
              </w:rPr>
              <w:t>综合</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收益</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45,001,628</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2,224,603</w:t>
            </w:r>
          </w:p>
        </w:tc>
      </w:tr>
      <w:tr>
        <w:trPr>
          <w:trHeight w:val="559"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firstLine="631"/>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权益法下在被投资单位以后将重</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分类进损益的其他综合收益中享有的份额</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1"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可供出售金融资产公允价值变动</w:t>
            </w:r>
          </w:p>
          <w:p>
            <w:pPr>
              <w:pStyle w:val="TableParagraph"/>
              <w:spacing w:line="275" w:lineRule="exact"/>
              <w:ind w:left="100" w:right="0"/>
              <w:jc w:val="left"/>
              <w:rPr>
                <w:rFonts w:ascii="宋体" w:hAnsi="宋体" w:cs="宋体" w:eastAsia="宋体" w:hint="default"/>
                <w:sz w:val="21"/>
                <w:szCs w:val="21"/>
              </w:rPr>
            </w:pPr>
            <w:r>
              <w:rPr>
                <w:rFonts w:ascii="宋体" w:hAnsi="宋体" w:cs="宋体" w:eastAsia="宋体" w:hint="default"/>
                <w:sz w:val="21"/>
                <w:szCs w:val="21"/>
              </w:rPr>
              <w:t>损益</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47,996,473</w:t>
            </w: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562"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持有至到期投资重分类为可供出</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售金融资产损益</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427"/>
              <w:jc w:val="right"/>
              <w:rPr>
                <w:rFonts w:ascii="宋体" w:hAnsi="宋体" w:cs="宋体" w:eastAsia="宋体" w:hint="default"/>
                <w:sz w:val="21"/>
                <w:szCs w:val="21"/>
              </w:rPr>
            </w:pPr>
            <w:r>
              <w:rPr>
                <w:rFonts w:ascii="宋体" w:hAnsi="宋体" w:cs="宋体" w:eastAsia="宋体" w:hint="default"/>
                <w:spacing w:val="-1"/>
                <w:sz w:val="21"/>
                <w:szCs w:val="21"/>
              </w:rPr>
              <w:t>4.</w:t>
            </w:r>
            <w:r>
              <w:rPr>
                <w:rFonts w:ascii="宋体" w:hAnsi="宋体" w:cs="宋体" w:eastAsia="宋体" w:hint="default"/>
                <w:spacing w:val="-1"/>
                <w:sz w:val="21"/>
                <w:szCs w:val="21"/>
              </w:rPr>
              <w:t>现金流量套期损益的有效部分</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731"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z w:val="21"/>
                <w:szCs w:val="21"/>
              </w:rPr>
              <w:t>外币财务报表折算差额</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-2,994,845</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2,224,603</w:t>
            </w: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6.</w:t>
            </w:r>
            <w:r>
              <w:rPr>
                <w:rFonts w:ascii="宋体" w:hAnsi="宋体" w:cs="宋体" w:eastAsia="宋体" w:hint="default"/>
                <w:sz w:val="21"/>
                <w:szCs w:val="21"/>
              </w:rPr>
              <w:t>其他</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311" w:right="0"/>
              <w:jc w:val="left"/>
              <w:rPr>
                <w:rFonts w:ascii="宋体" w:hAnsi="宋体" w:cs="宋体" w:eastAsia="宋体" w:hint="default"/>
                <w:sz w:val="21"/>
                <w:szCs w:val="21"/>
              </w:rPr>
            </w:pPr>
            <w:r>
              <w:rPr>
                <w:rFonts w:ascii="宋体" w:hAnsi="宋体" w:cs="宋体" w:eastAsia="宋体" w:hint="default"/>
                <w:sz w:val="21"/>
                <w:szCs w:val="21"/>
              </w:rPr>
              <w:t>归属于少数股东的其他综合收益的税后</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净额</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72</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23,232</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217,860</w:t>
            </w: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七、综合收益总额</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605,047,417</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246,611,543</w:t>
            </w:r>
          </w:p>
        </w:tc>
      </w:tr>
      <w:tr>
        <w:trPr>
          <w:trHeight w:val="286"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427"/>
              <w:jc w:val="right"/>
              <w:rPr>
                <w:rFonts w:ascii="宋体" w:hAnsi="宋体" w:cs="宋体" w:eastAsia="宋体" w:hint="default"/>
                <w:sz w:val="21"/>
                <w:szCs w:val="21"/>
              </w:rPr>
            </w:pPr>
            <w:r>
              <w:rPr>
                <w:rFonts w:ascii="宋体" w:hAnsi="宋体" w:cs="宋体" w:eastAsia="宋体" w:hint="default"/>
                <w:spacing w:val="-2"/>
                <w:sz w:val="21"/>
                <w:szCs w:val="21"/>
              </w:rPr>
              <w:t>归属于母公司所有者的综合收益总额</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434,082,522</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199,616,328</w:t>
            </w: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归属于少数股东的综合收益总额</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170,964,895</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46,995,215</w:t>
            </w: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八、每股收益：</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3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（一）基本每股收益</w:t>
            </w:r>
            <w:r>
              <w:rPr>
                <w:rFonts w:ascii="宋体" w:hAnsi="宋体" w:cs="宋体" w:eastAsia="宋体" w:hint="default"/>
                <w:sz w:val="21"/>
                <w:szCs w:val="21"/>
              </w:rPr>
              <w:t>(</w:t>
            </w:r>
            <w:r>
              <w:rPr>
                <w:rFonts w:ascii="宋体" w:hAnsi="宋体" w:cs="宋体" w:eastAsia="宋体" w:hint="default"/>
                <w:sz w:val="21"/>
                <w:szCs w:val="21"/>
              </w:rPr>
              <w:t>元</w:t>
            </w:r>
            <w:r>
              <w:rPr>
                <w:rFonts w:ascii="宋体" w:hAnsi="宋体" w:cs="宋体" w:eastAsia="宋体" w:hint="default"/>
                <w:sz w:val="21"/>
                <w:szCs w:val="21"/>
              </w:rPr>
              <w:t>/</w:t>
            </w:r>
            <w:r>
              <w:rPr>
                <w:rFonts w:ascii="宋体" w:hAnsi="宋体" w:cs="宋体" w:eastAsia="宋体" w:hint="default"/>
                <w:sz w:val="21"/>
                <w:szCs w:val="21"/>
              </w:rPr>
              <w:t>股</w:t>
            </w:r>
            <w:r>
              <w:rPr>
                <w:rFonts w:ascii="宋体" w:hAnsi="宋体" w:cs="宋体" w:eastAsia="宋体" w:hint="default"/>
                <w:sz w:val="21"/>
                <w:szCs w:val="21"/>
              </w:rPr>
              <w:t>)</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0.27</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0.14</w:t>
            </w:r>
          </w:p>
        </w:tc>
      </w:tr>
      <w:tr>
        <w:trPr>
          <w:trHeight w:val="288" w:hRule="exact"/>
        </w:trPr>
        <w:tc>
          <w:tcPr>
            <w:tcW w:w="41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（二）稀释每股收益</w:t>
            </w:r>
            <w:r>
              <w:rPr>
                <w:rFonts w:ascii="宋体" w:hAnsi="宋体" w:cs="宋体" w:eastAsia="宋体" w:hint="default"/>
                <w:sz w:val="21"/>
                <w:szCs w:val="21"/>
              </w:rPr>
              <w:t>(</w:t>
            </w:r>
            <w:r>
              <w:rPr>
                <w:rFonts w:ascii="宋体" w:hAnsi="宋体" w:cs="宋体" w:eastAsia="宋体" w:hint="default"/>
                <w:sz w:val="21"/>
                <w:szCs w:val="21"/>
              </w:rPr>
              <w:t>元</w:t>
            </w:r>
            <w:r>
              <w:rPr>
                <w:rFonts w:ascii="宋体" w:hAnsi="宋体" w:cs="宋体" w:eastAsia="宋体" w:hint="default"/>
                <w:sz w:val="21"/>
                <w:szCs w:val="21"/>
              </w:rPr>
              <w:t>/</w:t>
            </w:r>
            <w:r>
              <w:rPr>
                <w:rFonts w:ascii="宋体" w:hAnsi="宋体" w:cs="宋体" w:eastAsia="宋体" w:hint="default"/>
                <w:sz w:val="21"/>
                <w:szCs w:val="21"/>
              </w:rPr>
              <w:t>股</w:t>
            </w:r>
            <w:r>
              <w:rPr>
                <w:rFonts w:ascii="宋体" w:hAnsi="宋体" w:cs="宋体" w:eastAsia="宋体" w:hint="default"/>
                <w:sz w:val="21"/>
                <w:szCs w:val="21"/>
              </w:rPr>
              <w:t>)</w:t>
            </w:r>
          </w:p>
        </w:tc>
        <w:tc>
          <w:tcPr>
            <w:tcW w:w="1546"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0.27</w:t>
            </w:r>
          </w:p>
        </w:tc>
        <w:tc>
          <w:tcPr>
            <w:tcW w:w="16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0.14</w:t>
            </w:r>
          </w:p>
        </w:tc>
      </w:tr>
    </w:tbl>
    <w:p>
      <w:pPr>
        <w:spacing w:line="240" w:lineRule="auto" w:before="5"/>
        <w:rPr>
          <w:rFonts w:ascii="宋体" w:hAnsi="宋体" w:cs="宋体" w:eastAsia="宋体" w:hint="default"/>
          <w:sz w:val="15"/>
          <w:szCs w:val="15"/>
        </w:rPr>
      </w:pPr>
    </w:p>
    <w:p>
      <w:pPr>
        <w:pStyle w:val="BodyText"/>
        <w:spacing w:line="240" w:lineRule="auto" w:before="36"/>
        <w:ind w:right="99"/>
        <w:jc w:val="left"/>
      </w:pPr>
      <w:r>
        <w:rPr>
          <w:spacing w:val="-5"/>
        </w:rPr>
        <w:t>本期发生同一控制下企业合并的，被合并方在合并前实现的净利润为：</w:t>
      </w:r>
      <w:r>
        <w:rPr>
          <w:rFonts w:ascii="宋体" w:hAnsi="宋体" w:cs="宋体" w:eastAsia="宋体" w:hint="default"/>
          <w:spacing w:val="-5"/>
        </w:rPr>
        <w:t>0</w:t>
      </w:r>
      <w:r>
        <w:rPr>
          <w:rFonts w:ascii="宋体" w:hAnsi="宋体" w:cs="宋体" w:eastAsia="宋体" w:hint="default"/>
          <w:spacing w:val="51"/>
        </w:rPr>
        <w:t> </w:t>
      </w:r>
      <w:r>
        <w:rPr/>
        <w:t>元</w:t>
      </w:r>
      <w:r>
        <w:rPr>
          <w:rFonts w:ascii="宋体" w:hAnsi="宋体" w:cs="宋体" w:eastAsia="宋体" w:hint="default"/>
        </w:rPr>
        <w:t>,</w:t>
      </w:r>
      <w:r>
        <w:rPr/>
        <w:t>上期被合并方实现的</w:t>
      </w:r>
      <w:r>
        <w:rPr>
          <w:spacing w:val="-96"/>
        </w:rPr>
        <w:t> </w:t>
      </w:r>
      <w:r>
        <w:rPr>
          <w:spacing w:val="-96"/>
        </w:rPr>
      </w:r>
      <w:r>
        <w:rPr/>
        <w:t>净利润为：</w:t>
      </w:r>
      <w:r>
        <w:rPr>
          <w:rFonts w:ascii="宋体" w:hAnsi="宋体" w:cs="宋体" w:eastAsia="宋体" w:hint="default"/>
        </w:rPr>
        <w:t>0</w:t>
      </w:r>
      <w:r>
        <w:rPr>
          <w:rFonts w:ascii="宋体" w:hAnsi="宋体" w:cs="宋体" w:eastAsia="宋体" w:hint="default"/>
          <w:spacing w:val="3"/>
        </w:rPr>
        <w:t> </w:t>
      </w:r>
      <w:r>
        <w:rPr>
          <w:spacing w:val="-3"/>
        </w:rPr>
        <w:t>元。</w:t>
      </w:r>
      <w:r>
        <w:rPr/>
      </w:r>
    </w:p>
    <w:p>
      <w:pPr>
        <w:pStyle w:val="BodyText"/>
        <w:spacing w:line="271" w:lineRule="exact"/>
        <w:ind w:right="99"/>
        <w:jc w:val="left"/>
      </w:pPr>
      <w:r>
        <w:rPr/>
        <w:t>法定代表人：王文京 主管会计工作负责人：章培林</w:t>
      </w:r>
      <w:r>
        <w:rPr>
          <w:spacing w:val="-6"/>
        </w:rPr>
        <w:t> </w:t>
      </w:r>
      <w:r>
        <w:rPr/>
        <w:t>会计机构负责人：王仕平</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pgSz w:w="11910" w:h="16840"/>
          <w:pgMar w:header="857" w:footer="1195" w:top="1320" w:bottom="1380" w:left="1580" w:right="1040"/>
        </w:sectPr>
      </w:pPr>
    </w:p>
    <w:p>
      <w:pPr>
        <w:spacing w:before="36"/>
        <w:ind w:left="3873" w:right="-16" w:firstLine="127"/>
        <w:jc w:val="left"/>
        <w:rPr>
          <w:rFonts w:ascii="宋体" w:hAnsi="宋体" w:cs="宋体" w:eastAsia="宋体" w:hint="default"/>
          <w:sz w:val="21"/>
          <w:szCs w:val="21"/>
        </w:rPr>
      </w:pPr>
      <w:r>
        <w:rPr>
          <w:rFonts w:ascii="宋体" w:hAnsi="宋体" w:cs="宋体" w:eastAsia="宋体" w:hint="default"/>
          <w:b/>
          <w:bCs/>
          <w:sz w:val="21"/>
          <w:szCs w:val="21"/>
        </w:rPr>
        <w:t>母公司利润表</w:t>
      </w:r>
      <w:r>
        <w:rPr>
          <w:rFonts w:ascii="宋体" w:hAnsi="宋体" w:cs="宋体" w:eastAsia="宋体" w:hint="default"/>
          <w:b/>
          <w:bCs/>
          <w:w w:val="100"/>
          <w:sz w:val="21"/>
          <w:szCs w:val="21"/>
        </w:rPr>
        <w:t> </w:t>
      </w: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z w:val="21"/>
          <w:szCs w:val="21"/>
        </w:rPr>
        <w:t>—</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5"/>
        <w:rPr>
          <w:rFonts w:ascii="宋体" w:hAnsi="宋体" w:cs="宋体" w:eastAsia="宋体" w:hint="default"/>
          <w:sz w:val="24"/>
          <w:szCs w:val="24"/>
        </w:rPr>
      </w:pPr>
    </w:p>
    <w:p>
      <w:pPr>
        <w:pStyle w:val="BodyText"/>
        <w:tabs>
          <w:tab w:pos="2458" w:val="left" w:leader="none"/>
        </w:tabs>
        <w:spacing w:line="240" w:lineRule="auto"/>
        <w:ind w:left="1512" w:right="0"/>
        <w:jc w:val="left"/>
      </w:pPr>
      <w:r>
        <w:rPr>
          <w:spacing w:val="-1"/>
        </w:rPr>
        <w:t>单位</w:t>
      </w:r>
      <w:r>
        <w:rPr>
          <w:rFonts w:ascii="宋体" w:hAnsi="宋体" w:cs="宋体" w:eastAsia="宋体" w:hint="default"/>
          <w:spacing w:val="-1"/>
        </w:rPr>
        <w:t>:</w:t>
      </w:r>
      <w:r>
        <w:rPr>
          <w:spacing w:val="-1"/>
        </w:rPr>
        <w:t>元</w:t>
        <w:tab/>
        <w:t>币种</w:t>
      </w:r>
      <w:r>
        <w:rPr>
          <w:rFonts w:ascii="宋体" w:hAnsi="宋体" w:cs="宋体" w:eastAsia="宋体" w:hint="default"/>
          <w:spacing w:val="-1"/>
        </w:rPr>
        <w:t>:</w:t>
      </w:r>
      <w:r>
        <w:rPr>
          <w:spacing w:val="-1"/>
        </w:rPr>
        <w:t>人民币</w:t>
      </w:r>
    </w:p>
    <w:p>
      <w:pPr>
        <w:spacing w:after="0" w:line="240" w:lineRule="auto"/>
        <w:jc w:val="left"/>
        <w:sectPr>
          <w:type w:val="continuous"/>
          <w:pgSz w:w="11910" w:h="16840"/>
          <w:pgMar w:top="1320" w:bottom="1380" w:left="1580" w:right="1040"/>
          <w:cols w:num="2" w:equalWidth="0">
            <w:col w:w="5399" w:space="40"/>
            <w:col w:w="3851"/>
          </w:cols>
        </w:sectPr>
      </w:pPr>
    </w:p>
    <w:p>
      <w:pPr>
        <w:spacing w:line="240" w:lineRule="auto" w:before="7"/>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4052"/>
        <w:gridCol w:w="1467"/>
        <w:gridCol w:w="1897"/>
        <w:gridCol w:w="1634"/>
      </w:tblGrid>
      <w:tr>
        <w:trPr>
          <w:trHeight w:val="289"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41"/>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4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412"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16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83"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286"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81" w:right="0"/>
              <w:jc w:val="left"/>
              <w:rPr>
                <w:rFonts w:ascii="宋体" w:hAnsi="宋体" w:cs="宋体" w:eastAsia="宋体" w:hint="default"/>
                <w:sz w:val="21"/>
                <w:szCs w:val="21"/>
              </w:rPr>
            </w:pPr>
            <w:r>
              <w:rPr>
                <w:rFonts w:ascii="宋体" w:hAnsi="宋体" w:cs="宋体" w:eastAsia="宋体" w:hint="default"/>
                <w:sz w:val="21"/>
                <w:szCs w:val="21"/>
              </w:rPr>
              <w:t>一、营业收入</w:t>
            </w:r>
          </w:p>
        </w:tc>
        <w:tc>
          <w:tcPr>
            <w:tcW w:w="14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1"/>
              <w:jc w:val="center"/>
              <w:rPr>
                <w:rFonts w:ascii="宋体" w:hAnsi="宋体" w:cs="宋体" w:eastAsia="宋体" w:hint="default"/>
                <w:sz w:val="21"/>
                <w:szCs w:val="21"/>
              </w:rPr>
            </w:pPr>
            <w:r>
              <w:rPr>
                <w:rFonts w:ascii="宋体" w:hAnsi="宋体" w:cs="宋体" w:eastAsia="宋体" w:hint="default"/>
                <w:sz w:val="21"/>
                <w:szCs w:val="21"/>
              </w:rPr>
              <w:t>附注十七、</w:t>
            </w:r>
            <w:r>
              <w:rPr>
                <w:rFonts w:ascii="宋体" w:hAnsi="宋体" w:cs="宋体" w:eastAsia="宋体" w:hint="default"/>
                <w:sz w:val="21"/>
                <w:szCs w:val="21"/>
              </w:rPr>
              <w:t>4</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2,607,784,946</w:t>
            </w:r>
          </w:p>
        </w:tc>
        <w:tc>
          <w:tcPr>
            <w:tcW w:w="16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1,832,234,199</w:t>
            </w:r>
          </w:p>
        </w:tc>
      </w:tr>
      <w:tr>
        <w:trPr>
          <w:trHeight w:val="288"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减：营业成本</w:t>
            </w:r>
          </w:p>
        </w:tc>
        <w:tc>
          <w:tcPr>
            <w:tcW w:w="146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1"/>
              <w:jc w:val="center"/>
              <w:rPr>
                <w:rFonts w:ascii="宋体" w:hAnsi="宋体" w:cs="宋体" w:eastAsia="宋体" w:hint="default"/>
                <w:sz w:val="21"/>
                <w:szCs w:val="21"/>
              </w:rPr>
            </w:pPr>
            <w:r>
              <w:rPr>
                <w:rFonts w:ascii="宋体" w:hAnsi="宋体" w:cs="宋体" w:eastAsia="宋体" w:hint="default"/>
                <w:sz w:val="21"/>
                <w:szCs w:val="21"/>
              </w:rPr>
              <w:t>附注十七、</w:t>
            </w:r>
            <w:r>
              <w:rPr>
                <w:rFonts w:ascii="宋体" w:hAnsi="宋体" w:cs="宋体" w:eastAsia="宋体" w:hint="default"/>
                <w:sz w:val="21"/>
                <w:szCs w:val="21"/>
              </w:rPr>
              <w:t>4</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729,208,436</w:t>
            </w:r>
          </w:p>
        </w:tc>
        <w:tc>
          <w:tcPr>
            <w:tcW w:w="163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3"/>
              <w:jc w:val="right"/>
              <w:rPr>
                <w:rFonts w:ascii="宋体" w:hAnsi="宋体" w:cs="宋体" w:eastAsia="宋体" w:hint="default"/>
                <w:sz w:val="21"/>
                <w:szCs w:val="21"/>
              </w:rPr>
            </w:pPr>
            <w:r>
              <w:rPr>
                <w:rFonts w:ascii="宋体"/>
                <w:spacing w:val="-1"/>
                <w:sz w:val="21"/>
              </w:rPr>
              <w:t>644,175,530</w:t>
            </w:r>
          </w:p>
        </w:tc>
      </w:tr>
      <w:tr>
        <w:trPr>
          <w:trHeight w:val="288"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税金及附加</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55,371,934</w:t>
            </w:r>
          </w:p>
        </w:tc>
        <w:tc>
          <w:tcPr>
            <w:tcW w:w="16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25,194,106</w:t>
            </w:r>
          </w:p>
        </w:tc>
      </w:tr>
      <w:tr>
        <w:trPr>
          <w:trHeight w:val="286"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492,213,848</w:t>
            </w:r>
          </w:p>
        </w:tc>
        <w:tc>
          <w:tcPr>
            <w:tcW w:w="16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362,777,097</w:t>
            </w:r>
          </w:p>
        </w:tc>
      </w:tr>
      <w:tr>
        <w:trPr>
          <w:trHeight w:val="288"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731"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1,071,973,174</w:t>
            </w:r>
          </w:p>
        </w:tc>
        <w:tc>
          <w:tcPr>
            <w:tcW w:w="163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3"/>
              <w:jc w:val="right"/>
              <w:rPr>
                <w:rFonts w:ascii="宋体" w:hAnsi="宋体" w:cs="宋体" w:eastAsia="宋体" w:hint="default"/>
                <w:sz w:val="21"/>
                <w:szCs w:val="21"/>
              </w:rPr>
            </w:pPr>
            <w:r>
              <w:rPr>
                <w:rFonts w:ascii="宋体"/>
                <w:spacing w:val="-1"/>
                <w:sz w:val="21"/>
              </w:rPr>
              <w:t>747,368,911</w:t>
            </w:r>
          </w:p>
        </w:tc>
      </w:tr>
      <w:tr>
        <w:trPr>
          <w:trHeight w:val="288"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216,084,329</w:t>
            </w:r>
          </w:p>
        </w:tc>
        <w:tc>
          <w:tcPr>
            <w:tcW w:w="16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122,062,876</w:t>
            </w:r>
          </w:p>
        </w:tc>
      </w:tr>
      <w:tr>
        <w:trPr>
          <w:trHeight w:val="288"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130,512,908</w:t>
            </w:r>
          </w:p>
        </w:tc>
        <w:tc>
          <w:tcPr>
            <w:tcW w:w="16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180,249,602</w:t>
            </w:r>
          </w:p>
        </w:tc>
      </w:tr>
      <w:tr>
        <w:trPr>
          <w:trHeight w:val="559"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311" w:right="0"/>
              <w:jc w:val="left"/>
              <w:rPr>
                <w:rFonts w:ascii="宋体" w:hAnsi="宋体" w:cs="宋体" w:eastAsia="宋体" w:hint="default"/>
                <w:sz w:val="21"/>
                <w:szCs w:val="21"/>
              </w:rPr>
            </w:pPr>
            <w:r>
              <w:rPr>
                <w:rFonts w:ascii="宋体" w:hAnsi="宋体" w:cs="宋体" w:eastAsia="宋体" w:hint="default"/>
                <w:sz w:val="21"/>
                <w:szCs w:val="21"/>
              </w:rPr>
              <w:t>加：公允价值变动收益（损失以“－”</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号填列）</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
        </w:tc>
        <w:tc>
          <w:tcPr>
            <w:tcW w:w="1634"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49"/>
              <w:jc w:val="right"/>
              <w:rPr>
                <w:rFonts w:ascii="宋体" w:hAnsi="宋体" w:cs="宋体" w:eastAsia="宋体" w:hint="default"/>
                <w:sz w:val="21"/>
                <w:szCs w:val="21"/>
              </w:rPr>
            </w:pPr>
            <w:r>
              <w:rPr>
                <w:rFonts w:ascii="宋体" w:hAnsi="宋体" w:cs="宋体" w:eastAsia="宋体" w:hint="default"/>
                <w:spacing w:val="-2"/>
                <w:sz w:val="21"/>
                <w:szCs w:val="21"/>
              </w:rPr>
              <w:t>投资收益（损失以“－”号填列）</w:t>
            </w:r>
          </w:p>
        </w:tc>
        <w:tc>
          <w:tcPr>
            <w:tcW w:w="14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1"/>
              <w:jc w:val="center"/>
              <w:rPr>
                <w:rFonts w:ascii="宋体" w:hAnsi="宋体" w:cs="宋体" w:eastAsia="宋体" w:hint="default"/>
                <w:sz w:val="21"/>
                <w:szCs w:val="21"/>
              </w:rPr>
            </w:pPr>
            <w:r>
              <w:rPr>
                <w:rFonts w:ascii="宋体" w:hAnsi="宋体" w:cs="宋体" w:eastAsia="宋体" w:hint="default"/>
                <w:sz w:val="21"/>
                <w:szCs w:val="21"/>
              </w:rPr>
              <w:t>附注十七、</w:t>
            </w:r>
            <w:r>
              <w:rPr>
                <w:rFonts w:ascii="宋体" w:hAnsi="宋体" w:cs="宋体" w:eastAsia="宋体" w:hint="default"/>
                <w:sz w:val="21"/>
                <w:szCs w:val="21"/>
              </w:rPr>
              <w:t>5</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222,758,837</w:t>
            </w:r>
          </w:p>
        </w:tc>
        <w:tc>
          <w:tcPr>
            <w:tcW w:w="16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380,124,799</w:t>
            </w:r>
          </w:p>
        </w:tc>
      </w:tr>
      <w:tr>
        <w:trPr>
          <w:trHeight w:val="560"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731" w:right="0"/>
              <w:jc w:val="left"/>
              <w:rPr>
                <w:rFonts w:ascii="宋体" w:hAnsi="宋体" w:cs="宋体" w:eastAsia="宋体" w:hint="default"/>
                <w:sz w:val="21"/>
                <w:szCs w:val="21"/>
              </w:rPr>
            </w:pPr>
            <w:r>
              <w:rPr>
                <w:rFonts w:ascii="宋体" w:hAnsi="宋体" w:cs="宋体" w:eastAsia="宋体" w:hint="default"/>
                <w:sz w:val="21"/>
                <w:szCs w:val="21"/>
              </w:rPr>
              <w:t>其中：对联营企业和合营企业的投</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资收益</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1,879,015</w:t>
            </w:r>
          </w:p>
        </w:tc>
        <w:tc>
          <w:tcPr>
            <w:tcW w:w="16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4,687,124</w:t>
            </w:r>
          </w:p>
        </w:tc>
      </w:tr>
      <w:tr>
        <w:trPr>
          <w:trHeight w:val="288"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49"/>
              <w:jc w:val="right"/>
              <w:rPr>
                <w:rFonts w:ascii="宋体" w:hAnsi="宋体" w:cs="宋体" w:eastAsia="宋体" w:hint="default"/>
                <w:sz w:val="21"/>
                <w:szCs w:val="21"/>
              </w:rPr>
            </w:pPr>
            <w:r>
              <w:rPr>
                <w:rFonts w:ascii="宋体" w:hAnsi="宋体" w:cs="宋体" w:eastAsia="宋体" w:hint="default"/>
                <w:spacing w:val="-2"/>
                <w:sz w:val="21"/>
                <w:szCs w:val="21"/>
              </w:rPr>
              <w:t>资产处置收益（损失以“－”号填</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1,187,509</w:t>
            </w:r>
          </w:p>
        </w:tc>
        <w:tc>
          <w:tcPr>
            <w:tcW w:w="16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732,580</w:t>
            </w:r>
          </w:p>
        </w:tc>
      </w:tr>
    </w:tbl>
    <w:p>
      <w:pPr>
        <w:spacing w:after="0" w:line="241" w:lineRule="exact"/>
        <w:jc w:val="right"/>
        <w:rPr>
          <w:rFonts w:ascii="宋体" w:hAnsi="宋体" w:cs="宋体" w:eastAsia="宋体" w:hint="default"/>
          <w:sz w:val="21"/>
          <w:szCs w:val="21"/>
        </w:rPr>
        <w:sectPr>
          <w:type w:val="continuous"/>
          <w:pgSz w:w="11910" w:h="16840"/>
          <w:pgMar w:top="1320" w:bottom="1380" w:left="1580" w:right="1040"/>
        </w:sectPr>
      </w:pPr>
    </w:p>
    <w:p>
      <w:pPr>
        <w:spacing w:line="240" w:lineRule="auto" w:before="6"/>
        <w:rPr>
          <w:rFonts w:ascii="宋体" w:hAnsi="宋体" w:cs="宋体" w:eastAsia="宋体" w:hint="default"/>
          <w:sz w:val="14"/>
          <w:szCs w:val="14"/>
        </w:rPr>
      </w:pPr>
    </w:p>
    <w:tbl>
      <w:tblPr>
        <w:tblW w:w="0" w:type="auto"/>
        <w:jc w:val="left"/>
        <w:tblInd w:w="102" w:type="dxa"/>
        <w:tblLayout w:type="fixed"/>
        <w:tblCellMar>
          <w:top w:w="0" w:type="dxa"/>
          <w:left w:w="0" w:type="dxa"/>
          <w:bottom w:w="0" w:type="dxa"/>
          <w:right w:w="0" w:type="dxa"/>
        </w:tblCellMar>
        <w:tblLook w:val="01E0"/>
      </w:tblPr>
      <w:tblGrid>
        <w:gridCol w:w="4052"/>
        <w:gridCol w:w="1467"/>
        <w:gridCol w:w="1897"/>
        <w:gridCol w:w="1634"/>
      </w:tblGrid>
      <w:tr>
        <w:trPr>
          <w:trHeight w:val="288"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100" w:right="0"/>
              <w:jc w:val="left"/>
              <w:rPr>
                <w:rFonts w:ascii="宋体" w:hAnsi="宋体" w:cs="宋体" w:eastAsia="宋体" w:hint="default"/>
                <w:sz w:val="21"/>
                <w:szCs w:val="21"/>
              </w:rPr>
            </w:pPr>
            <w:r>
              <w:rPr>
                <w:rFonts w:ascii="宋体" w:hAnsi="宋体" w:cs="宋体" w:eastAsia="宋体" w:hint="default"/>
                <w:sz w:val="21"/>
                <w:szCs w:val="21"/>
              </w:rPr>
              <w:t>列）</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
        </w:tc>
        <w:tc>
          <w:tcPr>
            <w:tcW w:w="1634"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其他收益</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199,053,050</w:t>
            </w:r>
          </w:p>
        </w:tc>
        <w:tc>
          <w:tcPr>
            <w:tcW w:w="1634"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81" w:right="0"/>
              <w:jc w:val="left"/>
              <w:rPr>
                <w:rFonts w:ascii="宋体" w:hAnsi="宋体" w:cs="宋体" w:eastAsia="宋体" w:hint="default"/>
                <w:sz w:val="21"/>
                <w:szCs w:val="21"/>
              </w:rPr>
            </w:pPr>
            <w:r>
              <w:rPr>
                <w:rFonts w:ascii="宋体" w:hAnsi="宋体" w:cs="宋体" w:eastAsia="宋体" w:hint="default"/>
                <w:sz w:val="21"/>
                <w:szCs w:val="21"/>
              </w:rPr>
              <w:t>二、营业利润（亏损以“－”号填列）</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335,419,713</w:t>
            </w:r>
          </w:p>
        </w:tc>
        <w:tc>
          <w:tcPr>
            <w:tcW w:w="16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131,263,456</w:t>
            </w:r>
          </w:p>
        </w:tc>
      </w:tr>
      <w:tr>
        <w:trPr>
          <w:trHeight w:val="286"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1,841,251</w:t>
            </w:r>
          </w:p>
        </w:tc>
        <w:tc>
          <w:tcPr>
            <w:tcW w:w="16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140,464,219</w:t>
            </w:r>
          </w:p>
        </w:tc>
      </w:tr>
      <w:tr>
        <w:trPr>
          <w:trHeight w:val="288"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3,784,323</w:t>
            </w:r>
          </w:p>
        </w:tc>
        <w:tc>
          <w:tcPr>
            <w:tcW w:w="163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3"/>
              <w:jc w:val="right"/>
              <w:rPr>
                <w:rFonts w:ascii="宋体" w:hAnsi="宋体" w:cs="宋体" w:eastAsia="宋体" w:hint="default"/>
                <w:sz w:val="21"/>
                <w:szCs w:val="21"/>
              </w:rPr>
            </w:pPr>
            <w:r>
              <w:rPr>
                <w:rFonts w:ascii="宋体"/>
                <w:spacing w:val="-1"/>
                <w:sz w:val="21"/>
              </w:rPr>
              <w:t>10,301,872</w:t>
            </w:r>
          </w:p>
        </w:tc>
      </w:tr>
      <w:tr>
        <w:trPr>
          <w:trHeight w:val="288"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81" w:right="-8"/>
              <w:jc w:val="left"/>
              <w:rPr>
                <w:rFonts w:ascii="宋体" w:hAnsi="宋体" w:cs="宋体" w:eastAsia="宋体" w:hint="default"/>
                <w:sz w:val="21"/>
                <w:szCs w:val="21"/>
              </w:rPr>
            </w:pPr>
            <w:r>
              <w:rPr>
                <w:rFonts w:ascii="宋体" w:hAnsi="宋体" w:cs="宋体" w:eastAsia="宋体" w:hint="default"/>
                <w:spacing w:val="-3"/>
                <w:sz w:val="21"/>
                <w:szCs w:val="21"/>
              </w:rPr>
              <w:t>三、利润总额（亏损总额以“－”号填列）</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333,476,641</w:t>
            </w:r>
          </w:p>
        </w:tc>
        <w:tc>
          <w:tcPr>
            <w:tcW w:w="16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261,425,803</w:t>
            </w:r>
          </w:p>
        </w:tc>
      </w:tr>
      <w:tr>
        <w:trPr>
          <w:trHeight w:val="288"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01"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4,084,013</w:t>
            </w:r>
          </w:p>
        </w:tc>
        <w:tc>
          <w:tcPr>
            <w:tcW w:w="16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-7,682,960</w:t>
            </w:r>
          </w:p>
        </w:tc>
      </w:tr>
      <w:tr>
        <w:trPr>
          <w:trHeight w:val="286"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81" w:right="0"/>
              <w:jc w:val="left"/>
              <w:rPr>
                <w:rFonts w:ascii="宋体" w:hAnsi="宋体" w:cs="宋体" w:eastAsia="宋体" w:hint="default"/>
                <w:sz w:val="21"/>
                <w:szCs w:val="21"/>
              </w:rPr>
            </w:pPr>
            <w:r>
              <w:rPr>
                <w:rFonts w:ascii="宋体" w:hAnsi="宋体" w:cs="宋体" w:eastAsia="宋体" w:hint="default"/>
                <w:sz w:val="21"/>
                <w:szCs w:val="21"/>
              </w:rPr>
              <w:t>四、净利润（净亏损以“－”号填列）</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329,392,628</w:t>
            </w:r>
          </w:p>
        </w:tc>
        <w:tc>
          <w:tcPr>
            <w:tcW w:w="16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269,108,763</w:t>
            </w:r>
          </w:p>
        </w:tc>
      </w:tr>
      <w:tr>
        <w:trPr>
          <w:trHeight w:val="559"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一</w:t>
            </w:r>
            <w:r>
              <w:rPr>
                <w:rFonts w:ascii="宋体" w:hAnsi="宋体" w:cs="宋体" w:eastAsia="宋体" w:hint="default"/>
                <w:sz w:val="21"/>
                <w:szCs w:val="21"/>
              </w:rPr>
              <w:t>)</w:t>
            </w:r>
            <w:r>
              <w:rPr>
                <w:rFonts w:ascii="宋体" w:hAnsi="宋体" w:cs="宋体" w:eastAsia="宋体" w:hint="default"/>
                <w:sz w:val="21"/>
                <w:szCs w:val="21"/>
              </w:rPr>
              <w:t>持续经营净利润（净亏损以</w:t>
            </w:r>
          </w:p>
          <w:p>
            <w:pPr>
              <w:pStyle w:val="TableParagraph"/>
              <w:spacing w:line="274" w:lineRule="exact"/>
              <w:ind w:left="83" w:right="0"/>
              <w:jc w:val="left"/>
              <w:rPr>
                <w:rFonts w:ascii="宋体" w:hAnsi="宋体" w:cs="宋体" w:eastAsia="宋体" w:hint="default"/>
                <w:sz w:val="21"/>
                <w:szCs w:val="21"/>
              </w:rPr>
            </w:pPr>
            <w:r>
              <w:rPr>
                <w:rFonts w:ascii="宋体" w:hAnsi="宋体" w:cs="宋体" w:eastAsia="宋体" w:hint="default"/>
                <w:sz w:val="21"/>
                <w:szCs w:val="21"/>
              </w:rPr>
              <w:t>“－”号填列）</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329,392,628</w:t>
            </w:r>
          </w:p>
        </w:tc>
        <w:tc>
          <w:tcPr>
            <w:tcW w:w="16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269,108,763</w:t>
            </w:r>
          </w:p>
        </w:tc>
      </w:tr>
      <w:tr>
        <w:trPr>
          <w:trHeight w:val="562"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03" w:right="-10"/>
              <w:jc w:val="left"/>
              <w:rPr>
                <w:rFonts w:ascii="宋体" w:hAnsi="宋体" w:cs="宋体" w:eastAsia="宋体" w:hint="default"/>
                <w:sz w:val="21"/>
                <w:szCs w:val="21"/>
              </w:rPr>
            </w:pPr>
            <w:r>
              <w:rPr>
                <w:rFonts w:ascii="宋体" w:hAnsi="宋体" w:cs="宋体" w:eastAsia="宋体" w:hint="default"/>
                <w:w w:val="100"/>
                <w:sz w:val="21"/>
                <w:szCs w:val="21"/>
              </w:rPr>
              <w:t>（二</w:t>
            </w:r>
            <w:r>
              <w:rPr>
                <w:rFonts w:ascii="宋体" w:hAnsi="宋体" w:cs="宋体" w:eastAsia="宋体" w:hint="default"/>
                <w:spacing w:val="-85"/>
                <w:w w:val="100"/>
                <w:sz w:val="21"/>
                <w:szCs w:val="21"/>
              </w:rPr>
              <w:t>）</w:t>
            </w:r>
            <w:r>
              <w:rPr>
                <w:rFonts w:ascii="宋体" w:hAnsi="宋体" w:cs="宋体" w:eastAsia="宋体" w:hint="default"/>
                <w:w w:val="100"/>
                <w:sz w:val="21"/>
                <w:szCs w:val="21"/>
              </w:rPr>
              <w:t>终</w:t>
            </w:r>
            <w:r>
              <w:rPr>
                <w:rFonts w:ascii="宋体" w:hAnsi="宋体" w:cs="宋体" w:eastAsia="宋体" w:hint="default"/>
                <w:spacing w:val="-3"/>
                <w:w w:val="100"/>
                <w:sz w:val="21"/>
                <w:szCs w:val="21"/>
              </w:rPr>
              <w:t>止</w:t>
            </w:r>
            <w:r>
              <w:rPr>
                <w:rFonts w:ascii="宋体" w:hAnsi="宋体" w:cs="宋体" w:eastAsia="宋体" w:hint="default"/>
                <w:w w:val="100"/>
                <w:sz w:val="21"/>
                <w:szCs w:val="21"/>
              </w:rPr>
              <w:t>经</w:t>
            </w:r>
            <w:r>
              <w:rPr>
                <w:rFonts w:ascii="宋体" w:hAnsi="宋体" w:cs="宋体" w:eastAsia="宋体" w:hint="default"/>
                <w:spacing w:val="-3"/>
                <w:w w:val="100"/>
                <w:sz w:val="21"/>
                <w:szCs w:val="21"/>
              </w:rPr>
              <w:t>营</w:t>
            </w:r>
            <w:r>
              <w:rPr>
                <w:rFonts w:ascii="宋体" w:hAnsi="宋体" w:cs="宋体" w:eastAsia="宋体" w:hint="default"/>
                <w:w w:val="100"/>
                <w:sz w:val="21"/>
                <w:szCs w:val="21"/>
              </w:rPr>
              <w:t>净</w:t>
            </w:r>
            <w:r>
              <w:rPr>
                <w:rFonts w:ascii="宋体" w:hAnsi="宋体" w:cs="宋体" w:eastAsia="宋体" w:hint="default"/>
                <w:spacing w:val="-3"/>
                <w:w w:val="100"/>
                <w:sz w:val="21"/>
                <w:szCs w:val="21"/>
              </w:rPr>
              <w:t>利</w:t>
            </w:r>
            <w:r>
              <w:rPr>
                <w:rFonts w:ascii="宋体" w:hAnsi="宋体" w:cs="宋体" w:eastAsia="宋体" w:hint="default"/>
                <w:spacing w:val="-82"/>
                <w:w w:val="100"/>
                <w:sz w:val="21"/>
                <w:szCs w:val="21"/>
              </w:rPr>
              <w:t>润</w:t>
            </w:r>
            <w:r>
              <w:rPr>
                <w:rFonts w:ascii="宋体" w:hAnsi="宋体" w:cs="宋体" w:eastAsia="宋体" w:hint="default"/>
                <w:w w:val="100"/>
                <w:sz w:val="21"/>
                <w:szCs w:val="21"/>
              </w:rPr>
              <w:t>（</w:t>
            </w:r>
            <w:r>
              <w:rPr>
                <w:rFonts w:ascii="宋体" w:hAnsi="宋体" w:cs="宋体" w:eastAsia="宋体" w:hint="default"/>
                <w:spacing w:val="-3"/>
                <w:w w:val="100"/>
                <w:sz w:val="21"/>
                <w:szCs w:val="21"/>
              </w:rPr>
              <w:t>净</w:t>
            </w:r>
            <w:r>
              <w:rPr>
                <w:rFonts w:ascii="宋体" w:hAnsi="宋体" w:cs="宋体" w:eastAsia="宋体" w:hint="default"/>
                <w:w w:val="100"/>
                <w:sz w:val="21"/>
                <w:szCs w:val="21"/>
              </w:rPr>
              <w:t>亏损</w:t>
            </w:r>
            <w:r>
              <w:rPr>
                <w:rFonts w:ascii="宋体" w:hAnsi="宋体" w:cs="宋体" w:eastAsia="宋体" w:hint="default"/>
                <w:spacing w:val="-85"/>
                <w:w w:val="100"/>
                <w:sz w:val="21"/>
                <w:szCs w:val="21"/>
              </w:rPr>
              <w:t>以</w:t>
            </w:r>
            <w:r>
              <w:rPr>
                <w:rFonts w:ascii="宋体" w:hAnsi="宋体" w:cs="宋体" w:eastAsia="宋体" w:hint="default"/>
                <w:w w:val="100"/>
                <w:sz w:val="21"/>
                <w:szCs w:val="21"/>
              </w:rPr>
              <w:t>“－”</w:t>
            </w:r>
          </w:p>
          <w:p>
            <w:pPr>
              <w:pStyle w:val="TableParagraph"/>
              <w:spacing w:line="273" w:lineRule="exact"/>
              <w:ind w:left="83" w:right="0"/>
              <w:jc w:val="left"/>
              <w:rPr>
                <w:rFonts w:ascii="宋体" w:hAnsi="宋体" w:cs="宋体" w:eastAsia="宋体" w:hint="default"/>
                <w:sz w:val="21"/>
                <w:szCs w:val="21"/>
              </w:rPr>
            </w:pPr>
            <w:r>
              <w:rPr>
                <w:rFonts w:ascii="宋体" w:hAnsi="宋体" w:cs="宋体" w:eastAsia="宋体" w:hint="default"/>
                <w:sz w:val="21"/>
                <w:szCs w:val="21"/>
              </w:rPr>
              <w:t>号填列）</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
        </w:tc>
        <w:tc>
          <w:tcPr>
            <w:tcW w:w="1634"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60" w:right="0"/>
              <w:jc w:val="left"/>
              <w:rPr>
                <w:rFonts w:ascii="宋体" w:hAnsi="宋体" w:cs="宋体" w:eastAsia="宋体" w:hint="default"/>
                <w:sz w:val="21"/>
                <w:szCs w:val="21"/>
              </w:rPr>
            </w:pPr>
            <w:r>
              <w:rPr>
                <w:rFonts w:ascii="宋体" w:hAnsi="宋体" w:cs="宋体" w:eastAsia="宋体" w:hint="default"/>
                <w:sz w:val="21"/>
                <w:szCs w:val="21"/>
              </w:rPr>
              <w:t>五、其他综合收益的税后净额</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
        </w:tc>
        <w:tc>
          <w:tcPr>
            <w:tcW w:w="1634" w:type="dxa"/>
            <w:tcBorders>
              <w:top w:val="single" w:sz="6" w:space="0" w:color="000000"/>
              <w:left w:val="single" w:sz="6" w:space="0" w:color="000000"/>
              <w:bottom w:val="single" w:sz="6" w:space="0" w:color="000000"/>
              <w:right w:val="single" w:sz="6" w:space="0" w:color="000000"/>
            </w:tcBorders>
          </w:tcPr>
          <w:p>
            <w:pPr/>
          </w:p>
        </w:tc>
      </w:tr>
      <w:tr>
        <w:trPr>
          <w:trHeight w:val="562"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（一）以后不能重分类进损益的其他综</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合收益</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
        </w:tc>
        <w:tc>
          <w:tcPr>
            <w:tcW w:w="1634"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520"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重新计量设定受益计划净负债或净</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资产的变动</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
        </w:tc>
        <w:tc>
          <w:tcPr>
            <w:tcW w:w="1634"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46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权益法下在被投资单位不能重分类</w:t>
            </w:r>
          </w:p>
          <w:p>
            <w:pPr>
              <w:pStyle w:val="TableParagraph"/>
              <w:spacing w:line="273" w:lineRule="exact"/>
              <w:ind w:left="43" w:right="0"/>
              <w:jc w:val="left"/>
              <w:rPr>
                <w:rFonts w:ascii="宋体" w:hAnsi="宋体" w:cs="宋体" w:eastAsia="宋体" w:hint="default"/>
                <w:sz w:val="21"/>
                <w:szCs w:val="21"/>
              </w:rPr>
            </w:pPr>
            <w:r>
              <w:rPr>
                <w:rFonts w:ascii="宋体" w:hAnsi="宋体" w:cs="宋体" w:eastAsia="宋体" w:hint="default"/>
                <w:sz w:val="21"/>
                <w:szCs w:val="21"/>
              </w:rPr>
              <w:t>进损益的其他综合收益中享有的份额</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
        </w:tc>
        <w:tc>
          <w:tcPr>
            <w:tcW w:w="1634"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311" w:right="0"/>
              <w:jc w:val="left"/>
              <w:rPr>
                <w:rFonts w:ascii="宋体" w:hAnsi="宋体" w:cs="宋体" w:eastAsia="宋体" w:hint="default"/>
                <w:sz w:val="21"/>
                <w:szCs w:val="21"/>
              </w:rPr>
            </w:pPr>
            <w:r>
              <w:rPr>
                <w:rFonts w:ascii="宋体" w:hAnsi="宋体" w:cs="宋体" w:eastAsia="宋体" w:hint="default"/>
                <w:sz w:val="21"/>
                <w:szCs w:val="21"/>
              </w:rPr>
              <w:t>（二）以后将重分类进损益的其他综合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收益</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
        </w:tc>
        <w:tc>
          <w:tcPr>
            <w:tcW w:w="1634"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权益法下在被投资单位以后将重分</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类进损益的其他综合收益中享有的份额</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
        </w:tc>
        <w:tc>
          <w:tcPr>
            <w:tcW w:w="1634" w:type="dxa"/>
            <w:tcBorders>
              <w:top w:val="single" w:sz="6" w:space="0" w:color="000000"/>
              <w:left w:val="single" w:sz="6" w:space="0" w:color="000000"/>
              <w:bottom w:val="single" w:sz="6" w:space="0" w:color="000000"/>
              <w:right w:val="single" w:sz="6" w:space="0" w:color="000000"/>
            </w:tcBorders>
          </w:tcPr>
          <w:p>
            <w:pPr/>
          </w:p>
        </w:tc>
      </w:tr>
      <w:tr>
        <w:trPr>
          <w:trHeight w:val="562"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2" w:lineRule="exact"/>
              <w:ind w:left="520"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可供出售金融资产公允价值变动损</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益</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
        </w:tc>
        <w:tc>
          <w:tcPr>
            <w:tcW w:w="1634"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520"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持有至到期投资重分类为可供出售</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金融资产损益</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
        </w:tc>
        <w:tc>
          <w:tcPr>
            <w:tcW w:w="1634"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现金流量套期损益的有效部分</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
        </w:tc>
        <w:tc>
          <w:tcPr>
            <w:tcW w:w="1634"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z w:val="21"/>
                <w:szCs w:val="21"/>
              </w:rPr>
              <w:t>外币财务报表折算差额</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
        </w:tc>
        <w:tc>
          <w:tcPr>
            <w:tcW w:w="1634"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6.</w:t>
            </w:r>
            <w:r>
              <w:rPr>
                <w:rFonts w:ascii="宋体" w:hAnsi="宋体" w:cs="宋体" w:eastAsia="宋体" w:hint="default"/>
                <w:sz w:val="21"/>
                <w:szCs w:val="21"/>
              </w:rPr>
              <w:t>其他</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
        </w:tc>
        <w:tc>
          <w:tcPr>
            <w:tcW w:w="1634"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81" w:right="0"/>
              <w:jc w:val="left"/>
              <w:rPr>
                <w:rFonts w:ascii="宋体" w:hAnsi="宋体" w:cs="宋体" w:eastAsia="宋体" w:hint="default"/>
                <w:sz w:val="21"/>
                <w:szCs w:val="21"/>
              </w:rPr>
            </w:pPr>
            <w:r>
              <w:rPr>
                <w:rFonts w:ascii="宋体" w:hAnsi="宋体" w:cs="宋体" w:eastAsia="宋体" w:hint="default"/>
                <w:sz w:val="21"/>
                <w:szCs w:val="21"/>
              </w:rPr>
              <w:t>六、综合收益总额</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329,392,628</w:t>
            </w:r>
          </w:p>
        </w:tc>
        <w:tc>
          <w:tcPr>
            <w:tcW w:w="16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269,108,763</w:t>
            </w:r>
          </w:p>
        </w:tc>
      </w:tr>
      <w:tr>
        <w:trPr>
          <w:trHeight w:val="286"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60" w:right="0"/>
              <w:jc w:val="left"/>
              <w:rPr>
                <w:rFonts w:ascii="宋体" w:hAnsi="宋体" w:cs="宋体" w:eastAsia="宋体" w:hint="default"/>
                <w:sz w:val="21"/>
                <w:szCs w:val="21"/>
              </w:rPr>
            </w:pPr>
            <w:r>
              <w:rPr>
                <w:rFonts w:ascii="宋体" w:hAnsi="宋体" w:cs="宋体" w:eastAsia="宋体" w:hint="default"/>
                <w:sz w:val="21"/>
                <w:szCs w:val="21"/>
              </w:rPr>
              <w:t>七、每股收益：</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
        </w:tc>
        <w:tc>
          <w:tcPr>
            <w:tcW w:w="1634"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501" w:right="0"/>
              <w:jc w:val="left"/>
              <w:rPr>
                <w:rFonts w:ascii="宋体" w:hAnsi="宋体" w:cs="宋体" w:eastAsia="宋体" w:hint="default"/>
                <w:sz w:val="21"/>
                <w:szCs w:val="21"/>
              </w:rPr>
            </w:pPr>
            <w:r>
              <w:rPr>
                <w:rFonts w:ascii="宋体" w:hAnsi="宋体" w:cs="宋体" w:eastAsia="宋体" w:hint="default"/>
                <w:sz w:val="21"/>
                <w:szCs w:val="21"/>
              </w:rPr>
              <w:t>（一）基本每股收益</w:t>
            </w:r>
            <w:r>
              <w:rPr>
                <w:rFonts w:ascii="宋体" w:hAnsi="宋体" w:cs="宋体" w:eastAsia="宋体" w:hint="default"/>
                <w:sz w:val="21"/>
                <w:szCs w:val="21"/>
              </w:rPr>
              <w:t>(</w:t>
            </w:r>
            <w:r>
              <w:rPr>
                <w:rFonts w:ascii="宋体" w:hAnsi="宋体" w:cs="宋体" w:eastAsia="宋体" w:hint="default"/>
                <w:sz w:val="21"/>
                <w:szCs w:val="21"/>
              </w:rPr>
              <w:t>元</w:t>
            </w:r>
            <w:r>
              <w:rPr>
                <w:rFonts w:ascii="宋体" w:hAnsi="宋体" w:cs="宋体" w:eastAsia="宋体" w:hint="default"/>
                <w:sz w:val="21"/>
                <w:szCs w:val="21"/>
              </w:rPr>
              <w:t>/</w:t>
            </w:r>
            <w:r>
              <w:rPr>
                <w:rFonts w:ascii="宋体" w:hAnsi="宋体" w:cs="宋体" w:eastAsia="宋体" w:hint="default"/>
                <w:sz w:val="21"/>
                <w:szCs w:val="21"/>
              </w:rPr>
              <w:t>股</w:t>
            </w:r>
            <w:r>
              <w:rPr>
                <w:rFonts w:ascii="宋体" w:hAnsi="宋体" w:cs="宋体" w:eastAsia="宋体" w:hint="default"/>
                <w:sz w:val="21"/>
                <w:szCs w:val="21"/>
              </w:rPr>
              <w:t>)</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0.23</w:t>
            </w:r>
          </w:p>
        </w:tc>
        <w:tc>
          <w:tcPr>
            <w:tcW w:w="163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5"/>
              <w:jc w:val="right"/>
              <w:rPr>
                <w:rFonts w:ascii="宋体" w:hAnsi="宋体" w:cs="宋体" w:eastAsia="宋体" w:hint="default"/>
                <w:sz w:val="21"/>
                <w:szCs w:val="21"/>
              </w:rPr>
            </w:pPr>
            <w:r>
              <w:rPr>
                <w:rFonts w:ascii="宋体"/>
                <w:sz w:val="21"/>
              </w:rPr>
              <w:t>0.18</w:t>
            </w:r>
          </w:p>
        </w:tc>
      </w:tr>
      <w:tr>
        <w:trPr>
          <w:trHeight w:val="288" w:hRule="exact"/>
        </w:trPr>
        <w:tc>
          <w:tcPr>
            <w:tcW w:w="40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01" w:right="0"/>
              <w:jc w:val="left"/>
              <w:rPr>
                <w:rFonts w:ascii="宋体" w:hAnsi="宋体" w:cs="宋体" w:eastAsia="宋体" w:hint="default"/>
                <w:sz w:val="21"/>
                <w:szCs w:val="21"/>
              </w:rPr>
            </w:pPr>
            <w:r>
              <w:rPr>
                <w:rFonts w:ascii="宋体" w:hAnsi="宋体" w:cs="宋体" w:eastAsia="宋体" w:hint="default"/>
                <w:sz w:val="21"/>
                <w:szCs w:val="21"/>
              </w:rPr>
              <w:t>（二）稀释每股收益</w:t>
            </w:r>
            <w:r>
              <w:rPr>
                <w:rFonts w:ascii="宋体" w:hAnsi="宋体" w:cs="宋体" w:eastAsia="宋体" w:hint="default"/>
                <w:sz w:val="21"/>
                <w:szCs w:val="21"/>
              </w:rPr>
              <w:t>(</w:t>
            </w:r>
            <w:r>
              <w:rPr>
                <w:rFonts w:ascii="宋体" w:hAnsi="宋体" w:cs="宋体" w:eastAsia="宋体" w:hint="default"/>
                <w:sz w:val="21"/>
                <w:szCs w:val="21"/>
              </w:rPr>
              <w:t>元</w:t>
            </w:r>
            <w:r>
              <w:rPr>
                <w:rFonts w:ascii="宋体" w:hAnsi="宋体" w:cs="宋体" w:eastAsia="宋体" w:hint="default"/>
                <w:sz w:val="21"/>
                <w:szCs w:val="21"/>
              </w:rPr>
              <w:t>/</w:t>
            </w:r>
            <w:r>
              <w:rPr>
                <w:rFonts w:ascii="宋体" w:hAnsi="宋体" w:cs="宋体" w:eastAsia="宋体" w:hint="default"/>
                <w:sz w:val="21"/>
                <w:szCs w:val="21"/>
              </w:rPr>
              <w:t>股</w:t>
            </w:r>
            <w:r>
              <w:rPr>
                <w:rFonts w:ascii="宋体" w:hAnsi="宋体" w:cs="宋体" w:eastAsia="宋体" w:hint="default"/>
                <w:sz w:val="21"/>
                <w:szCs w:val="21"/>
              </w:rPr>
              <w:t>)</w:t>
            </w:r>
          </w:p>
        </w:tc>
        <w:tc>
          <w:tcPr>
            <w:tcW w:w="1467"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0.23</w:t>
            </w:r>
          </w:p>
        </w:tc>
        <w:tc>
          <w:tcPr>
            <w:tcW w:w="16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5"/>
              <w:jc w:val="right"/>
              <w:rPr>
                <w:rFonts w:ascii="宋体" w:hAnsi="宋体" w:cs="宋体" w:eastAsia="宋体" w:hint="default"/>
                <w:sz w:val="21"/>
                <w:szCs w:val="21"/>
              </w:rPr>
            </w:pPr>
            <w:r>
              <w:rPr>
                <w:rFonts w:ascii="宋体"/>
                <w:sz w:val="21"/>
              </w:rPr>
              <w:t>0.18</w:t>
            </w:r>
          </w:p>
        </w:tc>
      </w:tr>
    </w:tbl>
    <w:p>
      <w:pPr>
        <w:spacing w:line="240" w:lineRule="auto" w:before="8"/>
        <w:rPr>
          <w:rFonts w:ascii="宋体" w:hAnsi="宋体" w:cs="宋体" w:eastAsia="宋体" w:hint="default"/>
          <w:sz w:val="15"/>
          <w:szCs w:val="15"/>
        </w:rPr>
      </w:pPr>
    </w:p>
    <w:p>
      <w:pPr>
        <w:pStyle w:val="BodyText"/>
        <w:spacing w:line="240" w:lineRule="auto" w:before="36"/>
        <w:ind w:right="99"/>
        <w:jc w:val="left"/>
      </w:pPr>
      <w:r>
        <w:rPr/>
        <w:t>法定代表人：王文京 主管会计工作负责人：章培林</w:t>
      </w:r>
      <w:r>
        <w:rPr>
          <w:spacing w:val="-6"/>
        </w:rPr>
        <w:t> </w:t>
      </w:r>
      <w:r>
        <w:rPr/>
        <w:t>会计机构负责人：王仕平</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pgSz w:w="11910" w:h="16840"/>
          <w:pgMar w:header="857" w:footer="1195" w:top="1320" w:bottom="1380" w:left="1580" w:right="1040"/>
        </w:sectPr>
      </w:pPr>
    </w:p>
    <w:p>
      <w:pPr>
        <w:spacing w:line="272" w:lineRule="exact" w:before="64"/>
        <w:ind w:left="3873" w:right="0" w:firstLine="21"/>
        <w:jc w:val="right"/>
        <w:rPr>
          <w:rFonts w:ascii="宋体" w:hAnsi="宋体" w:cs="宋体" w:eastAsia="宋体" w:hint="default"/>
          <w:sz w:val="21"/>
          <w:szCs w:val="21"/>
        </w:rPr>
      </w:pPr>
      <w:r>
        <w:rPr>
          <w:rFonts w:ascii="宋体" w:hAnsi="宋体" w:cs="宋体" w:eastAsia="宋体" w:hint="default"/>
          <w:b/>
          <w:bCs/>
          <w:sz w:val="21"/>
          <w:szCs w:val="21"/>
        </w:rPr>
        <w:t>合并现金流量表</w:t>
      </w:r>
      <w:r>
        <w:rPr>
          <w:rFonts w:ascii="宋体" w:hAnsi="宋体" w:cs="宋体" w:eastAsia="宋体" w:hint="default"/>
          <w:b/>
          <w:bCs/>
          <w:w w:val="100"/>
          <w:sz w:val="21"/>
          <w:szCs w:val="21"/>
        </w:rPr>
        <w:t> </w:t>
      </w: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z w:val="21"/>
          <w:szCs w:val="21"/>
        </w:rPr>
        <w:t>—</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3"/>
        <w:rPr>
          <w:rFonts w:ascii="宋体" w:hAnsi="宋体" w:cs="宋体" w:eastAsia="宋体" w:hint="default"/>
          <w:sz w:val="24"/>
          <w:szCs w:val="24"/>
        </w:rPr>
      </w:pPr>
    </w:p>
    <w:p>
      <w:pPr>
        <w:pStyle w:val="BodyText"/>
        <w:tabs>
          <w:tab w:pos="2353" w:val="left" w:leader="none"/>
        </w:tabs>
        <w:spacing w:line="240" w:lineRule="auto"/>
        <w:ind w:left="1301" w:right="0"/>
        <w:jc w:val="left"/>
      </w:pPr>
      <w:r>
        <w:rPr>
          <w:spacing w:val="-1"/>
        </w:rPr>
        <w:t>单位：元</w:t>
        <w:tab/>
        <w:t>币种：人民币</w:t>
      </w:r>
    </w:p>
    <w:p>
      <w:pPr>
        <w:spacing w:after="0" w:line="240" w:lineRule="auto"/>
        <w:jc w:val="left"/>
        <w:sectPr>
          <w:type w:val="continuous"/>
          <w:pgSz w:w="11910" w:h="16840"/>
          <w:pgMar w:top="1320" w:bottom="1380" w:left="1580" w:right="1040"/>
          <w:cols w:num="2" w:equalWidth="0">
            <w:col w:w="5399" w:space="40"/>
            <w:col w:w="3851"/>
          </w:cols>
        </w:sectPr>
      </w:pPr>
    </w:p>
    <w:p>
      <w:pPr>
        <w:spacing w:line="240" w:lineRule="auto" w:before="7"/>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3651"/>
        <w:gridCol w:w="1582"/>
        <w:gridCol w:w="1891"/>
        <w:gridCol w:w="1925"/>
      </w:tblGrid>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407"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427"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一、经营活动产生的现金流量：</w:t>
            </w:r>
            <w:r>
              <w:rPr>
                <w:rFonts w:ascii="宋体" w:hAnsi="宋体" w:cs="宋体" w:eastAsia="宋体" w:hint="default"/>
                <w:sz w:val="21"/>
                <w:szCs w:val="21"/>
              </w:rPr>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
        </w:tc>
        <w:tc>
          <w:tcPr>
            <w:tcW w:w="1925"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销售商品、提供劳务收到的现金</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407" w:right="0"/>
              <w:jc w:val="left"/>
              <w:rPr>
                <w:rFonts w:ascii="宋体" w:hAnsi="宋体" w:cs="宋体" w:eastAsia="宋体" w:hint="default"/>
                <w:sz w:val="21"/>
                <w:szCs w:val="21"/>
              </w:rPr>
            </w:pPr>
            <w:r>
              <w:rPr>
                <w:rFonts w:ascii="宋体"/>
                <w:sz w:val="21"/>
              </w:rPr>
              <w:t>6,747,041,516</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444" w:right="0"/>
              <w:jc w:val="left"/>
              <w:rPr>
                <w:rFonts w:ascii="宋体" w:hAnsi="宋体" w:cs="宋体" w:eastAsia="宋体" w:hint="default"/>
                <w:sz w:val="21"/>
                <w:szCs w:val="21"/>
              </w:rPr>
            </w:pPr>
            <w:r>
              <w:rPr>
                <w:rFonts w:ascii="宋体"/>
                <w:sz w:val="21"/>
              </w:rPr>
              <w:t>5,535,188,131</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68"/>
              <w:jc w:val="right"/>
              <w:rPr>
                <w:rFonts w:ascii="宋体" w:hAnsi="宋体" w:cs="宋体" w:eastAsia="宋体" w:hint="default"/>
                <w:sz w:val="21"/>
                <w:szCs w:val="21"/>
              </w:rPr>
            </w:pPr>
            <w:r>
              <w:rPr>
                <w:rFonts w:ascii="宋体" w:hAnsi="宋体" w:cs="宋体" w:eastAsia="宋体" w:hint="default"/>
                <w:spacing w:val="-2"/>
                <w:sz w:val="21"/>
                <w:szCs w:val="21"/>
              </w:rPr>
              <w:t>客户存款和同业存放款项净增加额</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
        </w:tc>
        <w:tc>
          <w:tcPr>
            <w:tcW w:w="1925"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向中央银行借款净增加额</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
        </w:tc>
        <w:tc>
          <w:tcPr>
            <w:tcW w:w="1925"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68"/>
              <w:jc w:val="right"/>
              <w:rPr>
                <w:rFonts w:ascii="宋体" w:hAnsi="宋体" w:cs="宋体" w:eastAsia="宋体" w:hint="default"/>
                <w:sz w:val="21"/>
                <w:szCs w:val="21"/>
              </w:rPr>
            </w:pPr>
            <w:r>
              <w:rPr>
                <w:rFonts w:ascii="宋体" w:hAnsi="宋体" w:cs="宋体" w:eastAsia="宋体" w:hint="default"/>
                <w:spacing w:val="-2"/>
                <w:sz w:val="21"/>
                <w:szCs w:val="21"/>
              </w:rPr>
              <w:t>向其他金融机构拆入资金净增加额</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
        </w:tc>
        <w:tc>
          <w:tcPr>
            <w:tcW w:w="1925"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收到原保险合同保费取得的现金</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
        </w:tc>
        <w:tc>
          <w:tcPr>
            <w:tcW w:w="1925" w:type="dxa"/>
            <w:tcBorders>
              <w:top w:val="single" w:sz="6" w:space="0" w:color="000000"/>
              <w:left w:val="single" w:sz="6" w:space="0" w:color="000000"/>
              <w:bottom w:val="single" w:sz="6" w:space="0" w:color="000000"/>
              <w:right w:val="single" w:sz="6" w:space="0" w:color="000000"/>
            </w:tcBorders>
          </w:tcPr>
          <w:p>
            <w:pPr/>
          </w:p>
        </w:tc>
      </w:tr>
    </w:tbl>
    <w:p>
      <w:pPr>
        <w:spacing w:after="0"/>
        <w:sectPr>
          <w:type w:val="continuous"/>
          <w:pgSz w:w="11910" w:h="16840"/>
          <w:pgMar w:top="1320" w:bottom="1380" w:left="1580" w:right="1040"/>
        </w:sectPr>
      </w:pPr>
    </w:p>
    <w:p>
      <w:pPr>
        <w:spacing w:line="240" w:lineRule="auto" w:before="6"/>
        <w:rPr>
          <w:rFonts w:ascii="Times New Roman" w:hAnsi="Times New Roman" w:cs="Times New Roman" w:eastAsia="Times New Roman" w:hint="default"/>
          <w:sz w:val="16"/>
          <w:szCs w:val="16"/>
        </w:rPr>
      </w:pPr>
    </w:p>
    <w:tbl>
      <w:tblPr>
        <w:tblW w:w="0" w:type="auto"/>
        <w:jc w:val="left"/>
        <w:tblInd w:w="102" w:type="dxa"/>
        <w:tblLayout w:type="fixed"/>
        <w:tblCellMar>
          <w:top w:w="0" w:type="dxa"/>
          <w:left w:w="0" w:type="dxa"/>
          <w:bottom w:w="0" w:type="dxa"/>
          <w:right w:w="0" w:type="dxa"/>
        </w:tblCellMar>
        <w:tblLook w:val="01E0"/>
      </w:tblPr>
      <w:tblGrid>
        <w:gridCol w:w="3651"/>
        <w:gridCol w:w="1582"/>
        <w:gridCol w:w="1891"/>
        <w:gridCol w:w="1925"/>
      </w:tblGrid>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311" w:right="0"/>
              <w:jc w:val="left"/>
              <w:rPr>
                <w:rFonts w:ascii="宋体" w:hAnsi="宋体" w:cs="宋体" w:eastAsia="宋体" w:hint="default"/>
                <w:sz w:val="21"/>
                <w:szCs w:val="21"/>
              </w:rPr>
            </w:pPr>
            <w:r>
              <w:rPr>
                <w:rFonts w:ascii="宋体" w:hAnsi="宋体" w:cs="宋体" w:eastAsia="宋体" w:hint="default"/>
                <w:sz w:val="21"/>
                <w:szCs w:val="21"/>
              </w:rPr>
              <w:t>收到再保险业务现金净额</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
        </w:tc>
        <w:tc>
          <w:tcPr>
            <w:tcW w:w="1925"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保户储金及投资款净增加额</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
        </w:tc>
        <w:tc>
          <w:tcPr>
            <w:tcW w:w="1925"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311" w:right="0"/>
              <w:jc w:val="left"/>
              <w:rPr>
                <w:rFonts w:ascii="宋体" w:hAnsi="宋体" w:cs="宋体" w:eastAsia="宋体" w:hint="default"/>
                <w:sz w:val="21"/>
                <w:szCs w:val="21"/>
              </w:rPr>
            </w:pPr>
            <w:r>
              <w:rPr>
                <w:rFonts w:ascii="宋体" w:hAnsi="宋体" w:cs="宋体" w:eastAsia="宋体" w:hint="default"/>
                <w:sz w:val="21"/>
                <w:szCs w:val="21"/>
              </w:rPr>
              <w:t>处置以公允价值计量且其变动计入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当期损益的金融资产净增加额</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
        </w:tc>
        <w:tc>
          <w:tcPr>
            <w:tcW w:w="1925"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收取利息、手续费及佣金的现金</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
        </w:tc>
        <w:tc>
          <w:tcPr>
            <w:tcW w:w="1925"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拆入资金净增加额</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
        </w:tc>
        <w:tc>
          <w:tcPr>
            <w:tcW w:w="1925"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回购业务资金净增加额</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
        </w:tc>
        <w:tc>
          <w:tcPr>
            <w:tcW w:w="1925"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331,237,286</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284,430,063</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收到其他与经营活动有关的现金</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73</w:t>
            </w: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300,040,426</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233,055,872</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经营活动现金流入小计</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7,378,319,228</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6,052,674,066</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购买商品、接受劳务支付的现金</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999,956,922</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891,324,815</w:t>
            </w:r>
          </w:p>
        </w:tc>
      </w:tr>
      <w:tr>
        <w:trPr>
          <w:trHeight w:val="289"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客户贷款及垫款净增加额</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
        </w:tc>
        <w:tc>
          <w:tcPr>
            <w:tcW w:w="1925"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68"/>
              <w:jc w:val="right"/>
              <w:rPr>
                <w:rFonts w:ascii="宋体" w:hAnsi="宋体" w:cs="宋体" w:eastAsia="宋体" w:hint="default"/>
                <w:sz w:val="21"/>
                <w:szCs w:val="21"/>
              </w:rPr>
            </w:pPr>
            <w:r>
              <w:rPr>
                <w:rFonts w:ascii="宋体" w:hAnsi="宋体" w:cs="宋体" w:eastAsia="宋体" w:hint="default"/>
                <w:spacing w:val="-2"/>
                <w:sz w:val="21"/>
                <w:szCs w:val="21"/>
              </w:rPr>
              <w:t>存放中央银行和同业款项净增加额</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
        </w:tc>
        <w:tc>
          <w:tcPr>
            <w:tcW w:w="1925"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支付原保险合同赔付款项的现金</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
        </w:tc>
        <w:tc>
          <w:tcPr>
            <w:tcW w:w="1925"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支付利息、手续费及佣金的现金</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
        </w:tc>
        <w:tc>
          <w:tcPr>
            <w:tcW w:w="1925"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支付保单红利的现金</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
        </w:tc>
        <w:tc>
          <w:tcPr>
            <w:tcW w:w="1925"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68"/>
              <w:jc w:val="right"/>
              <w:rPr>
                <w:rFonts w:ascii="宋体" w:hAnsi="宋体" w:cs="宋体" w:eastAsia="宋体" w:hint="default"/>
                <w:sz w:val="21"/>
                <w:szCs w:val="21"/>
              </w:rPr>
            </w:pPr>
            <w:r>
              <w:rPr>
                <w:rFonts w:ascii="宋体" w:hAnsi="宋体" w:cs="宋体" w:eastAsia="宋体" w:hint="default"/>
                <w:spacing w:val="-2"/>
                <w:sz w:val="21"/>
                <w:szCs w:val="21"/>
              </w:rPr>
              <w:t>支付给职工以及为职工支付的现金</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3,287,818,135</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2,922,117,004</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730,362,147</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574,316,927</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支付其他与经营活动有关的现金</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73</w:t>
            </w: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929,856,172</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777,834,131</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经营活动现金流出小计</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5,947,993,376</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5,165,592,877</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68"/>
              <w:jc w:val="right"/>
              <w:rPr>
                <w:rFonts w:ascii="宋体" w:hAnsi="宋体" w:cs="宋体" w:eastAsia="宋体" w:hint="default"/>
                <w:sz w:val="21"/>
                <w:szCs w:val="21"/>
              </w:rPr>
            </w:pPr>
            <w:r>
              <w:rPr>
                <w:rFonts w:ascii="宋体" w:hAnsi="宋体" w:cs="宋体" w:eastAsia="宋体" w:hint="default"/>
                <w:spacing w:val="-2"/>
                <w:sz w:val="21"/>
                <w:szCs w:val="21"/>
              </w:rPr>
              <w:t>经营活动产生的现金流量净额</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74</w:t>
            </w: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1,430,325,852</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887,081,189</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二、投资活动产生的现金流量：</w:t>
            </w:r>
            <w:r>
              <w:rPr>
                <w:rFonts w:ascii="宋体" w:hAnsi="宋体" w:cs="宋体" w:eastAsia="宋体" w:hint="default"/>
                <w:sz w:val="21"/>
                <w:szCs w:val="21"/>
              </w:rPr>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
        </w:tc>
        <w:tc>
          <w:tcPr>
            <w:tcW w:w="1925"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3,693,519,262</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2,491,572,307</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取得投资收益收到的现金</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14,242,693</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1,469,566</w:t>
            </w:r>
          </w:p>
        </w:tc>
      </w:tr>
      <w:tr>
        <w:trPr>
          <w:trHeight w:val="559"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311" w:right="0"/>
              <w:jc w:val="left"/>
              <w:rPr>
                <w:rFonts w:ascii="宋体" w:hAnsi="宋体" w:cs="宋体" w:eastAsia="宋体" w:hint="default"/>
                <w:sz w:val="21"/>
                <w:szCs w:val="21"/>
              </w:rPr>
            </w:pPr>
            <w:r>
              <w:rPr>
                <w:rFonts w:ascii="宋体" w:hAnsi="宋体" w:cs="宋体" w:eastAsia="宋体" w:hint="default"/>
                <w:sz w:val="21"/>
                <w:szCs w:val="21"/>
              </w:rPr>
              <w:t>处置固定资产、无形资产和其他长</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期资产收回的现金净额</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5,887,289</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3,049,521</w:t>
            </w:r>
          </w:p>
        </w:tc>
      </w:tr>
      <w:tr>
        <w:trPr>
          <w:trHeight w:val="559"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311" w:right="0"/>
              <w:jc w:val="left"/>
              <w:rPr>
                <w:rFonts w:ascii="宋体" w:hAnsi="宋体" w:cs="宋体" w:eastAsia="宋体" w:hint="default"/>
                <w:sz w:val="21"/>
                <w:szCs w:val="21"/>
              </w:rPr>
            </w:pPr>
            <w:r>
              <w:rPr>
                <w:rFonts w:ascii="宋体" w:hAnsi="宋体" w:cs="宋体" w:eastAsia="宋体" w:hint="default"/>
                <w:sz w:val="21"/>
                <w:szCs w:val="21"/>
              </w:rPr>
              <w:t>处置子公司及其他营业单位收到的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现金净额</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491,236</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收到其他与投资活动有关的现金</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73</w:t>
            </w: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90,718,568</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67,016,092</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投资活动现金流入小计</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3,804,367,812</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2,563,598,722</w:t>
            </w:r>
          </w:p>
        </w:tc>
      </w:tr>
      <w:tr>
        <w:trPr>
          <w:trHeight w:val="562"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购建固定资产、无形资产和其他长</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期资产支付的现金</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454,442,075</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340,301,445</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6,088,244,247</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2,741,806,371</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质押贷款净增加额</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
        </w:tc>
        <w:tc>
          <w:tcPr>
            <w:tcW w:w="1925"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取得子公司及其他营业单位支付的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现金净额</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74</w:t>
            </w: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2,049,641</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12,500,000</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支付其他与投资活动有关的现金</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
        </w:tc>
        <w:tc>
          <w:tcPr>
            <w:tcW w:w="1925"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投资活动现金流出小计</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6,544,735,963</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3,094,607,816</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68"/>
              <w:jc w:val="right"/>
              <w:rPr>
                <w:rFonts w:ascii="宋体" w:hAnsi="宋体" w:cs="宋体" w:eastAsia="宋体" w:hint="default"/>
                <w:sz w:val="21"/>
                <w:szCs w:val="21"/>
              </w:rPr>
            </w:pPr>
            <w:r>
              <w:rPr>
                <w:rFonts w:ascii="宋体" w:hAnsi="宋体" w:cs="宋体" w:eastAsia="宋体" w:hint="default"/>
                <w:spacing w:val="-2"/>
                <w:sz w:val="21"/>
                <w:szCs w:val="21"/>
              </w:rPr>
              <w:t>投资活动产生的现金流量净额</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-2,740,368,151</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-531,009,094</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三、筹资活动产生的现金流量：</w:t>
            </w:r>
            <w:r>
              <w:rPr>
                <w:rFonts w:ascii="宋体" w:hAnsi="宋体" w:cs="宋体" w:eastAsia="宋体" w:hint="default"/>
                <w:sz w:val="21"/>
                <w:szCs w:val="21"/>
              </w:rPr>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
        </w:tc>
        <w:tc>
          <w:tcPr>
            <w:tcW w:w="1925"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吸收投资收到的现金</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176,242,763</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211,561,613</w:t>
            </w:r>
          </w:p>
        </w:tc>
      </w:tr>
      <w:tr>
        <w:trPr>
          <w:trHeight w:val="559"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311" w:right="0"/>
              <w:jc w:val="left"/>
              <w:rPr>
                <w:rFonts w:ascii="宋体" w:hAnsi="宋体" w:cs="宋体" w:eastAsia="宋体" w:hint="default"/>
                <w:sz w:val="21"/>
                <w:szCs w:val="21"/>
              </w:rPr>
            </w:pPr>
            <w:r>
              <w:rPr>
                <w:rFonts w:ascii="宋体" w:hAnsi="宋体" w:cs="宋体" w:eastAsia="宋体" w:hint="default"/>
                <w:sz w:val="21"/>
                <w:szCs w:val="21"/>
              </w:rPr>
              <w:t>其中：子公司吸收少数股东投资收</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到的现金</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
        </w:tc>
        <w:tc>
          <w:tcPr>
            <w:tcW w:w="1925"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取得借款收到的现金</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4,380,992,984</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2,725,300,155</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发行债券收到的现金</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
        </w:tc>
        <w:tc>
          <w:tcPr>
            <w:tcW w:w="1925"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收到其他与筹资活动有关的现金</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6,129,900</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1,553,108</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520" w:right="0"/>
              <w:jc w:val="left"/>
              <w:rPr>
                <w:rFonts w:ascii="宋体" w:hAnsi="宋体" w:cs="宋体" w:eastAsia="宋体" w:hint="default"/>
                <w:sz w:val="21"/>
                <w:szCs w:val="21"/>
              </w:rPr>
            </w:pPr>
            <w:r>
              <w:rPr>
                <w:rFonts w:ascii="宋体" w:hAnsi="宋体" w:cs="宋体" w:eastAsia="宋体" w:hint="default"/>
                <w:sz w:val="21"/>
                <w:szCs w:val="21"/>
              </w:rPr>
              <w:t>筹资活动现金流入小计</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4,563,365,647</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2,938,414,876</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偿还债务支付的现金</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3,161,653,580</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2,521,807,988</w:t>
            </w:r>
          </w:p>
        </w:tc>
      </w:tr>
    </w:tbl>
    <w:p>
      <w:pPr>
        <w:spacing w:after="0" w:line="241" w:lineRule="exact"/>
        <w:jc w:val="right"/>
        <w:rPr>
          <w:rFonts w:ascii="宋体" w:hAnsi="宋体" w:cs="宋体" w:eastAsia="宋体" w:hint="default"/>
          <w:sz w:val="21"/>
          <w:szCs w:val="21"/>
        </w:rPr>
        <w:sectPr>
          <w:pgSz w:w="11910" w:h="16840"/>
          <w:pgMar w:header="857" w:footer="1195" w:top="1320" w:bottom="1380" w:left="1580" w:right="1040"/>
        </w:sectPr>
      </w:pPr>
    </w:p>
    <w:p>
      <w:pPr>
        <w:spacing w:line="240" w:lineRule="auto" w:before="6"/>
        <w:rPr>
          <w:rFonts w:ascii="Times New Roman" w:hAnsi="Times New Roman" w:cs="Times New Roman" w:eastAsia="Times New Roman" w:hint="default"/>
          <w:sz w:val="16"/>
          <w:szCs w:val="16"/>
        </w:rPr>
      </w:pPr>
    </w:p>
    <w:tbl>
      <w:tblPr>
        <w:tblW w:w="0" w:type="auto"/>
        <w:jc w:val="left"/>
        <w:tblInd w:w="102" w:type="dxa"/>
        <w:tblLayout w:type="fixed"/>
        <w:tblCellMar>
          <w:top w:w="0" w:type="dxa"/>
          <w:left w:w="0" w:type="dxa"/>
          <w:bottom w:w="0" w:type="dxa"/>
          <w:right w:w="0" w:type="dxa"/>
        </w:tblCellMar>
        <w:tblLook w:val="01E0"/>
      </w:tblPr>
      <w:tblGrid>
        <w:gridCol w:w="3651"/>
        <w:gridCol w:w="1582"/>
        <w:gridCol w:w="1891"/>
        <w:gridCol w:w="1925"/>
      </w:tblGrid>
      <w:tr>
        <w:trPr>
          <w:trHeight w:val="562"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2" w:lineRule="exact"/>
              <w:ind w:left="311" w:right="0"/>
              <w:jc w:val="left"/>
              <w:rPr>
                <w:rFonts w:ascii="宋体" w:hAnsi="宋体" w:cs="宋体" w:eastAsia="宋体" w:hint="default"/>
                <w:sz w:val="21"/>
                <w:szCs w:val="21"/>
              </w:rPr>
            </w:pPr>
            <w:r>
              <w:rPr>
                <w:rFonts w:ascii="宋体" w:hAnsi="宋体" w:cs="宋体" w:eastAsia="宋体" w:hint="default"/>
                <w:sz w:val="21"/>
                <w:szCs w:val="21"/>
              </w:rPr>
              <w:t>分配股利、利润或偿付利息支付的</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right="98"/>
              <w:jc w:val="right"/>
              <w:rPr>
                <w:rFonts w:ascii="宋体" w:hAnsi="宋体" w:cs="宋体" w:eastAsia="宋体" w:hint="default"/>
                <w:sz w:val="21"/>
                <w:szCs w:val="21"/>
              </w:rPr>
            </w:pPr>
            <w:r>
              <w:rPr>
                <w:rFonts w:ascii="宋体"/>
                <w:spacing w:val="-1"/>
                <w:sz w:val="21"/>
              </w:rPr>
              <w:t>413,149,794</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right="96"/>
              <w:jc w:val="right"/>
              <w:rPr>
                <w:rFonts w:ascii="宋体" w:hAnsi="宋体" w:cs="宋体" w:eastAsia="宋体" w:hint="default"/>
                <w:sz w:val="21"/>
                <w:szCs w:val="21"/>
              </w:rPr>
            </w:pPr>
            <w:r>
              <w:rPr>
                <w:rFonts w:ascii="宋体"/>
                <w:spacing w:val="-1"/>
                <w:sz w:val="21"/>
              </w:rPr>
              <w:t>362,529,967</w:t>
            </w:r>
          </w:p>
        </w:tc>
      </w:tr>
      <w:tr>
        <w:trPr>
          <w:trHeight w:val="559"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311" w:right="0"/>
              <w:jc w:val="left"/>
              <w:rPr>
                <w:rFonts w:ascii="宋体" w:hAnsi="宋体" w:cs="宋体" w:eastAsia="宋体" w:hint="default"/>
                <w:sz w:val="21"/>
                <w:szCs w:val="21"/>
              </w:rPr>
            </w:pPr>
            <w:r>
              <w:rPr>
                <w:rFonts w:ascii="宋体" w:hAnsi="宋体" w:cs="宋体" w:eastAsia="宋体" w:hint="default"/>
                <w:sz w:val="21"/>
                <w:szCs w:val="21"/>
              </w:rPr>
              <w:t>其中：子公司支付给少数股东的股</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利、利润</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63,880,949</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31,107,878</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支付其他与筹资活动有关的现金</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73</w:t>
            </w: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419,213,462</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76,098,659</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筹资活动现金流出小计</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3,994,016,836</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2,960,436,614</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731" w:right="0"/>
              <w:jc w:val="left"/>
              <w:rPr>
                <w:rFonts w:ascii="宋体" w:hAnsi="宋体" w:cs="宋体" w:eastAsia="宋体" w:hint="default"/>
                <w:sz w:val="21"/>
                <w:szCs w:val="21"/>
              </w:rPr>
            </w:pPr>
            <w:r>
              <w:rPr>
                <w:rFonts w:ascii="宋体" w:hAnsi="宋体" w:cs="宋体" w:eastAsia="宋体" w:hint="default"/>
                <w:sz w:val="21"/>
                <w:szCs w:val="21"/>
              </w:rPr>
              <w:t>筹资活动产生的现金流量净额</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569,348,811</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-22,021,738</w:t>
            </w:r>
          </w:p>
        </w:tc>
      </w:tr>
      <w:tr>
        <w:trPr>
          <w:trHeight w:val="559"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四、汇率变动对现金及现金等价物的</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影响</w:t>
            </w:r>
            <w:r>
              <w:rPr>
                <w:rFonts w:ascii="宋体" w:hAnsi="宋体" w:cs="宋体" w:eastAsia="宋体" w:hint="default"/>
                <w:sz w:val="21"/>
                <w:szCs w:val="21"/>
              </w:rPr>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-3,287,196</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-10,037,824</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五、现金及现金等价物净增加额</w:t>
            </w:r>
            <w:r>
              <w:rPr>
                <w:rFonts w:ascii="宋体" w:hAnsi="宋体" w:cs="宋体" w:eastAsia="宋体" w:hint="default"/>
                <w:sz w:val="21"/>
                <w:szCs w:val="21"/>
              </w:rPr>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-743,980,684</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324,012,533</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加：期初现金及现金等价物余额</w:t>
            </w:r>
          </w:p>
        </w:tc>
        <w:tc>
          <w:tcPr>
            <w:tcW w:w="1582" w:type="dxa"/>
            <w:tcBorders>
              <w:top w:val="single" w:sz="6" w:space="0" w:color="000000"/>
              <w:left w:val="single" w:sz="6" w:space="0" w:color="000000"/>
              <w:bottom w:val="single" w:sz="6" w:space="0" w:color="000000"/>
              <w:right w:val="single" w:sz="6" w:space="0" w:color="000000"/>
            </w:tcBorders>
          </w:tcPr>
          <w:p>
            <w:pP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4,160,043,560</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3,836,031,027</w:t>
            </w:r>
          </w:p>
        </w:tc>
      </w:tr>
      <w:tr>
        <w:trPr>
          <w:trHeight w:val="289"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六、期末现金及现金等价物余额</w:t>
            </w:r>
            <w:r>
              <w:rPr>
                <w:rFonts w:ascii="宋体" w:hAnsi="宋体" w:cs="宋体" w:eastAsia="宋体" w:hint="default"/>
                <w:sz w:val="21"/>
                <w:szCs w:val="21"/>
              </w:rPr>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附注七、</w:t>
            </w:r>
            <w:r>
              <w:rPr>
                <w:rFonts w:ascii="宋体" w:hAnsi="宋体" w:cs="宋体" w:eastAsia="宋体" w:hint="default"/>
                <w:sz w:val="21"/>
                <w:szCs w:val="21"/>
              </w:rPr>
              <w:t>74</w:t>
            </w:r>
          </w:p>
        </w:tc>
        <w:tc>
          <w:tcPr>
            <w:tcW w:w="18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3,416,062,876</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4,160,043,560</w:t>
            </w:r>
          </w:p>
        </w:tc>
      </w:tr>
    </w:tbl>
    <w:p>
      <w:pPr>
        <w:pStyle w:val="BodyText"/>
        <w:spacing w:line="241" w:lineRule="exact"/>
        <w:ind w:right="99"/>
        <w:jc w:val="left"/>
      </w:pPr>
      <w:r>
        <w:rPr/>
        <w:t>法定代表人：王文京 主管会计工作负责人：章培林</w:t>
      </w:r>
      <w:r>
        <w:rPr>
          <w:spacing w:val="-6"/>
        </w:rPr>
        <w:t> </w:t>
      </w:r>
      <w:r>
        <w:rPr/>
        <w:t>会计机构负责人：王仕平</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footerReference w:type="default" r:id="rId55"/>
          <w:pgSz w:w="11910" w:h="16840"/>
          <w:pgMar w:footer="1195" w:header="857" w:top="1320" w:bottom="1380" w:left="1580" w:right="1040"/>
        </w:sectPr>
      </w:pPr>
    </w:p>
    <w:p>
      <w:pPr>
        <w:spacing w:before="36"/>
        <w:ind w:left="3873" w:right="-17" w:hanging="84"/>
        <w:jc w:val="left"/>
        <w:rPr>
          <w:rFonts w:ascii="宋体" w:hAnsi="宋体" w:cs="宋体" w:eastAsia="宋体" w:hint="default"/>
          <w:sz w:val="21"/>
          <w:szCs w:val="21"/>
        </w:rPr>
      </w:pPr>
      <w:r>
        <w:rPr>
          <w:rFonts w:ascii="宋体" w:hAnsi="宋体" w:cs="宋体" w:eastAsia="宋体" w:hint="default"/>
          <w:b/>
          <w:bCs/>
          <w:sz w:val="21"/>
          <w:szCs w:val="21"/>
        </w:rPr>
        <w:t>母公司现金流量表</w:t>
      </w:r>
      <w:r>
        <w:rPr>
          <w:rFonts w:ascii="宋体" w:hAnsi="宋体" w:cs="宋体" w:eastAsia="宋体" w:hint="default"/>
          <w:b/>
          <w:bCs/>
          <w:spacing w:val="-103"/>
          <w:sz w:val="21"/>
          <w:szCs w:val="21"/>
        </w:rPr>
        <w:t> </w:t>
      </w: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z w:val="21"/>
          <w:szCs w:val="21"/>
        </w:rPr>
        <w:t>—</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5"/>
        <w:rPr>
          <w:rFonts w:ascii="宋体" w:hAnsi="宋体" w:cs="宋体" w:eastAsia="宋体" w:hint="default"/>
          <w:sz w:val="24"/>
          <w:szCs w:val="24"/>
        </w:rPr>
      </w:pPr>
    </w:p>
    <w:p>
      <w:pPr>
        <w:pStyle w:val="BodyText"/>
        <w:tabs>
          <w:tab w:pos="2377" w:val="left" w:leader="none"/>
        </w:tabs>
        <w:spacing w:line="240" w:lineRule="auto"/>
        <w:ind w:left="1431" w:right="0"/>
        <w:jc w:val="left"/>
      </w:pPr>
      <w:r>
        <w:rPr>
          <w:spacing w:val="-1"/>
        </w:rPr>
        <w:t>单位</w:t>
      </w:r>
      <w:r>
        <w:rPr>
          <w:rFonts w:ascii="宋体" w:hAnsi="宋体" w:cs="宋体" w:eastAsia="宋体" w:hint="default"/>
          <w:spacing w:val="-1"/>
        </w:rPr>
        <w:t>:</w:t>
      </w:r>
      <w:r>
        <w:rPr>
          <w:spacing w:val="-1"/>
        </w:rPr>
        <w:t>元</w:t>
        <w:tab/>
        <w:t>币种</w:t>
      </w:r>
      <w:r>
        <w:rPr>
          <w:rFonts w:ascii="宋体" w:hAnsi="宋体" w:cs="宋体" w:eastAsia="宋体" w:hint="default"/>
          <w:spacing w:val="-1"/>
        </w:rPr>
        <w:t>:</w:t>
      </w:r>
      <w:r>
        <w:rPr>
          <w:spacing w:val="-1"/>
        </w:rPr>
        <w:t>人民币</w:t>
      </w:r>
    </w:p>
    <w:p>
      <w:pPr>
        <w:spacing w:after="0" w:line="240" w:lineRule="auto"/>
        <w:jc w:val="left"/>
        <w:sectPr>
          <w:type w:val="continuous"/>
          <w:pgSz w:w="11910" w:h="16840"/>
          <w:pgMar w:top="1320" w:bottom="1380" w:left="1580" w:right="1040"/>
          <w:cols w:num="2" w:equalWidth="0">
            <w:col w:w="5480" w:space="40"/>
            <w:col w:w="3770"/>
          </w:cols>
        </w:sectPr>
      </w:pPr>
    </w:p>
    <w:p>
      <w:pPr>
        <w:spacing w:line="240" w:lineRule="auto" w:before="4"/>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3651"/>
        <w:gridCol w:w="996"/>
        <w:gridCol w:w="2208"/>
        <w:gridCol w:w="2194"/>
      </w:tblGrid>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1"/>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996"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278"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568"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564"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一、经营活动产生的现金流量：</w:t>
            </w:r>
            <w:r>
              <w:rPr>
                <w:rFonts w:ascii="宋体" w:hAnsi="宋体" w:cs="宋体" w:eastAsia="宋体" w:hint="default"/>
                <w:sz w:val="21"/>
                <w:szCs w:val="21"/>
              </w:rPr>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
        </w:tc>
        <w:tc>
          <w:tcPr>
            <w:tcW w:w="2194"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销售商品、提供劳务收到的现金</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2,718,737,457</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1,889,822,937</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161,493,085</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102,627,803</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收到其他与经营活动有关的现金</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284,505,274</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3"/>
              <w:jc w:val="right"/>
              <w:rPr>
                <w:rFonts w:ascii="宋体" w:hAnsi="宋体" w:cs="宋体" w:eastAsia="宋体" w:hint="default"/>
                <w:sz w:val="21"/>
                <w:szCs w:val="21"/>
              </w:rPr>
            </w:pPr>
            <w:r>
              <w:rPr>
                <w:rFonts w:ascii="宋体"/>
                <w:spacing w:val="-1"/>
                <w:sz w:val="21"/>
              </w:rPr>
              <w:t>202,135,576</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经营活动现金流入小计</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3,164,735,816</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2,194,586,316</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购买商品、接受劳务支付的现金</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379,651,151</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305,585,605</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68"/>
              <w:jc w:val="right"/>
              <w:rPr>
                <w:rFonts w:ascii="宋体" w:hAnsi="宋体" w:cs="宋体" w:eastAsia="宋体" w:hint="default"/>
                <w:sz w:val="21"/>
                <w:szCs w:val="21"/>
              </w:rPr>
            </w:pPr>
            <w:r>
              <w:rPr>
                <w:rFonts w:ascii="宋体" w:hAnsi="宋体" w:cs="宋体" w:eastAsia="宋体" w:hint="default"/>
                <w:spacing w:val="-2"/>
                <w:sz w:val="21"/>
                <w:szCs w:val="21"/>
              </w:rPr>
              <w:t>支付给职工以及为职工支付的现金</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1,335,884,117</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1,102,623,647</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315,726,202</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3"/>
              <w:jc w:val="right"/>
              <w:rPr>
                <w:rFonts w:ascii="宋体" w:hAnsi="宋体" w:cs="宋体" w:eastAsia="宋体" w:hint="default"/>
                <w:sz w:val="21"/>
                <w:szCs w:val="21"/>
              </w:rPr>
            </w:pPr>
            <w:r>
              <w:rPr>
                <w:rFonts w:ascii="宋体"/>
                <w:spacing w:val="-1"/>
                <w:sz w:val="21"/>
              </w:rPr>
              <w:t>202,072,229</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支付其他与经营活动有关的现金</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307,144,609</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311,043,204</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经营活动现金流出小计</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2,338,406,079</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1,921,324,685</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826,329,737</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3"/>
              <w:jc w:val="right"/>
              <w:rPr>
                <w:rFonts w:ascii="宋体" w:hAnsi="宋体" w:cs="宋体" w:eastAsia="宋体" w:hint="default"/>
                <w:sz w:val="21"/>
                <w:szCs w:val="21"/>
              </w:rPr>
            </w:pPr>
            <w:r>
              <w:rPr>
                <w:rFonts w:ascii="宋体"/>
                <w:spacing w:val="-1"/>
                <w:sz w:val="21"/>
              </w:rPr>
              <w:t>273,261,631</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二、投资活动产生的现金流量：</w:t>
            </w:r>
            <w:r>
              <w:rPr>
                <w:rFonts w:ascii="宋体" w:hAnsi="宋体" w:cs="宋体" w:eastAsia="宋体" w:hint="default"/>
                <w:sz w:val="21"/>
                <w:szCs w:val="21"/>
              </w:rPr>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
        </w:tc>
        <w:tc>
          <w:tcPr>
            <w:tcW w:w="2194"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1,930,652,442</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1,799,285,233</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取得投资收益收到的现金</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176,358,979</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365,733,848</w:t>
            </w:r>
          </w:p>
        </w:tc>
      </w:tr>
      <w:tr>
        <w:trPr>
          <w:trHeight w:val="562"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处置固定资产、无形资产和其他长</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期资产收回的现金净额</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2,512,254</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3"/>
              <w:jc w:val="right"/>
              <w:rPr>
                <w:rFonts w:ascii="宋体" w:hAnsi="宋体" w:cs="宋体" w:eastAsia="宋体" w:hint="default"/>
                <w:sz w:val="21"/>
                <w:szCs w:val="21"/>
              </w:rPr>
            </w:pPr>
            <w:r>
              <w:rPr>
                <w:rFonts w:ascii="宋体"/>
                <w:spacing w:val="-1"/>
                <w:sz w:val="21"/>
              </w:rPr>
              <w:t>1,121,182</w:t>
            </w:r>
          </w:p>
        </w:tc>
      </w:tr>
      <w:tr>
        <w:trPr>
          <w:trHeight w:val="559"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311" w:right="0"/>
              <w:jc w:val="left"/>
              <w:rPr>
                <w:rFonts w:ascii="宋体" w:hAnsi="宋体" w:cs="宋体" w:eastAsia="宋体" w:hint="default"/>
                <w:sz w:val="21"/>
                <w:szCs w:val="21"/>
              </w:rPr>
            </w:pPr>
            <w:r>
              <w:rPr>
                <w:rFonts w:ascii="宋体" w:hAnsi="宋体" w:cs="宋体" w:eastAsia="宋体" w:hint="default"/>
                <w:sz w:val="21"/>
                <w:szCs w:val="21"/>
              </w:rPr>
              <w:t>处置子公司及其他营业单位收到的</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现金净额</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
        </w:tc>
        <w:tc>
          <w:tcPr>
            <w:tcW w:w="2194"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收到其他与投资活动有关的现金</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60,224,603</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32,091,812</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投资活动现金流入小计</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2,169,748,278</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2,198,232,075</w:t>
            </w:r>
          </w:p>
        </w:tc>
      </w:tr>
      <w:tr>
        <w:trPr>
          <w:trHeight w:val="559"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购建固定资产、无形资产和其他长</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期资产支付的现金</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155,776,393</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3"/>
              <w:jc w:val="right"/>
              <w:rPr>
                <w:rFonts w:ascii="宋体" w:hAnsi="宋体" w:cs="宋体" w:eastAsia="宋体" w:hint="default"/>
                <w:sz w:val="21"/>
                <w:szCs w:val="21"/>
              </w:rPr>
            </w:pPr>
            <w:r>
              <w:rPr>
                <w:rFonts w:ascii="宋体"/>
                <w:spacing w:val="-1"/>
                <w:sz w:val="21"/>
              </w:rPr>
              <w:t>205,992,583</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3,504,111,337</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3"/>
              <w:jc w:val="right"/>
              <w:rPr>
                <w:rFonts w:ascii="宋体" w:hAnsi="宋体" w:cs="宋体" w:eastAsia="宋体" w:hint="default"/>
                <w:sz w:val="21"/>
                <w:szCs w:val="21"/>
              </w:rPr>
            </w:pPr>
            <w:r>
              <w:rPr>
                <w:rFonts w:ascii="宋体"/>
                <w:spacing w:val="-1"/>
                <w:sz w:val="21"/>
              </w:rPr>
              <w:t>1,139,700,000</w:t>
            </w:r>
          </w:p>
        </w:tc>
      </w:tr>
      <w:tr>
        <w:trPr>
          <w:trHeight w:val="559"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311" w:right="0"/>
              <w:jc w:val="left"/>
              <w:rPr>
                <w:rFonts w:ascii="宋体" w:hAnsi="宋体" w:cs="宋体" w:eastAsia="宋体" w:hint="default"/>
                <w:sz w:val="21"/>
                <w:szCs w:val="21"/>
              </w:rPr>
            </w:pPr>
            <w:r>
              <w:rPr>
                <w:rFonts w:ascii="宋体" w:hAnsi="宋体" w:cs="宋体" w:eastAsia="宋体" w:hint="default"/>
                <w:sz w:val="21"/>
                <w:szCs w:val="21"/>
              </w:rPr>
              <w:t>取得子公司及其他营业单位支付的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现金净额</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314,868,849</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775,224</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支付其他与投资活动有关的现金</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
        </w:tc>
        <w:tc>
          <w:tcPr>
            <w:tcW w:w="2194"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投资活动现金流出小计</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3,974,756,579</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1,346,467,807</w:t>
            </w:r>
          </w:p>
        </w:tc>
      </w:tr>
      <w:tr>
        <w:trPr>
          <w:trHeight w:val="560"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68"/>
              <w:jc w:val="right"/>
              <w:rPr>
                <w:rFonts w:ascii="宋体" w:hAnsi="宋体" w:cs="宋体" w:eastAsia="宋体" w:hint="default"/>
                <w:sz w:val="21"/>
                <w:szCs w:val="21"/>
              </w:rPr>
            </w:pPr>
            <w:r>
              <w:rPr>
                <w:rFonts w:ascii="宋体" w:hAnsi="宋体" w:cs="宋体" w:eastAsia="宋体" w:hint="default"/>
                <w:spacing w:val="-2"/>
                <w:sz w:val="21"/>
                <w:szCs w:val="21"/>
              </w:rPr>
              <w:t>投资活动产生的现金流量净额</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-1,805,008,301</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851,764,268</w:t>
            </w:r>
          </w:p>
        </w:tc>
      </w:tr>
    </w:tbl>
    <w:p>
      <w:pPr>
        <w:spacing w:after="0" w:line="241" w:lineRule="exact"/>
        <w:jc w:val="right"/>
        <w:rPr>
          <w:rFonts w:ascii="宋体" w:hAnsi="宋体" w:cs="宋体" w:eastAsia="宋体" w:hint="default"/>
          <w:sz w:val="21"/>
          <w:szCs w:val="21"/>
        </w:rPr>
        <w:sectPr>
          <w:type w:val="continuous"/>
          <w:pgSz w:w="11910" w:h="16840"/>
          <w:pgMar w:top="1320" w:bottom="1380" w:left="1580" w:right="1040"/>
        </w:sectPr>
      </w:pPr>
    </w:p>
    <w:p>
      <w:pPr>
        <w:spacing w:line="240" w:lineRule="auto" w:before="6"/>
        <w:rPr>
          <w:rFonts w:ascii="宋体" w:hAnsi="宋体" w:cs="宋体" w:eastAsia="宋体" w:hint="default"/>
          <w:sz w:val="14"/>
          <w:szCs w:val="14"/>
        </w:rPr>
      </w:pPr>
    </w:p>
    <w:tbl>
      <w:tblPr>
        <w:tblW w:w="0" w:type="auto"/>
        <w:jc w:val="left"/>
        <w:tblInd w:w="102" w:type="dxa"/>
        <w:tblLayout w:type="fixed"/>
        <w:tblCellMar>
          <w:top w:w="0" w:type="dxa"/>
          <w:left w:w="0" w:type="dxa"/>
          <w:bottom w:w="0" w:type="dxa"/>
          <w:right w:w="0" w:type="dxa"/>
        </w:tblCellMar>
        <w:tblLook w:val="01E0"/>
      </w:tblPr>
      <w:tblGrid>
        <w:gridCol w:w="3651"/>
        <w:gridCol w:w="996"/>
        <w:gridCol w:w="2208"/>
        <w:gridCol w:w="2194"/>
      </w:tblGrid>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三、筹资活动产生的现金流量：</w:t>
            </w:r>
            <w:r>
              <w:rPr>
                <w:rFonts w:ascii="宋体" w:hAnsi="宋体" w:cs="宋体" w:eastAsia="宋体" w:hint="default"/>
                <w:sz w:val="21"/>
                <w:szCs w:val="21"/>
              </w:rPr>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
        </w:tc>
        <w:tc>
          <w:tcPr>
            <w:tcW w:w="2194"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吸收投资收到的现金</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78,513,035</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1,553,108</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取得借款收到的现金</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5,059,273,460</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3,605,182,872</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发行债券收到的现金</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
        </w:tc>
        <w:tc>
          <w:tcPr>
            <w:tcW w:w="2194"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收到其他与筹资活动有关的现金</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
        </w:tc>
        <w:tc>
          <w:tcPr>
            <w:tcW w:w="2194"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筹资活动现金流入小计</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5,137,786,495</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3,606,735,980</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偿还债务支付的现金</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3,789,144,973</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3,762,566,388</w:t>
            </w:r>
          </w:p>
        </w:tc>
      </w:tr>
      <w:tr>
        <w:trPr>
          <w:trHeight w:val="559"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311" w:right="0"/>
              <w:jc w:val="left"/>
              <w:rPr>
                <w:rFonts w:ascii="宋体" w:hAnsi="宋体" w:cs="宋体" w:eastAsia="宋体" w:hint="default"/>
                <w:sz w:val="21"/>
                <w:szCs w:val="21"/>
              </w:rPr>
            </w:pPr>
            <w:r>
              <w:rPr>
                <w:rFonts w:ascii="宋体" w:hAnsi="宋体" w:cs="宋体" w:eastAsia="宋体" w:hint="default"/>
                <w:sz w:val="21"/>
                <w:szCs w:val="21"/>
              </w:rPr>
              <w:t>分配股利、利润或偿付利息支付的</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353,580,648</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349,432,285</w:t>
            </w:r>
          </w:p>
        </w:tc>
      </w:tr>
      <w:tr>
        <w:trPr>
          <w:trHeight w:val="286"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支付其他与筹资活动有关的现金</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400,393,185</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58,596,511</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520" w:right="0"/>
              <w:jc w:val="left"/>
              <w:rPr>
                <w:rFonts w:ascii="宋体" w:hAnsi="宋体" w:cs="宋体" w:eastAsia="宋体" w:hint="default"/>
                <w:sz w:val="21"/>
                <w:szCs w:val="21"/>
              </w:rPr>
            </w:pPr>
            <w:r>
              <w:rPr>
                <w:rFonts w:ascii="宋体" w:hAnsi="宋体" w:cs="宋体" w:eastAsia="宋体" w:hint="default"/>
                <w:sz w:val="21"/>
                <w:szCs w:val="21"/>
              </w:rPr>
              <w:t>筹资活动现金流出小计</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4,543,118,806</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3"/>
              <w:jc w:val="right"/>
              <w:rPr>
                <w:rFonts w:ascii="宋体" w:hAnsi="宋体" w:cs="宋体" w:eastAsia="宋体" w:hint="default"/>
                <w:sz w:val="21"/>
                <w:szCs w:val="21"/>
              </w:rPr>
            </w:pPr>
            <w:r>
              <w:rPr>
                <w:rFonts w:ascii="宋体"/>
                <w:spacing w:val="-1"/>
                <w:sz w:val="21"/>
              </w:rPr>
              <w:t>4,170,595,184</w:t>
            </w:r>
          </w:p>
        </w:tc>
      </w:tr>
      <w:tr>
        <w:trPr>
          <w:trHeight w:val="289"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筹资活动产生的现金流量净额</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594,667,689</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-563,859,204</w:t>
            </w:r>
          </w:p>
        </w:tc>
      </w:tr>
      <w:tr>
        <w:trPr>
          <w:trHeight w:val="559"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四、汇率变动对现金及现金等价物的</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影响</w:t>
            </w:r>
            <w:r>
              <w:rPr>
                <w:rFonts w:ascii="宋体" w:hAnsi="宋体" w:cs="宋体" w:eastAsia="宋体" w:hint="default"/>
                <w:sz w:val="21"/>
                <w:szCs w:val="21"/>
              </w:rPr>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-11,000,748</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五、现金及现金等价物净增加额</w:t>
            </w:r>
            <w:r>
              <w:rPr>
                <w:rFonts w:ascii="宋体" w:hAnsi="宋体" w:cs="宋体" w:eastAsia="宋体" w:hint="default"/>
                <w:sz w:val="21"/>
                <w:szCs w:val="21"/>
              </w:rPr>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-384,010,875</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550,165,947</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加：期初现金及现金等价物余额</w:t>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2,291,539,498</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1,741,373,551</w:t>
            </w:r>
          </w:p>
        </w:tc>
      </w:tr>
      <w:tr>
        <w:trPr>
          <w:trHeight w:val="288" w:hRule="exact"/>
        </w:trPr>
        <w:tc>
          <w:tcPr>
            <w:tcW w:w="3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六、期末现金及现金等价物余额</w:t>
            </w:r>
            <w:r>
              <w:rPr>
                <w:rFonts w:ascii="宋体" w:hAnsi="宋体" w:cs="宋体" w:eastAsia="宋体" w:hint="default"/>
                <w:sz w:val="21"/>
                <w:szCs w:val="21"/>
              </w:rPr>
            </w:r>
          </w:p>
        </w:tc>
        <w:tc>
          <w:tcPr>
            <w:tcW w:w="996" w:type="dxa"/>
            <w:tcBorders>
              <w:top w:val="single" w:sz="6" w:space="0" w:color="000000"/>
              <w:left w:val="single" w:sz="6" w:space="0" w:color="000000"/>
              <w:bottom w:val="single" w:sz="6" w:space="0" w:color="000000"/>
              <w:right w:val="single" w:sz="6" w:space="0" w:color="000000"/>
            </w:tcBorders>
          </w:tcPr>
          <w:p>
            <w:pPr/>
          </w:p>
        </w:tc>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1,907,528,623</w:t>
            </w:r>
          </w:p>
        </w:tc>
        <w:tc>
          <w:tcPr>
            <w:tcW w:w="21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3"/>
              <w:jc w:val="right"/>
              <w:rPr>
                <w:rFonts w:ascii="宋体" w:hAnsi="宋体" w:cs="宋体" w:eastAsia="宋体" w:hint="default"/>
                <w:sz w:val="21"/>
                <w:szCs w:val="21"/>
              </w:rPr>
            </w:pPr>
            <w:r>
              <w:rPr>
                <w:rFonts w:ascii="宋体"/>
                <w:spacing w:val="-1"/>
                <w:sz w:val="21"/>
              </w:rPr>
              <w:t>2,291,539,498</w:t>
            </w:r>
          </w:p>
        </w:tc>
      </w:tr>
    </w:tbl>
    <w:p>
      <w:pPr>
        <w:pStyle w:val="BodyText"/>
        <w:spacing w:line="241" w:lineRule="exact"/>
        <w:ind w:right="99"/>
        <w:jc w:val="left"/>
      </w:pPr>
      <w:r>
        <w:rPr/>
        <w:t>法定代表人：王文京 主管会计工作负责人：章培林</w:t>
      </w:r>
      <w:r>
        <w:rPr>
          <w:spacing w:val="-6"/>
        </w:rPr>
        <w:t> </w:t>
      </w:r>
      <w:r>
        <w:rPr/>
        <w:t>会计机构负责人：王仕平</w:t>
      </w:r>
    </w:p>
    <w:p>
      <w:pPr>
        <w:spacing w:line="240" w:lineRule="auto" w:before="6"/>
        <w:rPr>
          <w:rFonts w:ascii="宋体" w:hAnsi="宋体" w:cs="宋体" w:eastAsia="宋体" w:hint="default"/>
          <w:sz w:val="20"/>
          <w:szCs w:val="20"/>
        </w:rPr>
      </w:pPr>
    </w:p>
    <w:p>
      <w:pPr>
        <w:pStyle w:val="BodyText"/>
        <w:spacing w:line="240" w:lineRule="auto"/>
        <w:ind w:right="99"/>
        <w:jc w:val="left"/>
        <w:rPr>
          <w:rFonts w:ascii="宋体" w:hAnsi="宋体" w:cs="宋体" w:eastAsia="宋体" w:hint="default"/>
        </w:rPr>
      </w:pPr>
      <w:r>
        <w:rPr>
          <w:rFonts w:ascii="宋体"/>
          <w:w w:val="100"/>
        </w:rPr>
        <w:t>1</w:t>
      </w:r>
    </w:p>
    <w:p>
      <w:pPr>
        <w:spacing w:after="0" w:line="240" w:lineRule="auto"/>
        <w:jc w:val="left"/>
        <w:rPr>
          <w:rFonts w:ascii="宋体" w:hAnsi="宋体" w:cs="宋体" w:eastAsia="宋体" w:hint="default"/>
        </w:rPr>
        <w:sectPr>
          <w:footerReference w:type="default" r:id="rId56"/>
          <w:pgSz w:w="11910" w:h="16840"/>
          <w:pgMar w:footer="1195" w:header="857" w:top="1320" w:bottom="1380" w:left="1580" w:right="10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headerReference w:type="default" r:id="rId57"/>
          <w:footerReference w:type="default" r:id="rId58"/>
          <w:pgSz w:w="16840" w:h="11910" w:orient="landscape"/>
          <w:pgMar w:header="857" w:footer="1195" w:top="1320" w:bottom="1380" w:left="320" w:right="400"/>
          <w:pgNumType w:start="92"/>
        </w:sectPr>
      </w:pPr>
    </w:p>
    <w:p>
      <w:pPr>
        <w:spacing w:line="240" w:lineRule="auto" w:before="7"/>
        <w:rPr>
          <w:rFonts w:ascii="宋体" w:hAnsi="宋体" w:cs="宋体" w:eastAsia="宋体" w:hint="default"/>
          <w:sz w:val="16"/>
          <w:szCs w:val="16"/>
        </w:rPr>
      </w:pPr>
    </w:p>
    <w:p>
      <w:pPr>
        <w:spacing w:line="272" w:lineRule="exact" w:before="0"/>
        <w:ind w:left="7284" w:right="-9" w:hanging="293"/>
        <w:jc w:val="left"/>
        <w:rPr>
          <w:rFonts w:ascii="宋体" w:hAnsi="宋体" w:cs="宋体" w:eastAsia="宋体" w:hint="default"/>
          <w:sz w:val="21"/>
          <w:szCs w:val="21"/>
        </w:rPr>
      </w:pPr>
      <w:r>
        <w:rPr>
          <w:rFonts w:ascii="宋体" w:hAnsi="宋体" w:cs="宋体" w:eastAsia="宋体" w:hint="default"/>
          <w:b/>
          <w:bCs/>
          <w:spacing w:val="-1"/>
          <w:sz w:val="21"/>
          <w:szCs w:val="21"/>
        </w:rPr>
        <w:t>合并所有者权益变动表</w:t>
      </w:r>
      <w:r>
        <w:rPr>
          <w:rFonts w:ascii="宋体" w:hAnsi="宋体" w:cs="宋体" w:eastAsia="宋体" w:hint="default"/>
          <w:b/>
          <w:bCs/>
          <w:spacing w:val="-96"/>
          <w:sz w:val="21"/>
          <w:szCs w:val="21"/>
        </w:rPr>
        <w:t> </w:t>
      </w:r>
      <w:r>
        <w:rPr>
          <w:rFonts w:ascii="宋体" w:hAnsi="宋体" w:cs="宋体" w:eastAsia="宋体" w:hint="default"/>
          <w:b/>
          <w:bCs/>
          <w:spacing w:val="-96"/>
          <w:sz w:val="21"/>
          <w:szCs w:val="21"/>
        </w:rPr>
      </w: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z w:val="21"/>
          <w:szCs w:val="21"/>
        </w:rPr>
        <w:t>—</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BodyText"/>
        <w:tabs>
          <w:tab w:pos="4698" w:val="left" w:leader="none"/>
        </w:tabs>
        <w:spacing w:line="240" w:lineRule="auto"/>
        <w:ind w:left="3752" w:right="0"/>
        <w:jc w:val="left"/>
      </w:pPr>
      <w:r>
        <w:rPr>
          <w:spacing w:val="-1"/>
        </w:rPr>
        <w:t>单位</w:t>
      </w:r>
      <w:r>
        <w:rPr>
          <w:rFonts w:ascii="宋体" w:hAnsi="宋体" w:cs="宋体" w:eastAsia="宋体" w:hint="default"/>
          <w:spacing w:val="-1"/>
        </w:rPr>
        <w:t>:</w:t>
      </w:r>
      <w:r>
        <w:rPr>
          <w:spacing w:val="-1"/>
        </w:rPr>
        <w:t>元</w:t>
        <w:tab/>
        <w:t>币种</w:t>
      </w:r>
      <w:r>
        <w:rPr>
          <w:rFonts w:ascii="宋体" w:hAnsi="宋体" w:cs="宋体" w:eastAsia="宋体" w:hint="default"/>
          <w:spacing w:val="-1"/>
        </w:rPr>
        <w:t>:</w:t>
      </w:r>
      <w:r>
        <w:rPr>
          <w:spacing w:val="-1"/>
        </w:rPr>
        <w:t>人民币</w:t>
      </w:r>
    </w:p>
    <w:p>
      <w:pPr>
        <w:spacing w:after="0" w:line="240" w:lineRule="auto"/>
        <w:jc w:val="left"/>
        <w:sectPr>
          <w:type w:val="continuous"/>
          <w:pgSz w:w="16840" w:h="11910" w:orient="landscape"/>
          <w:pgMar w:top="1320" w:bottom="1380" w:left="320" w:right="400"/>
          <w:cols w:num="2" w:equalWidth="0">
            <w:col w:w="9102" w:space="40"/>
            <w:col w:w="6978"/>
          </w:cols>
        </w:sectPr>
      </w:pPr>
    </w:p>
    <w:p>
      <w:pPr>
        <w:spacing w:line="240" w:lineRule="auto" w:before="4"/>
        <w:rPr>
          <w:rFonts w:ascii="宋体" w:hAnsi="宋体" w:cs="宋体" w:eastAsia="宋体" w:hint="default"/>
          <w:sz w:val="2"/>
          <w:szCs w:val="2"/>
        </w:rPr>
      </w:pPr>
    </w:p>
    <w:tbl>
      <w:tblPr>
        <w:tblW w:w="0" w:type="auto"/>
        <w:jc w:val="left"/>
        <w:tblInd w:w="111" w:type="dxa"/>
        <w:tblLayout w:type="fixed"/>
        <w:tblCellMar>
          <w:top w:w="0" w:type="dxa"/>
          <w:left w:w="0" w:type="dxa"/>
          <w:bottom w:w="0" w:type="dxa"/>
          <w:right w:w="0" w:type="dxa"/>
        </w:tblCellMar>
        <w:tblLook w:val="01E0"/>
      </w:tblPr>
      <w:tblGrid>
        <w:gridCol w:w="1846"/>
        <w:gridCol w:w="1416"/>
        <w:gridCol w:w="710"/>
        <w:gridCol w:w="709"/>
        <w:gridCol w:w="566"/>
        <w:gridCol w:w="1418"/>
        <w:gridCol w:w="1275"/>
        <w:gridCol w:w="1277"/>
        <w:gridCol w:w="710"/>
        <w:gridCol w:w="1210"/>
        <w:gridCol w:w="631"/>
        <w:gridCol w:w="1418"/>
        <w:gridCol w:w="1277"/>
        <w:gridCol w:w="1416"/>
      </w:tblGrid>
      <w:tr>
        <w:trPr>
          <w:trHeight w:val="250" w:hRule="exact"/>
        </w:trPr>
        <w:tc>
          <w:tcPr>
            <w:tcW w:w="184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035" w:type="dxa"/>
            <w:gridSpan w:val="13"/>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591"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550" w:hRule="exact"/>
        </w:trPr>
        <w:tc>
          <w:tcPr>
            <w:tcW w:w="1846" w:type="dxa"/>
            <w:vMerge/>
            <w:tcBorders>
              <w:left w:val="single" w:sz="4" w:space="0" w:color="000000"/>
              <w:right w:val="single" w:sz="4" w:space="0" w:color="000000"/>
            </w:tcBorders>
          </w:tcPr>
          <w:p>
            <w:pPr/>
          </w:p>
        </w:tc>
        <w:tc>
          <w:tcPr>
            <w:tcW w:w="11342"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593"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7"/>
                <w:szCs w:val="17"/>
              </w:rPr>
            </w:pPr>
          </w:p>
          <w:p>
            <w:pPr>
              <w:pStyle w:val="TableParagraph"/>
              <w:spacing w:line="232" w:lineRule="exact"/>
              <w:ind w:left="542" w:right="183" w:hanging="360"/>
              <w:jc w:val="left"/>
              <w:rPr>
                <w:rFonts w:ascii="宋体" w:hAnsi="宋体" w:cs="宋体" w:eastAsia="宋体" w:hint="default"/>
                <w:sz w:val="18"/>
                <w:szCs w:val="18"/>
              </w:rPr>
            </w:pPr>
            <w:r>
              <w:rPr>
                <w:rFonts w:ascii="宋体" w:hAnsi="宋体" w:cs="宋体" w:eastAsia="宋体" w:hint="default"/>
                <w:sz w:val="18"/>
                <w:szCs w:val="18"/>
              </w:rPr>
              <w:t>少数股东权 益</w:t>
            </w:r>
          </w:p>
        </w:tc>
        <w:tc>
          <w:tcPr>
            <w:tcW w:w="141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7"/>
                <w:szCs w:val="17"/>
              </w:rPr>
            </w:pPr>
          </w:p>
          <w:p>
            <w:pPr>
              <w:pStyle w:val="TableParagraph"/>
              <w:spacing w:line="232" w:lineRule="exact"/>
              <w:ind w:left="609" w:right="163" w:hanging="449"/>
              <w:jc w:val="left"/>
              <w:rPr>
                <w:rFonts w:ascii="宋体" w:hAnsi="宋体" w:cs="宋体" w:eastAsia="宋体" w:hint="default"/>
                <w:sz w:val="18"/>
                <w:szCs w:val="18"/>
              </w:rPr>
            </w:pPr>
            <w:r>
              <w:rPr>
                <w:rFonts w:ascii="宋体" w:hAnsi="宋体" w:cs="宋体" w:eastAsia="宋体" w:hint="default"/>
                <w:sz w:val="18"/>
                <w:szCs w:val="18"/>
              </w:rPr>
              <w:t>所有者权益合 计</w:t>
            </w:r>
          </w:p>
        </w:tc>
      </w:tr>
      <w:tr>
        <w:trPr>
          <w:trHeight w:val="362" w:hRule="exact"/>
        </w:trPr>
        <w:tc>
          <w:tcPr>
            <w:tcW w:w="1846" w:type="dxa"/>
            <w:vMerge/>
            <w:tcBorders>
              <w:left w:val="single" w:sz="4" w:space="0" w:color="000000"/>
              <w:right w:val="single" w:sz="4" w:space="0" w:color="000000"/>
            </w:tcBorders>
          </w:tcPr>
          <w:p>
            <w:pPr/>
          </w:p>
        </w:tc>
        <w:tc>
          <w:tcPr>
            <w:tcW w:w="1416"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19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446"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418"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275"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277" w:type="dxa"/>
            <w:vMerge w:val="restart"/>
            <w:tcBorders>
              <w:top w:val="single" w:sz="4" w:space="0" w:color="000000"/>
              <w:left w:val="single" w:sz="4" w:space="0" w:color="000000"/>
              <w:right w:val="single" w:sz="4" w:space="0" w:color="000000"/>
            </w:tcBorders>
          </w:tcPr>
          <w:p>
            <w:pPr>
              <w:pStyle w:val="TableParagraph"/>
              <w:spacing w:line="244" w:lineRule="auto" w:before="159"/>
              <w:ind w:left="542" w:right="182" w:hanging="360"/>
              <w:jc w:val="left"/>
              <w:rPr>
                <w:rFonts w:ascii="宋体" w:hAnsi="宋体" w:cs="宋体" w:eastAsia="宋体" w:hint="default"/>
                <w:sz w:val="18"/>
                <w:szCs w:val="18"/>
              </w:rPr>
            </w:pPr>
            <w:r>
              <w:rPr>
                <w:rFonts w:ascii="宋体" w:hAnsi="宋体" w:cs="宋体" w:eastAsia="宋体" w:hint="default"/>
                <w:sz w:val="18"/>
                <w:szCs w:val="18"/>
              </w:rPr>
              <w:t>其他综合收 益</w:t>
            </w:r>
          </w:p>
        </w:tc>
        <w:tc>
          <w:tcPr>
            <w:tcW w:w="710" w:type="dxa"/>
            <w:vMerge w:val="restart"/>
            <w:tcBorders>
              <w:top w:val="single" w:sz="4" w:space="0" w:color="000000"/>
              <w:left w:val="single" w:sz="4" w:space="0" w:color="000000"/>
              <w:right w:val="single" w:sz="4" w:space="0" w:color="000000"/>
            </w:tcBorders>
          </w:tcPr>
          <w:p>
            <w:pPr>
              <w:pStyle w:val="TableParagraph"/>
              <w:spacing w:line="244" w:lineRule="auto" w:before="159"/>
              <w:ind w:left="168" w:right="170"/>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1210"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240"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31" w:type="dxa"/>
            <w:vMerge w:val="restart"/>
            <w:tcBorders>
              <w:top w:val="single" w:sz="4" w:space="0" w:color="000000"/>
              <w:left w:val="single" w:sz="4" w:space="0" w:color="000000"/>
              <w:right w:val="single" w:sz="4" w:space="0" w:color="000000"/>
            </w:tcBorders>
          </w:tcPr>
          <w:p>
            <w:pPr>
              <w:pStyle w:val="TableParagraph"/>
              <w:spacing w:line="244" w:lineRule="auto" w:before="39"/>
              <w:ind w:left="129" w:right="131"/>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1418"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254"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277" w:type="dxa"/>
            <w:vMerge/>
            <w:tcBorders>
              <w:left w:val="single" w:sz="4" w:space="0" w:color="000000"/>
              <w:right w:val="single" w:sz="4" w:space="0" w:color="000000"/>
            </w:tcBorders>
          </w:tcPr>
          <w:p>
            <w:pPr/>
          </w:p>
        </w:tc>
        <w:tc>
          <w:tcPr>
            <w:tcW w:w="1416" w:type="dxa"/>
            <w:vMerge/>
            <w:tcBorders>
              <w:left w:val="single" w:sz="4" w:space="0" w:color="000000"/>
              <w:right w:val="single" w:sz="4" w:space="0" w:color="000000"/>
            </w:tcBorders>
          </w:tcPr>
          <w:p>
            <w:pPr/>
          </w:p>
        </w:tc>
      </w:tr>
      <w:tr>
        <w:trPr>
          <w:trHeight w:val="490" w:hRule="exact"/>
        </w:trPr>
        <w:tc>
          <w:tcPr>
            <w:tcW w:w="1846" w:type="dxa"/>
            <w:vMerge/>
            <w:tcBorders>
              <w:left w:val="single" w:sz="4" w:space="0" w:color="000000"/>
              <w:bottom w:val="single" w:sz="4" w:space="0" w:color="000000"/>
              <w:right w:val="single" w:sz="4" w:space="0" w:color="000000"/>
            </w:tcBorders>
          </w:tcPr>
          <w:p>
            <w:pPr/>
          </w:p>
        </w:tc>
        <w:tc>
          <w:tcPr>
            <w:tcW w:w="1416" w:type="dxa"/>
            <w:vMerge/>
            <w:tcBorders>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right="2"/>
              <w:jc w:val="center"/>
              <w:rPr>
                <w:rFonts w:ascii="宋体" w:hAnsi="宋体" w:cs="宋体" w:eastAsia="宋体" w:hint="default"/>
                <w:sz w:val="18"/>
                <w:szCs w:val="18"/>
              </w:rPr>
            </w:pPr>
            <w:r>
              <w:rPr>
                <w:rFonts w:ascii="宋体" w:hAnsi="宋体" w:cs="宋体" w:eastAsia="宋体" w:hint="default"/>
                <w:sz w:val="18"/>
                <w:szCs w:val="18"/>
              </w:rPr>
              <w:t>优先</w:t>
            </w:r>
          </w:p>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股</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right="2"/>
              <w:jc w:val="center"/>
              <w:rPr>
                <w:rFonts w:ascii="宋体" w:hAnsi="宋体" w:cs="宋体" w:eastAsia="宋体" w:hint="default"/>
                <w:sz w:val="18"/>
                <w:szCs w:val="18"/>
              </w:rPr>
            </w:pPr>
            <w:r>
              <w:rPr>
                <w:rFonts w:ascii="宋体" w:hAnsi="宋体" w:cs="宋体" w:eastAsia="宋体" w:hint="default"/>
                <w:sz w:val="18"/>
                <w:szCs w:val="18"/>
              </w:rPr>
              <w:t>永续</w:t>
            </w:r>
          </w:p>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债</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right="0"/>
              <w:jc w:val="center"/>
              <w:rPr>
                <w:rFonts w:ascii="宋体" w:hAnsi="宋体" w:cs="宋体" w:eastAsia="宋体" w:hint="default"/>
                <w:sz w:val="18"/>
                <w:szCs w:val="18"/>
              </w:rPr>
            </w:pPr>
            <w:r>
              <w:rPr>
                <w:rFonts w:ascii="宋体" w:hAnsi="宋体" w:cs="宋体" w:eastAsia="宋体" w:hint="default"/>
                <w:sz w:val="18"/>
                <w:szCs w:val="18"/>
              </w:rPr>
              <w:t>其</w:t>
            </w:r>
          </w:p>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他</w:t>
            </w:r>
          </w:p>
        </w:tc>
        <w:tc>
          <w:tcPr>
            <w:tcW w:w="1418" w:type="dxa"/>
            <w:vMerge/>
            <w:tcBorders>
              <w:left w:val="single" w:sz="4" w:space="0" w:color="000000"/>
              <w:bottom w:val="single" w:sz="4" w:space="0" w:color="000000"/>
              <w:right w:val="single" w:sz="4" w:space="0" w:color="000000"/>
            </w:tcBorders>
          </w:tcPr>
          <w:p>
            <w:pPr/>
          </w:p>
        </w:tc>
        <w:tc>
          <w:tcPr>
            <w:tcW w:w="1275" w:type="dxa"/>
            <w:vMerge/>
            <w:tcBorders>
              <w:left w:val="single" w:sz="4" w:space="0" w:color="000000"/>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710" w:type="dxa"/>
            <w:vMerge/>
            <w:tcBorders>
              <w:left w:val="single" w:sz="4" w:space="0" w:color="000000"/>
              <w:bottom w:val="single" w:sz="4" w:space="0" w:color="000000"/>
              <w:right w:val="single" w:sz="4" w:space="0" w:color="000000"/>
            </w:tcBorders>
          </w:tcPr>
          <w:p>
            <w:pPr/>
          </w:p>
        </w:tc>
        <w:tc>
          <w:tcPr>
            <w:tcW w:w="1210" w:type="dxa"/>
            <w:vMerge/>
            <w:tcBorders>
              <w:left w:val="single" w:sz="4" w:space="0" w:color="000000"/>
              <w:bottom w:val="single" w:sz="4" w:space="0" w:color="000000"/>
              <w:right w:val="single" w:sz="4" w:space="0" w:color="000000"/>
            </w:tcBorders>
          </w:tcPr>
          <w:p>
            <w:pPr/>
          </w:p>
        </w:tc>
        <w:tc>
          <w:tcPr>
            <w:tcW w:w="631" w:type="dxa"/>
            <w:vMerge/>
            <w:tcBorders>
              <w:left w:val="single" w:sz="4" w:space="0" w:color="000000"/>
              <w:bottom w:val="single" w:sz="4" w:space="0" w:color="000000"/>
              <w:right w:val="single" w:sz="4" w:space="0" w:color="000000"/>
            </w:tcBorders>
          </w:tcPr>
          <w:p>
            <w:pPr/>
          </w:p>
        </w:tc>
        <w:tc>
          <w:tcPr>
            <w:tcW w:w="1418" w:type="dxa"/>
            <w:vMerge/>
            <w:tcBorders>
              <w:left w:val="single" w:sz="4" w:space="0" w:color="000000"/>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1416" w:type="dxa"/>
            <w:vMerge/>
            <w:tcBorders>
              <w:left w:val="single" w:sz="4" w:space="0" w:color="000000"/>
              <w:bottom w:val="single" w:sz="4" w:space="0" w:color="000000"/>
              <w:right w:val="single" w:sz="4" w:space="0" w:color="000000"/>
            </w:tcBorders>
          </w:tcPr>
          <w:p>
            <w:pPr/>
          </w:p>
        </w:tc>
      </w:tr>
      <w:tr>
        <w:trPr>
          <w:trHeight w:val="24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pacing w:val="-1"/>
                <w:sz w:val="18"/>
              </w:rPr>
              <w:t>1,464,293,443</w:t>
            </w: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3"/>
              <w:jc w:val="right"/>
              <w:rPr>
                <w:rFonts w:ascii="宋体" w:hAnsi="宋体" w:cs="宋体" w:eastAsia="宋体" w:hint="default"/>
                <w:sz w:val="18"/>
                <w:szCs w:val="18"/>
              </w:rPr>
            </w:pPr>
            <w:r>
              <w:rPr>
                <w:rFonts w:ascii="宋体"/>
                <w:spacing w:val="-1"/>
                <w:sz w:val="18"/>
              </w:rPr>
              <w:t>2,385,810,133</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71" w:right="0"/>
              <w:jc w:val="center"/>
              <w:rPr>
                <w:rFonts w:ascii="宋体" w:hAnsi="宋体" w:cs="宋体" w:eastAsia="宋体" w:hint="default"/>
                <w:sz w:val="18"/>
                <w:szCs w:val="18"/>
              </w:rPr>
            </w:pPr>
            <w:r>
              <w:rPr>
                <w:rFonts w:ascii="宋体"/>
                <w:sz w:val="18"/>
              </w:rPr>
              <w:t>186,377,326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0"/>
              <w:jc w:val="right"/>
              <w:rPr>
                <w:rFonts w:ascii="宋体" w:hAnsi="宋体" w:cs="宋体" w:eastAsia="宋体" w:hint="default"/>
                <w:sz w:val="18"/>
                <w:szCs w:val="18"/>
              </w:rPr>
            </w:pPr>
            <w:r>
              <w:rPr>
                <w:rFonts w:ascii="宋体"/>
                <w:spacing w:val="-1"/>
                <w:sz w:val="18"/>
              </w:rPr>
              <w:t>2,944,939</w:t>
            </w: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99"/>
              <w:jc w:val="right"/>
              <w:rPr>
                <w:rFonts w:ascii="宋体" w:hAnsi="宋体" w:cs="宋体" w:eastAsia="宋体" w:hint="default"/>
                <w:sz w:val="18"/>
                <w:szCs w:val="18"/>
              </w:rPr>
            </w:pPr>
            <w:r>
              <w:rPr>
                <w:rFonts w:ascii="宋体"/>
                <w:spacing w:val="-1"/>
                <w:sz w:val="18"/>
              </w:rPr>
              <w:t>675,739,412</w:t>
            </w: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31" w:right="0"/>
              <w:jc w:val="center"/>
              <w:rPr>
                <w:rFonts w:ascii="宋体" w:hAnsi="宋体" w:cs="宋体" w:eastAsia="宋体" w:hint="default"/>
                <w:sz w:val="18"/>
                <w:szCs w:val="18"/>
              </w:rPr>
            </w:pPr>
            <w:r>
              <w:rPr>
                <w:rFonts w:ascii="宋体"/>
                <w:sz w:val="18"/>
              </w:rPr>
              <w:t>1,345,710,249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pacing w:val="-1"/>
                <w:sz w:val="18"/>
              </w:rPr>
              <w:t>700,287,512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3"/>
              <w:jc w:val="right"/>
              <w:rPr>
                <w:rFonts w:ascii="宋体" w:hAnsi="宋体" w:cs="宋体" w:eastAsia="宋体" w:hint="default"/>
                <w:sz w:val="18"/>
                <w:szCs w:val="18"/>
              </w:rPr>
            </w:pPr>
            <w:r>
              <w:rPr>
                <w:rFonts w:ascii="宋体"/>
                <w:spacing w:val="-1"/>
                <w:sz w:val="18"/>
              </w:rPr>
              <w:t>6,388,408,362</w:t>
            </w:r>
          </w:p>
        </w:tc>
      </w:tr>
      <w:tr>
        <w:trPr>
          <w:trHeight w:val="242"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16"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2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16"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7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523" w:right="0"/>
              <w:jc w:val="left"/>
              <w:rPr>
                <w:rFonts w:ascii="宋体" w:hAnsi="宋体" w:cs="宋体" w:eastAsia="宋体" w:hint="default"/>
                <w:sz w:val="18"/>
                <w:szCs w:val="18"/>
              </w:rPr>
            </w:pPr>
            <w:r>
              <w:rPr>
                <w:rFonts w:ascii="宋体" w:hAnsi="宋体" w:cs="宋体" w:eastAsia="宋体" w:hint="default"/>
                <w:sz w:val="18"/>
                <w:szCs w:val="18"/>
              </w:rPr>
              <w:t>同一控制下企</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业合并</w:t>
            </w:r>
          </w:p>
        </w:tc>
        <w:tc>
          <w:tcPr>
            <w:tcW w:w="1416"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5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6"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pacing w:val="-1"/>
                <w:sz w:val="18"/>
              </w:rPr>
              <w:t>1,464,293,443</w:t>
            </w: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3"/>
              <w:jc w:val="right"/>
              <w:rPr>
                <w:rFonts w:ascii="宋体" w:hAnsi="宋体" w:cs="宋体" w:eastAsia="宋体" w:hint="default"/>
                <w:sz w:val="18"/>
                <w:szCs w:val="18"/>
              </w:rPr>
            </w:pPr>
            <w:r>
              <w:rPr>
                <w:rFonts w:ascii="宋体"/>
                <w:spacing w:val="-1"/>
                <w:sz w:val="18"/>
              </w:rPr>
              <w:t>2,385,810,133</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71" w:right="0"/>
              <w:jc w:val="center"/>
              <w:rPr>
                <w:rFonts w:ascii="宋体" w:hAnsi="宋体" w:cs="宋体" w:eastAsia="宋体" w:hint="default"/>
                <w:sz w:val="18"/>
                <w:szCs w:val="18"/>
              </w:rPr>
            </w:pPr>
            <w:r>
              <w:rPr>
                <w:rFonts w:ascii="宋体"/>
                <w:sz w:val="18"/>
              </w:rPr>
              <w:t>186,377,326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0"/>
              <w:jc w:val="right"/>
              <w:rPr>
                <w:rFonts w:ascii="宋体" w:hAnsi="宋体" w:cs="宋体" w:eastAsia="宋体" w:hint="default"/>
                <w:sz w:val="18"/>
                <w:szCs w:val="18"/>
              </w:rPr>
            </w:pPr>
            <w:r>
              <w:rPr>
                <w:rFonts w:ascii="宋体"/>
                <w:spacing w:val="-1"/>
                <w:sz w:val="18"/>
              </w:rPr>
              <w:t>2,944,939</w:t>
            </w: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99"/>
              <w:jc w:val="right"/>
              <w:rPr>
                <w:rFonts w:ascii="宋体" w:hAnsi="宋体" w:cs="宋体" w:eastAsia="宋体" w:hint="default"/>
                <w:sz w:val="18"/>
                <w:szCs w:val="18"/>
              </w:rPr>
            </w:pPr>
            <w:r>
              <w:rPr>
                <w:rFonts w:ascii="宋体"/>
                <w:spacing w:val="-1"/>
                <w:sz w:val="18"/>
              </w:rPr>
              <w:t>675,739,412</w:t>
            </w: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31" w:right="0"/>
              <w:jc w:val="center"/>
              <w:rPr>
                <w:rFonts w:ascii="宋体" w:hAnsi="宋体" w:cs="宋体" w:eastAsia="宋体" w:hint="default"/>
                <w:sz w:val="18"/>
                <w:szCs w:val="18"/>
              </w:rPr>
            </w:pPr>
            <w:r>
              <w:rPr>
                <w:rFonts w:ascii="宋体"/>
                <w:sz w:val="18"/>
              </w:rPr>
              <w:t>1,345,710,249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pacing w:val="-1"/>
                <w:sz w:val="18"/>
              </w:rPr>
              <w:t>700,287,512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3"/>
              <w:jc w:val="right"/>
              <w:rPr>
                <w:rFonts w:ascii="宋体" w:hAnsi="宋体" w:cs="宋体" w:eastAsia="宋体" w:hint="default"/>
                <w:sz w:val="18"/>
                <w:szCs w:val="18"/>
              </w:rPr>
            </w:pPr>
            <w:r>
              <w:rPr>
                <w:rFonts w:ascii="宋体"/>
                <w:spacing w:val="-1"/>
                <w:sz w:val="18"/>
              </w:rPr>
              <w:t>6,388,408,362</w:t>
            </w:r>
          </w:p>
        </w:tc>
      </w:tr>
      <w:tr>
        <w:trPr>
          <w:trHeight w:val="710"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三、本期增减变动金</w:t>
            </w:r>
          </w:p>
          <w:p>
            <w:pPr>
              <w:pStyle w:val="TableParagraph"/>
              <w:spacing w:line="232" w:lineRule="exact" w:before="24"/>
              <w:ind w:left="103" w:right="110"/>
              <w:jc w:val="left"/>
              <w:rPr>
                <w:rFonts w:ascii="宋体" w:hAnsi="宋体" w:cs="宋体" w:eastAsia="宋体" w:hint="default"/>
                <w:sz w:val="18"/>
                <w:szCs w:val="18"/>
              </w:rPr>
            </w:pPr>
            <w:r>
              <w:rPr>
                <w:rFonts w:ascii="宋体" w:hAnsi="宋体" w:cs="宋体" w:eastAsia="宋体" w:hint="default"/>
                <w:sz w:val="18"/>
                <w:szCs w:val="18"/>
              </w:rPr>
              <w:t>额（减少以“－”号 填列）</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-75,632</w:t>
            </w: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-166,792,612</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71" w:right="0"/>
              <w:jc w:val="center"/>
              <w:rPr>
                <w:rFonts w:ascii="宋体" w:hAnsi="宋体" w:cs="宋体" w:eastAsia="宋体" w:hint="default"/>
                <w:sz w:val="18"/>
                <w:szCs w:val="18"/>
              </w:rPr>
            </w:pPr>
            <w:r>
              <w:rPr>
                <w:rFonts w:ascii="宋体"/>
                <w:sz w:val="18"/>
              </w:rPr>
              <w:t>-84,181,035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45,001,628</w:t>
            </w: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9"/>
              <w:jc w:val="right"/>
              <w:rPr>
                <w:rFonts w:ascii="宋体" w:hAnsi="宋体" w:cs="宋体" w:eastAsia="宋体" w:hint="default"/>
                <w:sz w:val="18"/>
                <w:szCs w:val="18"/>
              </w:rPr>
            </w:pPr>
            <w:r>
              <w:rPr>
                <w:rFonts w:ascii="宋体"/>
                <w:spacing w:val="-1"/>
                <w:sz w:val="18"/>
              </w:rPr>
              <w:t>49,408,894</w:t>
            </w: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1" w:right="0"/>
              <w:jc w:val="center"/>
              <w:rPr>
                <w:rFonts w:ascii="宋体" w:hAnsi="宋体" w:cs="宋体" w:eastAsia="宋体" w:hint="default"/>
                <w:sz w:val="18"/>
                <w:szCs w:val="18"/>
              </w:rPr>
            </w:pPr>
            <w:r>
              <w:rPr>
                <w:rFonts w:ascii="宋体"/>
                <w:sz w:val="18"/>
              </w:rPr>
              <w:t>149,323,685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191,573,616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352,620,614</w:t>
            </w:r>
          </w:p>
        </w:tc>
      </w:tr>
      <w:tr>
        <w:trPr>
          <w:trHeight w:val="24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416"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45,001,628</w:t>
            </w: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1" w:right="0"/>
              <w:jc w:val="center"/>
              <w:rPr>
                <w:rFonts w:ascii="宋体" w:hAnsi="宋体" w:cs="宋体" w:eastAsia="宋体" w:hint="default"/>
                <w:sz w:val="18"/>
                <w:szCs w:val="18"/>
              </w:rPr>
            </w:pPr>
            <w:r>
              <w:rPr>
                <w:rFonts w:ascii="宋体"/>
                <w:sz w:val="18"/>
              </w:rPr>
              <w:t>389,080,894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170,964,895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605,047,417</w:t>
            </w:r>
          </w:p>
        </w:tc>
      </w:tr>
      <w:tr>
        <w:trPr>
          <w:trHeight w:val="47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（二）所有者投入和</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减少资本</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-75,632</w:t>
            </w: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-166,792,612</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71" w:right="0"/>
              <w:jc w:val="center"/>
              <w:rPr>
                <w:rFonts w:ascii="宋体" w:hAnsi="宋体" w:cs="宋体" w:eastAsia="宋体" w:hint="default"/>
                <w:sz w:val="18"/>
                <w:szCs w:val="18"/>
              </w:rPr>
            </w:pPr>
            <w:r>
              <w:rPr>
                <w:rFonts w:ascii="宋体"/>
                <w:sz w:val="18"/>
              </w:rPr>
              <w:t>-84,181,035</w:t>
            </w: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84,489,670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1,802,461</w:t>
            </w:r>
          </w:p>
        </w:tc>
      </w:tr>
      <w:tr>
        <w:trPr>
          <w:trHeight w:val="24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pacing w:val="1"/>
                <w:sz w:val="18"/>
                <w:szCs w:val="18"/>
              </w:rPr>
              <w:t>1</w:t>
            </w:r>
            <w:r>
              <w:rPr>
                <w:rFonts w:ascii="宋体" w:hAnsi="宋体" w:cs="宋体" w:eastAsia="宋体" w:hint="default"/>
                <w:spacing w:val="-82"/>
                <w:sz w:val="18"/>
                <w:szCs w:val="18"/>
              </w:rPr>
              <w:t>．</w:t>
            </w:r>
            <w:r>
              <w:rPr>
                <w:rFonts w:ascii="宋体" w:hAnsi="宋体" w:cs="宋体" w:eastAsia="宋体" w:hint="default"/>
                <w:sz w:val="18"/>
                <w:szCs w:val="18"/>
              </w:rPr>
              <w:t>股东投入的普通股</w:t>
            </w:r>
          </w:p>
        </w:tc>
        <w:tc>
          <w:tcPr>
            <w:tcW w:w="1416"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3"/>
              <w:jc w:val="right"/>
              <w:rPr>
                <w:rFonts w:ascii="宋体" w:hAnsi="宋体" w:cs="宋体" w:eastAsia="宋体" w:hint="default"/>
                <w:sz w:val="18"/>
                <w:szCs w:val="18"/>
              </w:rPr>
            </w:pPr>
            <w:r>
              <w:rPr>
                <w:rFonts w:ascii="宋体"/>
                <w:spacing w:val="-1"/>
                <w:sz w:val="18"/>
              </w:rPr>
              <w:t>1,438,814</w:t>
            </w:r>
          </w:p>
        </w:tc>
        <w:tc>
          <w:tcPr>
            <w:tcW w:w="127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pacing w:val="-1"/>
                <w:sz w:val="18"/>
              </w:rPr>
              <w:t>96,290,914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3"/>
              <w:jc w:val="right"/>
              <w:rPr>
                <w:rFonts w:ascii="宋体" w:hAnsi="宋体" w:cs="宋体" w:eastAsia="宋体" w:hint="default"/>
                <w:sz w:val="18"/>
                <w:szCs w:val="18"/>
              </w:rPr>
            </w:pPr>
            <w:r>
              <w:rPr>
                <w:rFonts w:ascii="宋体"/>
                <w:spacing w:val="-1"/>
                <w:sz w:val="18"/>
              </w:rPr>
              <w:t>97,729,728</w:t>
            </w:r>
          </w:p>
        </w:tc>
      </w:tr>
      <w:tr>
        <w:trPr>
          <w:trHeight w:val="478"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
                <w:sz w:val="18"/>
                <w:szCs w:val="18"/>
              </w:rPr>
              <w:t>2</w:t>
            </w:r>
            <w:r>
              <w:rPr>
                <w:rFonts w:ascii="宋体" w:hAnsi="宋体" w:cs="宋体" w:eastAsia="宋体" w:hint="default"/>
                <w:spacing w:val="-82"/>
                <w:sz w:val="18"/>
                <w:szCs w:val="18"/>
              </w:rPr>
              <w:t>．</w:t>
            </w:r>
            <w:r>
              <w:rPr>
                <w:rFonts w:ascii="宋体" w:hAnsi="宋体" w:cs="宋体" w:eastAsia="宋体" w:hint="default"/>
                <w:sz w:val="18"/>
                <w:szCs w:val="18"/>
              </w:rPr>
              <w:t>其他权益工具持有</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者投入资本</w:t>
            </w:r>
          </w:p>
        </w:tc>
        <w:tc>
          <w:tcPr>
            <w:tcW w:w="1416"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76"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
                <w:sz w:val="18"/>
                <w:szCs w:val="18"/>
              </w:rPr>
              <w:t>3</w:t>
            </w:r>
            <w:r>
              <w:rPr>
                <w:rFonts w:ascii="宋体" w:hAnsi="宋体" w:cs="宋体" w:eastAsia="宋体" w:hint="default"/>
                <w:spacing w:val="-82"/>
                <w:sz w:val="18"/>
                <w:szCs w:val="18"/>
              </w:rPr>
              <w:t>．</w:t>
            </w:r>
            <w:r>
              <w:rPr>
                <w:rFonts w:ascii="宋体" w:hAnsi="宋体" w:cs="宋体" w:eastAsia="宋体" w:hint="default"/>
                <w:sz w:val="18"/>
                <w:szCs w:val="18"/>
              </w:rPr>
              <w:t>股份支付计入所有</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者权益的金额</w:t>
            </w:r>
          </w:p>
        </w:tc>
        <w:tc>
          <w:tcPr>
            <w:tcW w:w="1416"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179,965,065</w:t>
            </w:r>
          </w:p>
        </w:tc>
        <w:tc>
          <w:tcPr>
            <w:tcW w:w="127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21,174,680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201,139,745</w:t>
            </w:r>
          </w:p>
        </w:tc>
      </w:tr>
      <w:tr>
        <w:trPr>
          <w:trHeight w:val="24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．其他</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-75,632</w:t>
            </w: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-348,196,491</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71" w:right="0"/>
              <w:jc w:val="center"/>
              <w:rPr>
                <w:rFonts w:ascii="宋体" w:hAnsi="宋体" w:cs="宋体" w:eastAsia="宋体" w:hint="default"/>
                <w:sz w:val="18"/>
                <w:szCs w:val="18"/>
              </w:rPr>
            </w:pPr>
            <w:r>
              <w:rPr>
                <w:rFonts w:ascii="宋体"/>
                <w:sz w:val="18"/>
              </w:rPr>
              <w:t>-84,181,035</w:t>
            </w: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-32,975,924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-297,067,012</w:t>
            </w:r>
          </w:p>
        </w:tc>
      </w:tr>
      <w:tr>
        <w:trPr>
          <w:trHeight w:val="242"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416"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9"/>
              <w:jc w:val="right"/>
              <w:rPr>
                <w:rFonts w:ascii="宋体" w:hAnsi="宋体" w:cs="宋体" w:eastAsia="宋体" w:hint="default"/>
                <w:sz w:val="18"/>
                <w:szCs w:val="18"/>
              </w:rPr>
            </w:pPr>
            <w:r>
              <w:rPr>
                <w:rFonts w:ascii="宋体"/>
                <w:spacing w:val="-1"/>
                <w:sz w:val="18"/>
              </w:rPr>
              <w:t>49,408,894</w:t>
            </w: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2" w:right="0"/>
              <w:jc w:val="center"/>
              <w:rPr>
                <w:rFonts w:ascii="宋体" w:hAnsi="宋体" w:cs="宋体" w:eastAsia="宋体" w:hint="default"/>
                <w:sz w:val="18"/>
                <w:szCs w:val="18"/>
              </w:rPr>
            </w:pPr>
            <w:r>
              <w:rPr>
                <w:rFonts w:ascii="宋体"/>
                <w:sz w:val="18"/>
              </w:rPr>
              <w:t>-239,757,209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-63,880,949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-254,229,264</w:t>
            </w:r>
          </w:p>
        </w:tc>
      </w:tr>
      <w:tr>
        <w:trPr>
          <w:trHeight w:val="24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．提取盈余公积</w:t>
            </w:r>
          </w:p>
        </w:tc>
        <w:tc>
          <w:tcPr>
            <w:tcW w:w="1416"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9"/>
              <w:jc w:val="right"/>
              <w:rPr>
                <w:rFonts w:ascii="宋体" w:hAnsi="宋体" w:cs="宋体" w:eastAsia="宋体" w:hint="default"/>
                <w:sz w:val="18"/>
                <w:szCs w:val="18"/>
              </w:rPr>
            </w:pPr>
            <w:r>
              <w:rPr>
                <w:rFonts w:ascii="宋体"/>
                <w:spacing w:val="-1"/>
                <w:sz w:val="18"/>
              </w:rPr>
              <w:t>49,408,894</w:t>
            </w: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1" w:right="0"/>
              <w:jc w:val="center"/>
              <w:rPr>
                <w:rFonts w:ascii="宋体" w:hAnsi="宋体" w:cs="宋体" w:eastAsia="宋体" w:hint="default"/>
                <w:sz w:val="18"/>
                <w:szCs w:val="18"/>
              </w:rPr>
            </w:pPr>
            <w:r>
              <w:rPr>
                <w:rFonts w:ascii="宋体"/>
                <w:sz w:val="18"/>
              </w:rPr>
              <w:t>-49,408,894</w:t>
            </w: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
                <w:sz w:val="18"/>
                <w:szCs w:val="18"/>
              </w:rPr>
              <w:t>2</w:t>
            </w:r>
            <w:r>
              <w:rPr>
                <w:rFonts w:ascii="宋体" w:hAnsi="宋体" w:cs="宋体" w:eastAsia="宋体" w:hint="default"/>
                <w:spacing w:val="-82"/>
                <w:sz w:val="18"/>
                <w:szCs w:val="18"/>
              </w:rPr>
              <w:t>．</w:t>
            </w:r>
            <w:r>
              <w:rPr>
                <w:rFonts w:ascii="宋体" w:hAnsi="宋体" w:cs="宋体" w:eastAsia="宋体" w:hint="default"/>
                <w:sz w:val="18"/>
                <w:szCs w:val="18"/>
              </w:rPr>
              <w:t>提取一般风险准备</w:t>
            </w:r>
          </w:p>
        </w:tc>
        <w:tc>
          <w:tcPr>
            <w:tcW w:w="1416"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
                <w:sz w:val="18"/>
                <w:szCs w:val="18"/>
              </w:rPr>
              <w:t>3</w:t>
            </w:r>
            <w:r>
              <w:rPr>
                <w:rFonts w:ascii="宋体" w:hAnsi="宋体" w:cs="宋体" w:eastAsia="宋体" w:hint="default"/>
                <w:spacing w:val="-87"/>
                <w:sz w:val="18"/>
                <w:szCs w:val="18"/>
              </w:rPr>
              <w:t>．</w:t>
            </w:r>
            <w:r>
              <w:rPr>
                <w:rFonts w:ascii="宋体" w:hAnsi="宋体" w:cs="宋体" w:eastAsia="宋体" w:hint="default"/>
                <w:sz w:val="18"/>
                <w:szCs w:val="18"/>
              </w:rPr>
              <w:t>对所有</w:t>
            </w:r>
            <w:r>
              <w:rPr>
                <w:rFonts w:ascii="宋体" w:hAnsi="宋体" w:cs="宋体" w:eastAsia="宋体" w:hint="default"/>
                <w:spacing w:val="-87"/>
                <w:sz w:val="18"/>
                <w:szCs w:val="18"/>
              </w:rPr>
              <w:t>者</w:t>
            </w:r>
            <w:r>
              <w:rPr>
                <w:rFonts w:ascii="宋体" w:hAnsi="宋体" w:cs="宋体" w:eastAsia="宋体" w:hint="default"/>
                <w:sz w:val="18"/>
                <w:szCs w:val="18"/>
              </w:rPr>
              <w:t>（或股东）</w:t>
            </w:r>
          </w:p>
        </w:tc>
        <w:tc>
          <w:tcPr>
            <w:tcW w:w="1416"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2" w:right="0"/>
              <w:jc w:val="center"/>
              <w:rPr>
                <w:rFonts w:ascii="宋体" w:hAnsi="宋体" w:cs="宋体" w:eastAsia="宋体" w:hint="default"/>
                <w:sz w:val="18"/>
                <w:szCs w:val="18"/>
              </w:rPr>
            </w:pPr>
            <w:r>
              <w:rPr>
                <w:rFonts w:ascii="宋体"/>
                <w:sz w:val="18"/>
              </w:rPr>
              <w:t>-190,348,315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-62,791,549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-253,139,864</w:t>
            </w:r>
          </w:p>
        </w:tc>
      </w:tr>
    </w:tbl>
    <w:p>
      <w:pPr>
        <w:spacing w:after="0" w:line="205" w:lineRule="exact"/>
        <w:jc w:val="right"/>
        <w:rPr>
          <w:rFonts w:ascii="宋体" w:hAnsi="宋体" w:cs="宋体" w:eastAsia="宋体" w:hint="default"/>
          <w:sz w:val="18"/>
          <w:szCs w:val="18"/>
        </w:rPr>
        <w:sectPr>
          <w:type w:val="continuous"/>
          <w:pgSz w:w="16840" w:h="11910" w:orient="landscape"/>
          <w:pgMar w:top="1320" w:bottom="1380" w:left="320" w:right="40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0"/>
          <w:szCs w:val="20"/>
        </w:rPr>
      </w:pPr>
    </w:p>
    <w:tbl>
      <w:tblPr>
        <w:tblW w:w="0" w:type="auto"/>
        <w:jc w:val="left"/>
        <w:tblInd w:w="212" w:type="dxa"/>
        <w:tblLayout w:type="fixed"/>
        <w:tblCellMar>
          <w:top w:w="0" w:type="dxa"/>
          <w:left w:w="0" w:type="dxa"/>
          <w:bottom w:w="0" w:type="dxa"/>
          <w:right w:w="0" w:type="dxa"/>
        </w:tblCellMar>
        <w:tblLook w:val="01E0"/>
      </w:tblPr>
      <w:tblGrid>
        <w:gridCol w:w="1846"/>
        <w:gridCol w:w="1416"/>
        <w:gridCol w:w="710"/>
        <w:gridCol w:w="709"/>
        <w:gridCol w:w="566"/>
        <w:gridCol w:w="1418"/>
        <w:gridCol w:w="1275"/>
        <w:gridCol w:w="1277"/>
        <w:gridCol w:w="710"/>
        <w:gridCol w:w="1210"/>
        <w:gridCol w:w="631"/>
        <w:gridCol w:w="1418"/>
        <w:gridCol w:w="1277"/>
        <w:gridCol w:w="1416"/>
      </w:tblGrid>
      <w:tr>
        <w:trPr>
          <w:trHeight w:val="242"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的分配</w:t>
            </w:r>
          </w:p>
        </w:tc>
        <w:tc>
          <w:tcPr>
            <w:tcW w:w="1416"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．其他</w:t>
            </w:r>
          </w:p>
        </w:tc>
        <w:tc>
          <w:tcPr>
            <w:tcW w:w="1416"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-1,089,400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-1,089,400</w:t>
            </w:r>
          </w:p>
        </w:tc>
      </w:tr>
      <w:tr>
        <w:trPr>
          <w:trHeight w:val="47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（四）所有者权益内</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部结转</w:t>
            </w:r>
          </w:p>
        </w:tc>
        <w:tc>
          <w:tcPr>
            <w:tcW w:w="1416"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
                <w:sz w:val="18"/>
                <w:szCs w:val="18"/>
              </w:rPr>
              <w:t>1</w:t>
            </w:r>
            <w:r>
              <w:rPr>
                <w:rFonts w:ascii="宋体" w:hAnsi="宋体" w:cs="宋体" w:eastAsia="宋体" w:hint="default"/>
                <w:spacing w:val="-82"/>
                <w:sz w:val="18"/>
                <w:szCs w:val="18"/>
              </w:rPr>
              <w:t>．</w:t>
            </w:r>
            <w:r>
              <w:rPr>
                <w:rFonts w:ascii="宋体" w:hAnsi="宋体" w:cs="宋体" w:eastAsia="宋体" w:hint="default"/>
                <w:sz w:val="18"/>
                <w:szCs w:val="18"/>
              </w:rPr>
              <w:t>资本公积转增资本</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1416"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
                <w:sz w:val="18"/>
                <w:szCs w:val="18"/>
              </w:rPr>
              <w:t>2</w:t>
            </w:r>
            <w:r>
              <w:rPr>
                <w:rFonts w:ascii="宋体" w:hAnsi="宋体" w:cs="宋体" w:eastAsia="宋体" w:hint="default"/>
                <w:spacing w:val="-82"/>
                <w:sz w:val="18"/>
                <w:szCs w:val="18"/>
              </w:rPr>
              <w:t>．</w:t>
            </w:r>
            <w:r>
              <w:rPr>
                <w:rFonts w:ascii="宋体" w:hAnsi="宋体" w:cs="宋体" w:eastAsia="宋体" w:hint="default"/>
                <w:sz w:val="18"/>
                <w:szCs w:val="18"/>
              </w:rPr>
              <w:t>盈余公积转增资本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1416"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1"/>
                <w:sz w:val="18"/>
                <w:szCs w:val="18"/>
              </w:rPr>
              <w:t>3</w:t>
            </w:r>
            <w:r>
              <w:rPr>
                <w:rFonts w:ascii="宋体" w:hAnsi="宋体" w:cs="宋体" w:eastAsia="宋体" w:hint="default"/>
                <w:spacing w:val="-82"/>
                <w:sz w:val="18"/>
                <w:szCs w:val="18"/>
              </w:rPr>
              <w:t>．</w:t>
            </w:r>
            <w:r>
              <w:rPr>
                <w:rFonts w:ascii="宋体" w:hAnsi="宋体" w:cs="宋体" w:eastAsia="宋体" w:hint="default"/>
                <w:sz w:val="18"/>
                <w:szCs w:val="18"/>
              </w:rPr>
              <w:t>盈余公积弥补亏损</w:t>
            </w:r>
          </w:p>
        </w:tc>
        <w:tc>
          <w:tcPr>
            <w:tcW w:w="1416"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．其他</w:t>
            </w:r>
          </w:p>
        </w:tc>
        <w:tc>
          <w:tcPr>
            <w:tcW w:w="1416"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416"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．本期提取</w:t>
            </w:r>
          </w:p>
        </w:tc>
        <w:tc>
          <w:tcPr>
            <w:tcW w:w="1416"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．本期使用</w:t>
            </w:r>
          </w:p>
        </w:tc>
        <w:tc>
          <w:tcPr>
            <w:tcW w:w="1416"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416"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31" w:right="0"/>
              <w:jc w:val="left"/>
              <w:rPr>
                <w:rFonts w:ascii="宋体" w:hAnsi="宋体" w:cs="宋体" w:eastAsia="宋体" w:hint="default"/>
                <w:sz w:val="18"/>
                <w:szCs w:val="18"/>
              </w:rPr>
            </w:pPr>
            <w:r>
              <w:rPr>
                <w:rFonts w:ascii="宋体"/>
                <w:sz w:val="18"/>
              </w:rPr>
              <w:t>1,464,217,811</w:t>
            </w: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32" w:right="0"/>
              <w:jc w:val="left"/>
              <w:rPr>
                <w:rFonts w:ascii="宋体" w:hAnsi="宋体" w:cs="宋体" w:eastAsia="宋体" w:hint="default"/>
                <w:sz w:val="18"/>
                <w:szCs w:val="18"/>
              </w:rPr>
            </w:pPr>
            <w:r>
              <w:rPr>
                <w:rFonts w:ascii="宋体"/>
                <w:sz w:val="18"/>
              </w:rPr>
              <w:t>2,219,017,521</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2" w:right="0"/>
              <w:jc w:val="left"/>
              <w:rPr>
                <w:rFonts w:ascii="宋体" w:hAnsi="宋体" w:cs="宋体" w:eastAsia="宋体" w:hint="default"/>
                <w:sz w:val="18"/>
                <w:szCs w:val="18"/>
              </w:rPr>
            </w:pPr>
            <w:r>
              <w:rPr>
                <w:rFonts w:ascii="宋体"/>
                <w:sz w:val="18"/>
              </w:rPr>
              <w:t>102,196,291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3" w:right="0"/>
              <w:jc w:val="left"/>
              <w:rPr>
                <w:rFonts w:ascii="宋体" w:hAnsi="宋体" w:cs="宋体" w:eastAsia="宋体" w:hint="default"/>
                <w:sz w:val="18"/>
                <w:szCs w:val="18"/>
              </w:rPr>
            </w:pPr>
            <w:r>
              <w:rPr>
                <w:rFonts w:ascii="宋体"/>
                <w:sz w:val="18"/>
              </w:rPr>
              <w:t>47,946,567</w:t>
            </w:r>
          </w:p>
        </w:tc>
        <w:tc>
          <w:tcPr>
            <w:tcW w:w="710"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8" w:right="0"/>
              <w:jc w:val="left"/>
              <w:rPr>
                <w:rFonts w:ascii="宋体" w:hAnsi="宋体" w:cs="宋体" w:eastAsia="宋体" w:hint="default"/>
                <w:sz w:val="18"/>
                <w:szCs w:val="18"/>
              </w:rPr>
            </w:pPr>
            <w:r>
              <w:rPr>
                <w:rFonts w:ascii="宋体"/>
                <w:sz w:val="18"/>
              </w:rPr>
              <w:t>725,148,306</w:t>
            </w:r>
          </w:p>
        </w:tc>
        <w:tc>
          <w:tcPr>
            <w:tcW w:w="63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34" w:right="0"/>
              <w:jc w:val="left"/>
              <w:rPr>
                <w:rFonts w:ascii="宋体" w:hAnsi="宋体" w:cs="宋体" w:eastAsia="宋体" w:hint="default"/>
                <w:sz w:val="18"/>
                <w:szCs w:val="18"/>
              </w:rPr>
            </w:pPr>
            <w:r>
              <w:rPr>
                <w:rFonts w:ascii="宋体"/>
                <w:sz w:val="18"/>
              </w:rPr>
              <w:t>1,495,033,934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891,861,128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6,741,028,976</w:t>
            </w:r>
          </w:p>
        </w:tc>
      </w:tr>
    </w:tbl>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27"/>
          <w:szCs w:val="27"/>
        </w:rPr>
      </w:pPr>
    </w:p>
    <w:tbl>
      <w:tblPr>
        <w:tblW w:w="0" w:type="auto"/>
        <w:jc w:val="left"/>
        <w:tblInd w:w="108" w:type="dxa"/>
        <w:tblLayout w:type="fixed"/>
        <w:tblCellMar>
          <w:top w:w="0" w:type="dxa"/>
          <w:left w:w="0" w:type="dxa"/>
          <w:bottom w:w="0" w:type="dxa"/>
          <w:right w:w="0" w:type="dxa"/>
        </w:tblCellMar>
        <w:tblLook w:val="01E0"/>
      </w:tblPr>
      <w:tblGrid>
        <w:gridCol w:w="1846"/>
        <w:gridCol w:w="1416"/>
        <w:gridCol w:w="708"/>
        <w:gridCol w:w="711"/>
        <w:gridCol w:w="566"/>
        <w:gridCol w:w="1416"/>
        <w:gridCol w:w="1277"/>
        <w:gridCol w:w="1277"/>
        <w:gridCol w:w="708"/>
        <w:gridCol w:w="1208"/>
        <w:gridCol w:w="636"/>
        <w:gridCol w:w="1418"/>
        <w:gridCol w:w="1275"/>
        <w:gridCol w:w="1418"/>
      </w:tblGrid>
      <w:tr>
        <w:trPr>
          <w:trHeight w:val="250" w:hRule="exact"/>
        </w:trPr>
        <w:tc>
          <w:tcPr>
            <w:tcW w:w="184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035" w:type="dxa"/>
            <w:gridSpan w:val="13"/>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586"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80" w:hRule="exact"/>
        </w:trPr>
        <w:tc>
          <w:tcPr>
            <w:tcW w:w="1846" w:type="dxa"/>
            <w:vMerge/>
            <w:tcBorders>
              <w:left w:val="single" w:sz="4" w:space="0" w:color="000000"/>
              <w:right w:val="single" w:sz="4" w:space="0" w:color="000000"/>
            </w:tcBorders>
          </w:tcPr>
          <w:p>
            <w:pPr/>
          </w:p>
        </w:tc>
        <w:tc>
          <w:tcPr>
            <w:tcW w:w="11342"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588"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27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539" w:right="183" w:hanging="360"/>
              <w:jc w:val="left"/>
              <w:rPr>
                <w:rFonts w:ascii="宋体" w:hAnsi="宋体" w:cs="宋体" w:eastAsia="宋体" w:hint="default"/>
                <w:sz w:val="18"/>
                <w:szCs w:val="18"/>
              </w:rPr>
            </w:pPr>
            <w:r>
              <w:rPr>
                <w:rFonts w:ascii="宋体" w:hAnsi="宋体" w:cs="宋体" w:eastAsia="宋体" w:hint="default"/>
                <w:sz w:val="18"/>
                <w:szCs w:val="18"/>
              </w:rPr>
              <w:t>少数股东权 益</w:t>
            </w:r>
          </w:p>
        </w:tc>
        <w:tc>
          <w:tcPr>
            <w:tcW w:w="141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612" w:right="163" w:hanging="449"/>
              <w:jc w:val="left"/>
              <w:rPr>
                <w:rFonts w:ascii="宋体" w:hAnsi="宋体" w:cs="宋体" w:eastAsia="宋体" w:hint="default"/>
                <w:sz w:val="18"/>
                <w:szCs w:val="18"/>
              </w:rPr>
            </w:pPr>
            <w:r>
              <w:rPr>
                <w:rFonts w:ascii="宋体" w:hAnsi="宋体" w:cs="宋体" w:eastAsia="宋体" w:hint="default"/>
                <w:sz w:val="18"/>
                <w:szCs w:val="18"/>
              </w:rPr>
              <w:t>所有者权益合 计</w:t>
            </w:r>
          </w:p>
        </w:tc>
      </w:tr>
      <w:tr>
        <w:trPr>
          <w:trHeight w:val="394" w:hRule="exact"/>
        </w:trPr>
        <w:tc>
          <w:tcPr>
            <w:tcW w:w="1846" w:type="dxa"/>
            <w:vMerge/>
            <w:tcBorders>
              <w:left w:val="single" w:sz="4" w:space="0" w:color="000000"/>
              <w:right w:val="single" w:sz="4" w:space="0" w:color="000000"/>
            </w:tcBorders>
          </w:tcPr>
          <w:p>
            <w:pPr/>
          </w:p>
        </w:tc>
        <w:tc>
          <w:tcPr>
            <w:tcW w:w="141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5"/>
                <w:szCs w:val="2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股本</w:t>
            </w:r>
          </w:p>
        </w:tc>
        <w:tc>
          <w:tcPr>
            <w:tcW w:w="19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46"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41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5"/>
                <w:szCs w:val="25"/>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5"/>
                <w:szCs w:val="25"/>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4" w:lineRule="auto"/>
              <w:ind w:left="542" w:right="182" w:hanging="360"/>
              <w:jc w:val="left"/>
              <w:rPr>
                <w:rFonts w:ascii="宋体" w:hAnsi="宋体" w:cs="宋体" w:eastAsia="宋体" w:hint="default"/>
                <w:sz w:val="18"/>
                <w:szCs w:val="18"/>
              </w:rPr>
            </w:pPr>
            <w:r>
              <w:rPr>
                <w:rFonts w:ascii="宋体" w:hAnsi="宋体" w:cs="宋体" w:eastAsia="宋体" w:hint="default"/>
                <w:sz w:val="18"/>
                <w:szCs w:val="18"/>
              </w:rPr>
              <w:t>其他综合收 益</w:t>
            </w:r>
          </w:p>
        </w:tc>
        <w:tc>
          <w:tcPr>
            <w:tcW w:w="708"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4" w:lineRule="auto"/>
              <w:ind w:left="168" w:right="168"/>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1208"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5"/>
                <w:szCs w:val="25"/>
              </w:rPr>
            </w:pPr>
          </w:p>
          <w:p>
            <w:pPr>
              <w:pStyle w:val="TableParagraph"/>
              <w:spacing w:line="240" w:lineRule="auto"/>
              <w:ind w:left="237"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36" w:type="dxa"/>
            <w:vMerge w:val="restart"/>
            <w:tcBorders>
              <w:top w:val="single" w:sz="4" w:space="0" w:color="000000"/>
              <w:left w:val="single" w:sz="4" w:space="0" w:color="000000"/>
              <w:right w:val="single" w:sz="4" w:space="0" w:color="000000"/>
            </w:tcBorders>
          </w:tcPr>
          <w:p>
            <w:pPr>
              <w:pStyle w:val="TableParagraph"/>
              <w:spacing w:line="244" w:lineRule="auto" w:before="49"/>
              <w:ind w:left="132" w:right="132"/>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1418"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5"/>
                <w:szCs w:val="25"/>
              </w:rPr>
            </w:pPr>
          </w:p>
          <w:p>
            <w:pPr>
              <w:pStyle w:val="TableParagraph"/>
              <w:spacing w:line="240" w:lineRule="auto"/>
              <w:ind w:left="254"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275" w:type="dxa"/>
            <w:vMerge/>
            <w:tcBorders>
              <w:left w:val="single" w:sz="4" w:space="0" w:color="000000"/>
              <w:right w:val="single" w:sz="4" w:space="0" w:color="000000"/>
            </w:tcBorders>
          </w:tcPr>
          <w:p>
            <w:pPr/>
          </w:p>
        </w:tc>
        <w:tc>
          <w:tcPr>
            <w:tcW w:w="1418" w:type="dxa"/>
            <w:vMerge/>
            <w:tcBorders>
              <w:left w:val="single" w:sz="4" w:space="0" w:color="000000"/>
              <w:right w:val="single" w:sz="4" w:space="0" w:color="000000"/>
            </w:tcBorders>
          </w:tcPr>
          <w:p>
            <w:pPr/>
          </w:p>
        </w:tc>
      </w:tr>
      <w:tr>
        <w:trPr>
          <w:trHeight w:val="478" w:hRule="exact"/>
        </w:trPr>
        <w:tc>
          <w:tcPr>
            <w:tcW w:w="1846" w:type="dxa"/>
            <w:vMerge/>
            <w:tcBorders>
              <w:left w:val="single" w:sz="4" w:space="0" w:color="000000"/>
              <w:bottom w:val="single" w:sz="4" w:space="0" w:color="000000"/>
              <w:right w:val="single" w:sz="4" w:space="0" w:color="000000"/>
            </w:tcBorders>
          </w:tcPr>
          <w:p>
            <w:pPr/>
          </w:p>
        </w:tc>
        <w:tc>
          <w:tcPr>
            <w:tcW w:w="1416" w:type="dxa"/>
            <w:vMerge/>
            <w:tcBorders>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优先</w:t>
            </w: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
              <w:jc w:val="center"/>
              <w:rPr>
                <w:rFonts w:ascii="宋体" w:hAnsi="宋体" w:cs="宋体" w:eastAsia="宋体" w:hint="default"/>
                <w:sz w:val="18"/>
                <w:szCs w:val="18"/>
              </w:rPr>
            </w:pPr>
            <w:r>
              <w:rPr>
                <w:rFonts w:ascii="宋体" w:hAnsi="宋体" w:cs="宋体" w:eastAsia="宋体" w:hint="default"/>
                <w:sz w:val="18"/>
                <w:szCs w:val="18"/>
              </w:rPr>
              <w:t>永续</w:t>
            </w: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债</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其</w:t>
            </w: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他</w:t>
            </w:r>
          </w:p>
        </w:tc>
        <w:tc>
          <w:tcPr>
            <w:tcW w:w="1416" w:type="dxa"/>
            <w:vMerge/>
            <w:tcBorders>
              <w:left w:val="single" w:sz="4" w:space="0" w:color="000000"/>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1208" w:type="dxa"/>
            <w:vMerge/>
            <w:tcBorders>
              <w:left w:val="single" w:sz="4" w:space="0" w:color="000000"/>
              <w:bottom w:val="single" w:sz="4" w:space="0" w:color="000000"/>
              <w:right w:val="single" w:sz="4" w:space="0" w:color="000000"/>
            </w:tcBorders>
          </w:tcPr>
          <w:p>
            <w:pPr/>
          </w:p>
        </w:tc>
        <w:tc>
          <w:tcPr>
            <w:tcW w:w="636" w:type="dxa"/>
            <w:vMerge/>
            <w:tcBorders>
              <w:left w:val="single" w:sz="4" w:space="0" w:color="000000"/>
              <w:bottom w:val="single" w:sz="4" w:space="0" w:color="000000"/>
              <w:right w:val="single" w:sz="4" w:space="0" w:color="000000"/>
            </w:tcBorders>
          </w:tcPr>
          <w:p>
            <w:pPr/>
          </w:p>
        </w:tc>
        <w:tc>
          <w:tcPr>
            <w:tcW w:w="1418" w:type="dxa"/>
            <w:vMerge/>
            <w:tcBorders>
              <w:left w:val="single" w:sz="4" w:space="0" w:color="000000"/>
              <w:bottom w:val="single" w:sz="4" w:space="0" w:color="000000"/>
              <w:right w:val="single" w:sz="4" w:space="0" w:color="000000"/>
            </w:tcBorders>
          </w:tcPr>
          <w:p>
            <w:pPr/>
          </w:p>
        </w:tc>
        <w:tc>
          <w:tcPr>
            <w:tcW w:w="1275" w:type="dxa"/>
            <w:vMerge/>
            <w:tcBorders>
              <w:left w:val="single" w:sz="4" w:space="0" w:color="000000"/>
              <w:bottom w:val="single" w:sz="4" w:space="0" w:color="000000"/>
              <w:right w:val="single" w:sz="4" w:space="0" w:color="000000"/>
            </w:tcBorders>
          </w:tcPr>
          <w:p>
            <w:pPr/>
          </w:p>
        </w:tc>
        <w:tc>
          <w:tcPr>
            <w:tcW w:w="1418" w:type="dxa"/>
            <w:vMerge/>
            <w:tcBorders>
              <w:left w:val="single" w:sz="4" w:space="0" w:color="000000"/>
              <w:bottom w:val="single" w:sz="4" w:space="0" w:color="000000"/>
              <w:right w:val="single" w:sz="4" w:space="0" w:color="000000"/>
            </w:tcBorders>
          </w:tcPr>
          <w:p>
            <w:pPr/>
          </w:p>
        </w:tc>
      </w:tr>
      <w:tr>
        <w:trPr>
          <w:trHeight w:val="242"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1,464,688,320</w:t>
            </w: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2,252,417,040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241,959,975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720,336</w:t>
            </w: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635,373,098</w:t>
            </w: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1,407,652,479</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543,816,044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6,062,707,342</w:t>
            </w:r>
          </w:p>
        </w:tc>
      </w:tr>
      <w:tr>
        <w:trPr>
          <w:trHeight w:val="24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1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2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1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23" w:right="0"/>
              <w:jc w:val="left"/>
              <w:rPr>
                <w:rFonts w:ascii="宋体" w:hAnsi="宋体" w:cs="宋体" w:eastAsia="宋体" w:hint="default"/>
                <w:sz w:val="18"/>
                <w:szCs w:val="18"/>
              </w:rPr>
            </w:pPr>
            <w:r>
              <w:rPr>
                <w:rFonts w:ascii="宋体" w:hAnsi="宋体" w:cs="宋体" w:eastAsia="宋体" w:hint="default"/>
                <w:sz w:val="18"/>
                <w:szCs w:val="18"/>
              </w:rPr>
              <w:t>同一控制下企</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业合并</w:t>
            </w:r>
          </w:p>
        </w:tc>
        <w:tc>
          <w:tcPr>
            <w:tcW w:w="141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5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1,464,688,320</w:t>
            </w: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2,252,417,040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241,959,975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720,336</w:t>
            </w: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635,373,098</w:t>
            </w: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1,407,652,479</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543,816,044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6,062,707,342</w:t>
            </w:r>
          </w:p>
        </w:tc>
      </w:tr>
      <w:tr>
        <w:trPr>
          <w:trHeight w:val="710"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三、本期增减变动金</w:t>
            </w:r>
          </w:p>
          <w:p>
            <w:pPr>
              <w:pStyle w:val="TableParagraph"/>
              <w:spacing w:line="232" w:lineRule="exact" w:before="23"/>
              <w:ind w:left="103" w:right="110"/>
              <w:jc w:val="left"/>
              <w:rPr>
                <w:rFonts w:ascii="宋体" w:hAnsi="宋体" w:cs="宋体" w:eastAsia="宋体" w:hint="default"/>
                <w:sz w:val="18"/>
                <w:szCs w:val="18"/>
              </w:rPr>
            </w:pPr>
            <w:r>
              <w:rPr>
                <w:rFonts w:ascii="宋体" w:hAnsi="宋体" w:cs="宋体" w:eastAsia="宋体" w:hint="default"/>
                <w:sz w:val="18"/>
                <w:szCs w:val="18"/>
              </w:rPr>
              <w:t>额（减少以“－”号 填列）</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pacing w:val="-1"/>
                <w:sz w:val="18"/>
              </w:rPr>
              <w:t>-394,877</w:t>
            </w: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133,393,093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-55,582,649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2,224,603</w:t>
            </w: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40,366,314</w:t>
            </w: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-61,942,230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156,471,468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325,701,020</w:t>
            </w:r>
          </w:p>
        </w:tc>
      </w:tr>
      <w:tr>
        <w:trPr>
          <w:trHeight w:val="242"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41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2,224,603</w:t>
            </w: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197,391,725</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46,995,215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246,611,543</w:t>
            </w:r>
          </w:p>
        </w:tc>
      </w:tr>
    </w:tbl>
    <w:p>
      <w:pPr>
        <w:spacing w:after="0" w:line="205" w:lineRule="exact"/>
        <w:jc w:val="right"/>
        <w:rPr>
          <w:rFonts w:ascii="宋体" w:hAnsi="宋体" w:cs="宋体" w:eastAsia="宋体" w:hint="default"/>
          <w:sz w:val="18"/>
          <w:szCs w:val="18"/>
        </w:rPr>
        <w:sectPr>
          <w:pgSz w:w="16840" w:h="11910" w:orient="landscape"/>
          <w:pgMar w:header="857" w:footer="1195" w:top="1320" w:bottom="1380" w:left="220" w:right="40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0"/>
          <w:szCs w:val="20"/>
        </w:rPr>
      </w:pPr>
    </w:p>
    <w:tbl>
      <w:tblPr>
        <w:tblW w:w="0" w:type="auto"/>
        <w:jc w:val="left"/>
        <w:tblInd w:w="108" w:type="dxa"/>
        <w:tblLayout w:type="fixed"/>
        <w:tblCellMar>
          <w:top w:w="0" w:type="dxa"/>
          <w:left w:w="0" w:type="dxa"/>
          <w:bottom w:w="0" w:type="dxa"/>
          <w:right w:w="0" w:type="dxa"/>
        </w:tblCellMar>
        <w:tblLook w:val="01E0"/>
      </w:tblPr>
      <w:tblGrid>
        <w:gridCol w:w="1846"/>
        <w:gridCol w:w="1416"/>
        <w:gridCol w:w="708"/>
        <w:gridCol w:w="711"/>
        <w:gridCol w:w="566"/>
        <w:gridCol w:w="1416"/>
        <w:gridCol w:w="1277"/>
        <w:gridCol w:w="1277"/>
        <w:gridCol w:w="708"/>
        <w:gridCol w:w="1208"/>
        <w:gridCol w:w="636"/>
        <w:gridCol w:w="1418"/>
        <w:gridCol w:w="1275"/>
        <w:gridCol w:w="1418"/>
      </w:tblGrid>
      <w:tr>
        <w:trPr>
          <w:trHeight w:val="47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（二）所有者投入和</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减少资本</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pacing w:val="-1"/>
                <w:sz w:val="18"/>
              </w:rPr>
              <w:t>-394,877</w:t>
            </w: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133,393,093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-55,582,649</w:t>
            </w: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140,584,131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329,164,996</w:t>
            </w:r>
          </w:p>
        </w:tc>
      </w:tr>
      <w:tr>
        <w:trPr>
          <w:trHeight w:val="24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pacing w:val="1"/>
                <w:sz w:val="18"/>
                <w:szCs w:val="18"/>
              </w:rPr>
              <w:t>1</w:t>
            </w:r>
            <w:r>
              <w:rPr>
                <w:rFonts w:ascii="宋体" w:hAnsi="宋体" w:cs="宋体" w:eastAsia="宋体" w:hint="default"/>
                <w:spacing w:val="-82"/>
                <w:sz w:val="18"/>
                <w:szCs w:val="18"/>
              </w:rPr>
              <w:t>．</w:t>
            </w:r>
            <w:r>
              <w:rPr>
                <w:rFonts w:ascii="宋体" w:hAnsi="宋体" w:cs="宋体" w:eastAsia="宋体" w:hint="default"/>
                <w:sz w:val="18"/>
                <w:szCs w:val="18"/>
              </w:rPr>
              <w:t>股东投入的普通股</w:t>
            </w:r>
          </w:p>
        </w:tc>
        <w:tc>
          <w:tcPr>
            <w:tcW w:w="141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0"/>
              <w:jc w:val="right"/>
              <w:rPr>
                <w:rFonts w:ascii="宋体" w:hAnsi="宋体" w:cs="宋体" w:eastAsia="宋体" w:hint="default"/>
                <w:sz w:val="18"/>
                <w:szCs w:val="18"/>
              </w:rPr>
            </w:pPr>
            <w:r>
              <w:rPr>
                <w:rFonts w:ascii="宋体"/>
                <w:spacing w:val="-1"/>
                <w:sz w:val="18"/>
              </w:rPr>
              <w:t>109,079,732</w:t>
            </w:r>
          </w:p>
        </w:tc>
        <w:tc>
          <w:tcPr>
            <w:tcW w:w="127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pacing w:val="-1"/>
                <w:sz w:val="18"/>
              </w:rPr>
              <w:t>102,481,880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3"/>
              <w:jc w:val="right"/>
              <w:rPr>
                <w:rFonts w:ascii="宋体" w:hAnsi="宋体" w:cs="宋体" w:eastAsia="宋体" w:hint="default"/>
                <w:sz w:val="18"/>
                <w:szCs w:val="18"/>
              </w:rPr>
            </w:pPr>
            <w:r>
              <w:rPr>
                <w:rFonts w:ascii="宋体"/>
                <w:spacing w:val="-1"/>
                <w:sz w:val="18"/>
              </w:rPr>
              <w:t>211,561,612</w:t>
            </w:r>
          </w:p>
        </w:tc>
      </w:tr>
      <w:tr>
        <w:trPr>
          <w:trHeight w:val="478"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
                <w:sz w:val="18"/>
                <w:szCs w:val="18"/>
              </w:rPr>
              <w:t>2</w:t>
            </w:r>
            <w:r>
              <w:rPr>
                <w:rFonts w:ascii="宋体" w:hAnsi="宋体" w:cs="宋体" w:eastAsia="宋体" w:hint="default"/>
                <w:spacing w:val="-82"/>
                <w:sz w:val="18"/>
                <w:szCs w:val="18"/>
              </w:rPr>
              <w:t>．</w:t>
            </w:r>
            <w:r>
              <w:rPr>
                <w:rFonts w:ascii="宋体" w:hAnsi="宋体" w:cs="宋体" w:eastAsia="宋体" w:hint="default"/>
                <w:sz w:val="18"/>
                <w:szCs w:val="18"/>
              </w:rPr>
              <w:t>其他权益工具持有</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者投入资本</w:t>
            </w:r>
          </w:p>
        </w:tc>
        <w:tc>
          <w:tcPr>
            <w:tcW w:w="141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7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
                <w:sz w:val="18"/>
                <w:szCs w:val="18"/>
              </w:rPr>
              <w:t>3</w:t>
            </w:r>
            <w:r>
              <w:rPr>
                <w:rFonts w:ascii="宋体" w:hAnsi="宋体" w:cs="宋体" w:eastAsia="宋体" w:hint="default"/>
                <w:spacing w:val="-82"/>
                <w:sz w:val="18"/>
                <w:szCs w:val="18"/>
              </w:rPr>
              <w:t>．</w:t>
            </w:r>
            <w:r>
              <w:rPr>
                <w:rFonts w:ascii="宋体" w:hAnsi="宋体" w:cs="宋体" w:eastAsia="宋体" w:hint="default"/>
                <w:sz w:val="18"/>
                <w:szCs w:val="18"/>
              </w:rPr>
              <w:t>股份支付计入所有</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者权益的金额</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4"/>
              <w:jc w:val="right"/>
              <w:rPr>
                <w:rFonts w:ascii="宋体" w:hAnsi="宋体" w:cs="宋体" w:eastAsia="宋体" w:hint="default"/>
                <w:sz w:val="18"/>
                <w:szCs w:val="18"/>
              </w:rPr>
            </w:pPr>
            <w:r>
              <w:rPr>
                <w:rFonts w:ascii="宋体"/>
                <w:sz w:val="18"/>
              </w:rPr>
              <w:t>186,840</w:t>
            </w: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101,826,217</w:t>
            </w:r>
          </w:p>
        </w:tc>
        <w:tc>
          <w:tcPr>
            <w:tcW w:w="127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41,758,628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143,771,685</w:t>
            </w:r>
          </w:p>
        </w:tc>
      </w:tr>
      <w:tr>
        <w:trPr>
          <w:trHeight w:val="24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．其他</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pacing w:val="-1"/>
                <w:sz w:val="18"/>
              </w:rPr>
              <w:t>-581,717</w:t>
            </w: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-77,512,856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-55,582,649</w:t>
            </w: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-3,656,377</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-26,168,301</w:t>
            </w:r>
          </w:p>
        </w:tc>
      </w:tr>
      <w:tr>
        <w:trPr>
          <w:trHeight w:val="243"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41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pacing w:val="-1"/>
                <w:sz w:val="18"/>
              </w:rPr>
              <w:t>40,366,314</w:t>
            </w: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0"/>
              <w:jc w:val="right"/>
              <w:rPr>
                <w:rFonts w:ascii="宋体" w:hAnsi="宋体" w:cs="宋体" w:eastAsia="宋体" w:hint="default"/>
                <w:sz w:val="18"/>
                <w:szCs w:val="18"/>
              </w:rPr>
            </w:pPr>
            <w:r>
              <w:rPr>
                <w:rFonts w:ascii="宋体"/>
                <w:spacing w:val="-1"/>
                <w:sz w:val="18"/>
              </w:rPr>
              <w:t>-259,333,955</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pacing w:val="-1"/>
                <w:sz w:val="18"/>
              </w:rPr>
              <w:t>-31,107,878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3"/>
              <w:jc w:val="right"/>
              <w:rPr>
                <w:rFonts w:ascii="宋体" w:hAnsi="宋体" w:cs="宋体" w:eastAsia="宋体" w:hint="default"/>
                <w:sz w:val="18"/>
                <w:szCs w:val="18"/>
              </w:rPr>
            </w:pPr>
            <w:r>
              <w:rPr>
                <w:rFonts w:ascii="宋体"/>
                <w:spacing w:val="-1"/>
                <w:sz w:val="18"/>
              </w:rPr>
              <w:t>-250,075,519</w:t>
            </w:r>
          </w:p>
        </w:tc>
      </w:tr>
      <w:tr>
        <w:trPr>
          <w:trHeight w:val="24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．提取盈余公积</w:t>
            </w:r>
          </w:p>
        </w:tc>
        <w:tc>
          <w:tcPr>
            <w:tcW w:w="141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40,366,314</w:t>
            </w: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-40,366,314</w:t>
            </w:r>
          </w:p>
        </w:tc>
        <w:tc>
          <w:tcPr>
            <w:tcW w:w="1275"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
                <w:sz w:val="18"/>
                <w:szCs w:val="18"/>
              </w:rPr>
              <w:t>2</w:t>
            </w:r>
            <w:r>
              <w:rPr>
                <w:rFonts w:ascii="宋体" w:hAnsi="宋体" w:cs="宋体" w:eastAsia="宋体" w:hint="default"/>
                <w:spacing w:val="-82"/>
                <w:sz w:val="18"/>
                <w:szCs w:val="18"/>
              </w:rPr>
              <w:t>．</w:t>
            </w:r>
            <w:r>
              <w:rPr>
                <w:rFonts w:ascii="宋体" w:hAnsi="宋体" w:cs="宋体" w:eastAsia="宋体" w:hint="default"/>
                <w:sz w:val="18"/>
                <w:szCs w:val="18"/>
              </w:rPr>
              <w:t>提取一般风险准备</w:t>
            </w:r>
          </w:p>
        </w:tc>
        <w:tc>
          <w:tcPr>
            <w:tcW w:w="141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
                <w:sz w:val="18"/>
                <w:szCs w:val="18"/>
              </w:rPr>
              <w:t>3</w:t>
            </w:r>
            <w:r>
              <w:rPr>
                <w:rFonts w:ascii="宋体" w:hAnsi="宋体" w:cs="宋体" w:eastAsia="宋体" w:hint="default"/>
                <w:spacing w:val="-87"/>
                <w:sz w:val="18"/>
                <w:szCs w:val="18"/>
              </w:rPr>
              <w:t>．</w:t>
            </w:r>
            <w:r>
              <w:rPr>
                <w:rFonts w:ascii="宋体" w:hAnsi="宋体" w:cs="宋体" w:eastAsia="宋体" w:hint="default"/>
                <w:sz w:val="18"/>
                <w:szCs w:val="18"/>
              </w:rPr>
              <w:t>对所有</w:t>
            </w:r>
            <w:r>
              <w:rPr>
                <w:rFonts w:ascii="宋体" w:hAnsi="宋体" w:cs="宋体" w:eastAsia="宋体" w:hint="default"/>
                <w:spacing w:val="-87"/>
                <w:sz w:val="18"/>
                <w:szCs w:val="18"/>
              </w:rPr>
              <w:t>者</w:t>
            </w:r>
            <w:r>
              <w:rPr>
                <w:rFonts w:ascii="宋体" w:hAnsi="宋体" w:cs="宋体" w:eastAsia="宋体" w:hint="default"/>
                <w:sz w:val="18"/>
                <w:szCs w:val="18"/>
              </w:rPr>
              <w:t>（或股东）</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的分配</w:t>
            </w:r>
          </w:p>
        </w:tc>
        <w:tc>
          <w:tcPr>
            <w:tcW w:w="141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-218,967,641</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-31,107,878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-250,075,519</w:t>
            </w:r>
          </w:p>
        </w:tc>
      </w:tr>
      <w:tr>
        <w:trPr>
          <w:trHeight w:val="242"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．其他</w:t>
            </w:r>
          </w:p>
        </w:tc>
        <w:tc>
          <w:tcPr>
            <w:tcW w:w="141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（四）所有者权益内</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部结转</w:t>
            </w:r>
          </w:p>
        </w:tc>
        <w:tc>
          <w:tcPr>
            <w:tcW w:w="141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
                <w:sz w:val="18"/>
                <w:szCs w:val="18"/>
              </w:rPr>
              <w:t>1</w:t>
            </w:r>
            <w:r>
              <w:rPr>
                <w:rFonts w:ascii="宋体" w:hAnsi="宋体" w:cs="宋体" w:eastAsia="宋体" w:hint="default"/>
                <w:spacing w:val="-82"/>
                <w:sz w:val="18"/>
                <w:szCs w:val="18"/>
              </w:rPr>
              <w:t>．</w:t>
            </w:r>
            <w:r>
              <w:rPr>
                <w:rFonts w:ascii="宋体" w:hAnsi="宋体" w:cs="宋体" w:eastAsia="宋体" w:hint="default"/>
                <w:sz w:val="18"/>
                <w:szCs w:val="18"/>
              </w:rPr>
              <w:t>资本公积转增资本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141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76"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
                <w:sz w:val="18"/>
                <w:szCs w:val="18"/>
              </w:rPr>
              <w:t>2</w:t>
            </w:r>
            <w:r>
              <w:rPr>
                <w:rFonts w:ascii="宋体" w:hAnsi="宋体" w:cs="宋体" w:eastAsia="宋体" w:hint="default"/>
                <w:spacing w:val="-82"/>
                <w:sz w:val="18"/>
                <w:szCs w:val="18"/>
              </w:rPr>
              <w:t>．</w:t>
            </w:r>
            <w:r>
              <w:rPr>
                <w:rFonts w:ascii="宋体" w:hAnsi="宋体" w:cs="宋体" w:eastAsia="宋体" w:hint="default"/>
                <w:sz w:val="18"/>
                <w:szCs w:val="18"/>
              </w:rPr>
              <w:t>盈余公积转增资本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141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
                <w:sz w:val="18"/>
                <w:szCs w:val="18"/>
              </w:rPr>
              <w:t>3</w:t>
            </w:r>
            <w:r>
              <w:rPr>
                <w:rFonts w:ascii="宋体" w:hAnsi="宋体" w:cs="宋体" w:eastAsia="宋体" w:hint="default"/>
                <w:spacing w:val="-82"/>
                <w:sz w:val="18"/>
                <w:szCs w:val="18"/>
              </w:rPr>
              <w:t>．</w:t>
            </w:r>
            <w:r>
              <w:rPr>
                <w:rFonts w:ascii="宋体" w:hAnsi="宋体" w:cs="宋体" w:eastAsia="宋体" w:hint="default"/>
                <w:sz w:val="18"/>
                <w:szCs w:val="18"/>
              </w:rPr>
              <w:t>盈余公积弥补亏损</w:t>
            </w:r>
          </w:p>
        </w:tc>
        <w:tc>
          <w:tcPr>
            <w:tcW w:w="141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．其他</w:t>
            </w:r>
          </w:p>
        </w:tc>
        <w:tc>
          <w:tcPr>
            <w:tcW w:w="141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41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．本期提取</w:t>
            </w:r>
          </w:p>
        </w:tc>
        <w:tc>
          <w:tcPr>
            <w:tcW w:w="141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．本期使用</w:t>
            </w:r>
          </w:p>
        </w:tc>
        <w:tc>
          <w:tcPr>
            <w:tcW w:w="141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41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1,464,293,443</w:t>
            </w: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2,385,810,133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186,377,326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52" w:right="0"/>
              <w:jc w:val="left"/>
              <w:rPr>
                <w:rFonts w:ascii="宋体" w:hAnsi="宋体" w:cs="宋体" w:eastAsia="宋体" w:hint="default"/>
                <w:sz w:val="18"/>
                <w:szCs w:val="18"/>
              </w:rPr>
            </w:pPr>
            <w:r>
              <w:rPr>
                <w:rFonts w:ascii="宋体"/>
                <w:sz w:val="18"/>
              </w:rPr>
              <w:t>2,944,939</w:t>
            </w:r>
          </w:p>
        </w:tc>
        <w:tc>
          <w:tcPr>
            <w:tcW w:w="708"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675,739,412</w:t>
            </w:r>
          </w:p>
        </w:tc>
        <w:tc>
          <w:tcPr>
            <w:tcW w:w="63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1,345,710,249</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700,287,512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6,388,408,362</w:t>
            </w:r>
          </w:p>
        </w:tc>
      </w:tr>
    </w:tbl>
    <w:p>
      <w:pPr>
        <w:spacing w:line="240" w:lineRule="auto" w:before="8"/>
        <w:rPr>
          <w:rFonts w:ascii="Times New Roman" w:hAnsi="Times New Roman" w:cs="Times New Roman" w:eastAsia="Times New Roman" w:hint="default"/>
          <w:sz w:val="17"/>
          <w:szCs w:val="17"/>
        </w:rPr>
      </w:pPr>
    </w:p>
    <w:p>
      <w:pPr>
        <w:pStyle w:val="BodyText"/>
        <w:spacing w:line="240" w:lineRule="auto" w:before="36"/>
        <w:ind w:left="1220" w:right="0"/>
        <w:jc w:val="left"/>
      </w:pPr>
      <w:r>
        <w:rPr/>
        <w:t>法定代表人：王文京 主管会计工作负责人：章培林</w:t>
      </w:r>
      <w:r>
        <w:rPr>
          <w:spacing w:val="-7"/>
        </w:rPr>
        <w:t> </w:t>
      </w:r>
      <w:r>
        <w:rPr/>
        <w:t>会计机构负责人：王仕平</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pgSz w:w="16840" w:h="11910" w:orient="landscape"/>
          <w:pgMar w:header="857" w:footer="1195" w:top="1320" w:bottom="1380" w:left="220" w:right="500"/>
        </w:sectPr>
      </w:pPr>
    </w:p>
    <w:p>
      <w:pPr>
        <w:spacing w:before="36"/>
        <w:ind w:left="7384" w:right="-7" w:hanging="399"/>
        <w:jc w:val="left"/>
        <w:rPr>
          <w:rFonts w:ascii="宋体" w:hAnsi="宋体" w:cs="宋体" w:eastAsia="宋体" w:hint="default"/>
          <w:sz w:val="21"/>
          <w:szCs w:val="21"/>
        </w:rPr>
      </w:pPr>
      <w:r>
        <w:rPr>
          <w:rFonts w:ascii="宋体" w:hAnsi="宋体" w:cs="宋体" w:eastAsia="宋体" w:hint="default"/>
          <w:b/>
          <w:bCs/>
          <w:spacing w:val="-1"/>
          <w:sz w:val="21"/>
          <w:szCs w:val="21"/>
        </w:rPr>
        <w:t>母公司所有者权益变动表</w:t>
      </w:r>
      <w:r>
        <w:rPr>
          <w:rFonts w:ascii="宋体" w:hAnsi="宋体" w:cs="宋体" w:eastAsia="宋体" w:hint="default"/>
          <w:b/>
          <w:bCs/>
          <w:spacing w:val="-94"/>
          <w:sz w:val="21"/>
          <w:szCs w:val="21"/>
        </w:rPr>
        <w:t> </w:t>
      </w:r>
      <w:r>
        <w:rPr>
          <w:rFonts w:ascii="宋体" w:hAnsi="宋体" w:cs="宋体" w:eastAsia="宋体" w:hint="default"/>
          <w:b/>
          <w:bCs/>
          <w:spacing w:val="-94"/>
          <w:sz w:val="21"/>
          <w:szCs w:val="21"/>
        </w:rPr>
      </w: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z w:val="21"/>
          <w:szCs w:val="21"/>
        </w:rPr>
        <w:t>—</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5"/>
        <w:rPr>
          <w:rFonts w:ascii="宋体" w:hAnsi="宋体" w:cs="宋体" w:eastAsia="宋体" w:hint="default"/>
          <w:sz w:val="24"/>
          <w:szCs w:val="24"/>
        </w:rPr>
      </w:pPr>
    </w:p>
    <w:p>
      <w:pPr>
        <w:pStyle w:val="BodyText"/>
        <w:tabs>
          <w:tab w:pos="4592" w:val="left" w:leader="none"/>
        </w:tabs>
        <w:spacing w:line="240" w:lineRule="auto"/>
        <w:ind w:left="3647" w:right="0"/>
        <w:jc w:val="left"/>
      </w:pPr>
      <w:r>
        <w:rPr>
          <w:spacing w:val="-1"/>
        </w:rPr>
        <w:t>单位</w:t>
      </w:r>
      <w:r>
        <w:rPr>
          <w:rFonts w:ascii="宋体" w:hAnsi="宋体" w:cs="宋体" w:eastAsia="宋体" w:hint="default"/>
          <w:spacing w:val="-1"/>
        </w:rPr>
        <w:t>:</w:t>
      </w:r>
      <w:r>
        <w:rPr>
          <w:spacing w:val="-1"/>
        </w:rPr>
        <w:t>元</w:t>
        <w:tab/>
        <w:t>币种</w:t>
      </w:r>
      <w:r>
        <w:rPr>
          <w:rFonts w:ascii="宋体" w:hAnsi="宋体" w:cs="宋体" w:eastAsia="宋体" w:hint="default"/>
          <w:spacing w:val="-1"/>
        </w:rPr>
        <w:t>:</w:t>
      </w:r>
      <w:r>
        <w:rPr>
          <w:spacing w:val="-1"/>
        </w:rPr>
        <w:t>人民币</w:t>
      </w:r>
    </w:p>
    <w:p>
      <w:pPr>
        <w:spacing w:after="0" w:line="240" w:lineRule="auto"/>
        <w:jc w:val="left"/>
        <w:sectPr>
          <w:type w:val="continuous"/>
          <w:pgSz w:w="16840" w:h="11910" w:orient="landscape"/>
          <w:pgMar w:top="1320" w:bottom="1380" w:left="220" w:right="500"/>
          <w:cols w:num="2" w:equalWidth="0">
            <w:col w:w="9307" w:space="40"/>
            <w:col w:w="6773"/>
          </w:cols>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0"/>
          <w:szCs w:val="20"/>
        </w:rPr>
      </w:pPr>
    </w:p>
    <w:tbl>
      <w:tblPr>
        <w:tblW w:w="0" w:type="auto"/>
        <w:jc w:val="left"/>
        <w:tblInd w:w="103" w:type="dxa"/>
        <w:tblLayout w:type="fixed"/>
        <w:tblCellMar>
          <w:top w:w="0" w:type="dxa"/>
          <w:left w:w="0" w:type="dxa"/>
          <w:bottom w:w="0" w:type="dxa"/>
          <w:right w:w="0" w:type="dxa"/>
        </w:tblCellMar>
        <w:tblLook w:val="01E0"/>
      </w:tblPr>
      <w:tblGrid>
        <w:gridCol w:w="2554"/>
        <w:gridCol w:w="1416"/>
        <w:gridCol w:w="992"/>
        <w:gridCol w:w="994"/>
        <w:gridCol w:w="994"/>
        <w:gridCol w:w="1416"/>
        <w:gridCol w:w="1277"/>
        <w:gridCol w:w="850"/>
        <w:gridCol w:w="850"/>
        <w:gridCol w:w="1560"/>
        <w:gridCol w:w="1560"/>
        <w:gridCol w:w="1416"/>
      </w:tblGrid>
      <w:tr>
        <w:trPr>
          <w:trHeight w:val="247" w:hRule="exact"/>
        </w:trPr>
        <w:tc>
          <w:tcPr>
            <w:tcW w:w="2554" w:type="dxa"/>
            <w:vMerge w:val="restart"/>
            <w:tcBorders>
              <w:top w:val="single" w:sz="6" w:space="0" w:color="000000"/>
              <w:left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324" w:type="dxa"/>
            <w:gridSpan w:val="11"/>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2"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329" w:hRule="exact"/>
        </w:trPr>
        <w:tc>
          <w:tcPr>
            <w:tcW w:w="2554" w:type="dxa"/>
            <w:vMerge/>
            <w:tcBorders>
              <w:left w:val="single" w:sz="6" w:space="0" w:color="000000"/>
              <w:right w:val="single" w:sz="6" w:space="0" w:color="000000"/>
            </w:tcBorders>
          </w:tcPr>
          <w:p>
            <w:pPr/>
          </w:p>
        </w:tc>
        <w:tc>
          <w:tcPr>
            <w:tcW w:w="1416" w:type="dxa"/>
            <w:vMerge w:val="restart"/>
            <w:tcBorders>
              <w:top w:val="single" w:sz="6" w:space="0" w:color="000000"/>
              <w:left w:val="single" w:sz="6"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2979" w:type="dxa"/>
            <w:gridSpan w:val="3"/>
            <w:tcBorders>
              <w:top w:val="single" w:sz="6" w:space="0" w:color="000000"/>
              <w:left w:val="single" w:sz="4" w:space="0" w:color="000000"/>
              <w:bottom w:val="single" w:sz="4" w:space="0" w:color="000000"/>
              <w:right w:val="single" w:sz="6" w:space="0" w:color="000000"/>
            </w:tcBorders>
          </w:tcPr>
          <w:p>
            <w:pPr>
              <w:pStyle w:val="TableParagraph"/>
              <w:spacing w:line="240" w:lineRule="auto" w:before="13"/>
              <w:ind w:left="94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416" w:type="dxa"/>
            <w:vMerge w:val="restart"/>
            <w:tcBorders>
              <w:top w:val="single" w:sz="6" w:space="0" w:color="000000"/>
              <w:left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340"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277" w:type="dxa"/>
            <w:vMerge w:val="restart"/>
            <w:tcBorders>
              <w:top w:val="single" w:sz="6" w:space="0" w:color="000000"/>
              <w:left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79"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850" w:type="dxa"/>
            <w:vMerge w:val="restart"/>
            <w:tcBorders>
              <w:top w:val="single" w:sz="6" w:space="0" w:color="000000"/>
              <w:left w:val="single" w:sz="6" w:space="0" w:color="000000"/>
              <w:right w:val="single" w:sz="6" w:space="0" w:color="000000"/>
            </w:tcBorders>
          </w:tcPr>
          <w:p>
            <w:pPr>
              <w:pStyle w:val="TableParagraph"/>
              <w:spacing w:line="240" w:lineRule="auto" w:before="49"/>
              <w:ind w:left="148" w:right="144"/>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850" w:type="dxa"/>
            <w:vMerge w:val="restart"/>
            <w:tcBorders>
              <w:top w:val="single" w:sz="6" w:space="0" w:color="000000"/>
              <w:left w:val="single" w:sz="6" w:space="0" w:color="000000"/>
              <w:right w:val="single" w:sz="6" w:space="0" w:color="000000"/>
            </w:tcBorders>
          </w:tcPr>
          <w:p>
            <w:pPr>
              <w:pStyle w:val="TableParagraph"/>
              <w:spacing w:line="240" w:lineRule="auto" w:before="49"/>
              <w:ind w:left="326" w:right="147"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1560" w:type="dxa"/>
            <w:vMerge w:val="restart"/>
            <w:tcBorders>
              <w:top w:val="single" w:sz="6" w:space="0" w:color="000000"/>
              <w:left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560" w:type="dxa"/>
            <w:vMerge w:val="restart"/>
            <w:tcBorders>
              <w:top w:val="single" w:sz="6" w:space="0" w:color="000000"/>
              <w:left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416" w:type="dxa"/>
            <w:vMerge w:val="restart"/>
            <w:tcBorders>
              <w:top w:val="single" w:sz="6" w:space="0" w:color="000000"/>
              <w:left w:val="single" w:sz="6" w:space="0" w:color="000000"/>
              <w:right w:val="single" w:sz="6" w:space="0" w:color="000000"/>
            </w:tcBorders>
          </w:tcPr>
          <w:p>
            <w:pPr>
              <w:pStyle w:val="TableParagraph"/>
              <w:spacing w:line="240" w:lineRule="auto" w:before="49"/>
              <w:ind w:left="609" w:right="158" w:hanging="449"/>
              <w:jc w:val="left"/>
              <w:rPr>
                <w:rFonts w:ascii="宋体" w:hAnsi="宋体" w:cs="宋体" w:eastAsia="宋体" w:hint="default"/>
                <w:sz w:val="18"/>
                <w:szCs w:val="18"/>
              </w:rPr>
            </w:pPr>
            <w:r>
              <w:rPr>
                <w:rFonts w:ascii="宋体" w:hAnsi="宋体" w:cs="宋体" w:eastAsia="宋体" w:hint="default"/>
                <w:sz w:val="18"/>
                <w:szCs w:val="18"/>
              </w:rPr>
              <w:t>所有者权益合 计</w:t>
            </w:r>
          </w:p>
        </w:tc>
      </w:tr>
      <w:tr>
        <w:trPr>
          <w:trHeight w:val="312" w:hRule="exact"/>
        </w:trPr>
        <w:tc>
          <w:tcPr>
            <w:tcW w:w="2554" w:type="dxa"/>
            <w:vMerge/>
            <w:tcBorders>
              <w:left w:val="single" w:sz="6" w:space="0" w:color="000000"/>
              <w:bottom w:val="single" w:sz="6" w:space="0" w:color="000000"/>
              <w:right w:val="single" w:sz="6" w:space="0" w:color="000000"/>
            </w:tcBorders>
          </w:tcPr>
          <w:p>
            <w:pPr/>
          </w:p>
        </w:tc>
        <w:tc>
          <w:tcPr>
            <w:tcW w:w="1416" w:type="dxa"/>
            <w:vMerge/>
            <w:tcBorders>
              <w:left w:val="single" w:sz="6" w:space="0" w:color="000000"/>
              <w:bottom w:val="single" w:sz="6" w:space="0" w:color="000000"/>
              <w:right w:val="single" w:sz="4" w:space="0" w:color="000000"/>
            </w:tcBorders>
          </w:tcPr>
          <w:p>
            <w:pPr/>
          </w:p>
        </w:tc>
        <w:tc>
          <w:tcPr>
            <w:tcW w:w="992"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
              <w:ind w:left="220"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994"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
              <w:ind w:left="220"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994"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5"/>
              <w:ind w:left="30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6" w:type="dxa"/>
            <w:vMerge/>
            <w:tcBorders>
              <w:left w:val="single" w:sz="6" w:space="0" w:color="000000"/>
              <w:bottom w:val="single" w:sz="6" w:space="0" w:color="000000"/>
              <w:right w:val="single" w:sz="6" w:space="0" w:color="000000"/>
            </w:tcBorders>
          </w:tcPr>
          <w:p>
            <w:pPr/>
          </w:p>
        </w:tc>
        <w:tc>
          <w:tcPr>
            <w:tcW w:w="1277" w:type="dxa"/>
            <w:vMerge/>
            <w:tcBorders>
              <w:left w:val="single" w:sz="6" w:space="0" w:color="000000"/>
              <w:bottom w:val="single" w:sz="6" w:space="0" w:color="000000"/>
              <w:right w:val="single" w:sz="6" w:space="0" w:color="000000"/>
            </w:tcBorders>
          </w:tcPr>
          <w:p>
            <w:pPr/>
          </w:p>
        </w:tc>
        <w:tc>
          <w:tcPr>
            <w:tcW w:w="850" w:type="dxa"/>
            <w:vMerge/>
            <w:tcBorders>
              <w:left w:val="single" w:sz="6" w:space="0" w:color="000000"/>
              <w:bottom w:val="single" w:sz="6" w:space="0" w:color="000000"/>
              <w:right w:val="single" w:sz="6" w:space="0" w:color="000000"/>
            </w:tcBorders>
          </w:tcPr>
          <w:p>
            <w:pPr/>
          </w:p>
        </w:tc>
        <w:tc>
          <w:tcPr>
            <w:tcW w:w="850" w:type="dxa"/>
            <w:vMerge/>
            <w:tcBorders>
              <w:left w:val="single" w:sz="6" w:space="0" w:color="000000"/>
              <w:bottom w:val="single" w:sz="6" w:space="0" w:color="000000"/>
              <w:right w:val="single" w:sz="6" w:space="0" w:color="000000"/>
            </w:tcBorders>
          </w:tcPr>
          <w:p>
            <w:pPr/>
          </w:p>
        </w:tc>
        <w:tc>
          <w:tcPr>
            <w:tcW w:w="1560" w:type="dxa"/>
            <w:vMerge/>
            <w:tcBorders>
              <w:left w:val="single" w:sz="6" w:space="0" w:color="000000"/>
              <w:bottom w:val="single" w:sz="6" w:space="0" w:color="000000"/>
              <w:right w:val="single" w:sz="6" w:space="0" w:color="000000"/>
            </w:tcBorders>
          </w:tcPr>
          <w:p>
            <w:pPr/>
          </w:p>
        </w:tc>
        <w:tc>
          <w:tcPr>
            <w:tcW w:w="1560" w:type="dxa"/>
            <w:vMerge/>
            <w:tcBorders>
              <w:left w:val="single" w:sz="6" w:space="0" w:color="000000"/>
              <w:bottom w:val="single" w:sz="6" w:space="0" w:color="000000"/>
              <w:right w:val="single" w:sz="6" w:space="0" w:color="000000"/>
            </w:tcBorders>
          </w:tcPr>
          <w:p>
            <w:pPr/>
          </w:p>
        </w:tc>
        <w:tc>
          <w:tcPr>
            <w:tcW w:w="1416" w:type="dxa"/>
            <w:vMerge/>
            <w:tcBorders>
              <w:left w:val="single" w:sz="6" w:space="0" w:color="000000"/>
              <w:bottom w:val="single" w:sz="6" w:space="0" w:color="000000"/>
              <w:right w:val="single" w:sz="6" w:space="0" w:color="000000"/>
            </w:tcBorders>
          </w:tcPr>
          <w:p>
            <w:pPr/>
          </w:p>
        </w:tc>
      </w:tr>
      <w:tr>
        <w:trPr>
          <w:trHeight w:val="247"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1416"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1,464,293,443</w:t>
            </w: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1416" w:type="dxa"/>
            <w:tcBorders>
              <w:top w:val="single" w:sz="6" w:space="0" w:color="000000"/>
              <w:left w:val="single" w:sz="4" w:space="0" w:color="000000"/>
              <w:bottom w:val="single" w:sz="6" w:space="0" w:color="000000"/>
              <w:right w:val="single" w:sz="6"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1,812,470,035</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19,590,072</w:t>
            </w: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675,739,412</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9"/>
              <w:jc w:val="right"/>
              <w:rPr>
                <w:rFonts w:ascii="宋体" w:hAnsi="宋体" w:cs="宋体" w:eastAsia="宋体" w:hint="default"/>
                <w:sz w:val="18"/>
                <w:szCs w:val="18"/>
              </w:rPr>
            </w:pPr>
            <w:r>
              <w:rPr>
                <w:rFonts w:ascii="宋体"/>
                <w:spacing w:val="-1"/>
                <w:sz w:val="18"/>
              </w:rPr>
              <w:t>1,165,917,627</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5,098,830,445</w:t>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1416" w:type="dxa"/>
            <w:tcBorders>
              <w:top w:val="single" w:sz="6" w:space="0" w:color="000000"/>
              <w:left w:val="single" w:sz="4"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47"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520"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1416" w:type="dxa"/>
            <w:tcBorders>
              <w:top w:val="single" w:sz="6" w:space="0" w:color="000000"/>
              <w:left w:val="single" w:sz="4"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52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1416" w:type="dxa"/>
            <w:tcBorders>
              <w:top w:val="single" w:sz="6" w:space="0" w:color="000000"/>
              <w:left w:val="single" w:sz="4"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1416" w:type="dxa"/>
            <w:tcBorders>
              <w:top w:val="single" w:sz="6" w:space="0" w:color="000000"/>
              <w:left w:val="single" w:sz="6" w:space="0" w:color="000000"/>
              <w:bottom w:val="single" w:sz="6" w:space="0" w:color="000000"/>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pacing w:val="-1"/>
                <w:sz w:val="18"/>
              </w:rPr>
              <w:t>1,464,293,443</w:t>
            </w: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1416" w:type="dxa"/>
            <w:tcBorders>
              <w:top w:val="single" w:sz="6" w:space="0" w:color="000000"/>
              <w:left w:val="single" w:sz="4" w:space="0" w:color="000000"/>
              <w:bottom w:val="single" w:sz="6" w:space="0" w:color="000000"/>
              <w:right w:val="single" w:sz="6" w:space="0" w:color="000000"/>
            </w:tcBorders>
          </w:tcPr>
          <w:p>
            <w:pPr>
              <w:pStyle w:val="TableParagraph"/>
              <w:spacing w:line="206" w:lineRule="exact"/>
              <w:ind w:right="101"/>
              <w:jc w:val="right"/>
              <w:rPr>
                <w:rFonts w:ascii="宋体" w:hAnsi="宋体" w:cs="宋体" w:eastAsia="宋体" w:hint="default"/>
                <w:sz w:val="18"/>
                <w:szCs w:val="18"/>
              </w:rPr>
            </w:pPr>
            <w:r>
              <w:rPr>
                <w:rFonts w:ascii="宋体"/>
                <w:spacing w:val="-1"/>
                <w:sz w:val="18"/>
              </w:rPr>
              <w:t>1,812,470,035</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pacing w:val="-1"/>
                <w:sz w:val="18"/>
              </w:rPr>
              <w:t>19,590,072</w:t>
            </w: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pacing w:val="-1"/>
                <w:sz w:val="18"/>
              </w:rPr>
              <w:t>675,739,412</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99"/>
              <w:jc w:val="right"/>
              <w:rPr>
                <w:rFonts w:ascii="宋体" w:hAnsi="宋体" w:cs="宋体" w:eastAsia="宋体" w:hint="default"/>
                <w:sz w:val="18"/>
                <w:szCs w:val="18"/>
              </w:rPr>
            </w:pPr>
            <w:r>
              <w:rPr>
                <w:rFonts w:ascii="宋体"/>
                <w:spacing w:val="-1"/>
                <w:sz w:val="18"/>
              </w:rPr>
              <w:t>1,165,917,627</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pacing w:val="-1"/>
                <w:sz w:val="18"/>
              </w:rPr>
              <w:t>5,098,830,445</w:t>
            </w:r>
          </w:p>
        </w:tc>
      </w:tr>
      <w:tr>
        <w:trPr>
          <w:trHeight w:val="482"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三、本期增减变动金额（减少</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以“－”号填列）</w:t>
            </w:r>
          </w:p>
        </w:tc>
        <w:tc>
          <w:tcPr>
            <w:tcW w:w="1416"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-75,632</w:t>
            </w: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-124,187,628</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82,606,219</w:t>
            </w: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49,408,894</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89,635,419</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-67,825,166</w:t>
            </w:r>
          </w:p>
        </w:tc>
      </w:tr>
      <w:tr>
        <w:trPr>
          <w:trHeight w:val="247"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329,392,628</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329,392,628</w:t>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（二）所有者投入和减少资本</w:t>
            </w:r>
          </w:p>
        </w:tc>
        <w:tc>
          <w:tcPr>
            <w:tcW w:w="1416" w:type="dxa"/>
            <w:tcBorders>
              <w:top w:val="single" w:sz="6" w:space="0" w:color="000000"/>
              <w:left w:val="single" w:sz="6" w:space="0" w:color="000000"/>
              <w:bottom w:val="single" w:sz="6" w:space="0" w:color="000000"/>
              <w:right w:val="single" w:sz="4" w:space="0" w:color="000000"/>
            </w:tcBorders>
          </w:tcPr>
          <w:p>
            <w:pPr>
              <w:pStyle w:val="TableParagraph"/>
              <w:spacing w:line="208" w:lineRule="exact"/>
              <w:ind w:right="100"/>
              <w:jc w:val="right"/>
              <w:rPr>
                <w:rFonts w:ascii="宋体" w:hAnsi="宋体" w:cs="宋体" w:eastAsia="宋体" w:hint="default"/>
                <w:sz w:val="18"/>
                <w:szCs w:val="18"/>
              </w:rPr>
            </w:pPr>
            <w:r>
              <w:rPr>
                <w:rFonts w:ascii="宋体"/>
                <w:sz w:val="18"/>
              </w:rPr>
              <w:t>-75,632</w:t>
            </w: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spacing w:val="-1"/>
                <w:sz w:val="18"/>
              </w:rPr>
              <w:t>-124,187,628</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spacing w:val="-1"/>
                <w:sz w:val="18"/>
              </w:rPr>
              <w:t>82,606,219</w:t>
            </w: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spacing w:val="-1"/>
                <w:sz w:val="18"/>
              </w:rPr>
              <w:t>-206,869,479</w:t>
            </w:r>
          </w:p>
        </w:tc>
      </w:tr>
      <w:tr>
        <w:trPr>
          <w:trHeight w:val="247"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．股东投入的普通股</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．其他权益工具持有者投入</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资本</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．股份支付计入所有者权益</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的金额</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111,604,565</w:t>
            </w: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111,604,565</w:t>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．其他</w:t>
            </w:r>
          </w:p>
        </w:tc>
        <w:tc>
          <w:tcPr>
            <w:tcW w:w="1416"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-75,632</w:t>
            </w: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-235,792,193</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82,606,219</w:t>
            </w: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-318,474,044</w:t>
            </w:r>
          </w:p>
        </w:tc>
      </w:tr>
      <w:tr>
        <w:trPr>
          <w:trHeight w:val="247"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49,408,894</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-239,757,209</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-190,348,315</w:t>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．提取盈余公积</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49,408,894</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-49,408,894</w:t>
            </w: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8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．对所有者（或股东）的分</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配</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-190,348,315</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-190,348,315</w:t>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．其他</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47"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（四）所有者权益内部结转</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．资本公积转增资本（或股</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本）</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．盈余公积转增资本（或股</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本）</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．盈余公积弥补亏损</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．其他</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47"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．本期提取</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47"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．本期使用</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bl>
    <w:p>
      <w:pPr>
        <w:spacing w:after="0"/>
        <w:sectPr>
          <w:pgSz w:w="16840" w:h="11910" w:orient="landscape"/>
          <w:pgMar w:header="857" w:footer="1195" w:top="1320" w:bottom="1380" w:left="220" w:right="50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0"/>
          <w:szCs w:val="20"/>
        </w:rPr>
      </w:pPr>
    </w:p>
    <w:tbl>
      <w:tblPr>
        <w:tblW w:w="0" w:type="auto"/>
        <w:jc w:val="left"/>
        <w:tblInd w:w="103" w:type="dxa"/>
        <w:tblLayout w:type="fixed"/>
        <w:tblCellMar>
          <w:top w:w="0" w:type="dxa"/>
          <w:left w:w="0" w:type="dxa"/>
          <w:bottom w:w="0" w:type="dxa"/>
          <w:right w:w="0" w:type="dxa"/>
        </w:tblCellMar>
        <w:tblLook w:val="01E0"/>
      </w:tblPr>
      <w:tblGrid>
        <w:gridCol w:w="2554"/>
        <w:gridCol w:w="1416"/>
        <w:gridCol w:w="992"/>
        <w:gridCol w:w="994"/>
        <w:gridCol w:w="994"/>
        <w:gridCol w:w="1416"/>
        <w:gridCol w:w="1277"/>
        <w:gridCol w:w="850"/>
        <w:gridCol w:w="850"/>
        <w:gridCol w:w="1560"/>
        <w:gridCol w:w="1560"/>
        <w:gridCol w:w="1416"/>
      </w:tblGrid>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416"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left="129" w:right="0"/>
              <w:jc w:val="left"/>
              <w:rPr>
                <w:rFonts w:ascii="宋体" w:hAnsi="宋体" w:cs="宋体" w:eastAsia="宋体" w:hint="default"/>
                <w:sz w:val="18"/>
                <w:szCs w:val="18"/>
              </w:rPr>
            </w:pPr>
            <w:r>
              <w:rPr>
                <w:rFonts w:ascii="宋体"/>
                <w:sz w:val="18"/>
              </w:rPr>
              <w:t>1,464,217,811</w:t>
            </w: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29" w:right="0"/>
              <w:jc w:val="left"/>
              <w:rPr>
                <w:rFonts w:ascii="宋体" w:hAnsi="宋体" w:cs="宋体" w:eastAsia="宋体" w:hint="default"/>
                <w:sz w:val="18"/>
                <w:szCs w:val="18"/>
              </w:rPr>
            </w:pPr>
            <w:r>
              <w:rPr>
                <w:rFonts w:ascii="宋体"/>
                <w:sz w:val="18"/>
              </w:rPr>
              <w:t>1,688,282,407</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70" w:right="0"/>
              <w:jc w:val="left"/>
              <w:rPr>
                <w:rFonts w:ascii="宋体" w:hAnsi="宋体" w:cs="宋体" w:eastAsia="宋体" w:hint="default"/>
                <w:sz w:val="18"/>
                <w:szCs w:val="18"/>
              </w:rPr>
            </w:pPr>
            <w:r>
              <w:rPr>
                <w:rFonts w:ascii="宋体"/>
                <w:sz w:val="18"/>
              </w:rPr>
              <w:t>102,196,291</w:t>
            </w: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453" w:right="0"/>
              <w:jc w:val="left"/>
              <w:rPr>
                <w:rFonts w:ascii="宋体" w:hAnsi="宋体" w:cs="宋体" w:eastAsia="宋体" w:hint="default"/>
                <w:sz w:val="18"/>
                <w:szCs w:val="18"/>
              </w:rPr>
            </w:pPr>
            <w:r>
              <w:rPr>
                <w:rFonts w:ascii="宋体"/>
                <w:sz w:val="18"/>
              </w:rPr>
              <w:t>725,148,306</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273" w:right="0"/>
              <w:jc w:val="left"/>
              <w:rPr>
                <w:rFonts w:ascii="宋体" w:hAnsi="宋体" w:cs="宋体" w:eastAsia="宋体" w:hint="default"/>
                <w:sz w:val="18"/>
                <w:szCs w:val="18"/>
              </w:rPr>
            </w:pPr>
            <w:r>
              <w:rPr>
                <w:rFonts w:ascii="宋体"/>
                <w:sz w:val="18"/>
              </w:rPr>
              <w:t>1,255,553,046</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29" w:right="0"/>
              <w:jc w:val="left"/>
              <w:rPr>
                <w:rFonts w:ascii="宋体" w:hAnsi="宋体" w:cs="宋体" w:eastAsia="宋体" w:hint="default"/>
                <w:sz w:val="18"/>
                <w:szCs w:val="18"/>
              </w:rPr>
            </w:pPr>
            <w:r>
              <w:rPr>
                <w:rFonts w:ascii="宋体"/>
                <w:sz w:val="18"/>
              </w:rPr>
              <w:t>5,031,005,279</w:t>
            </w:r>
          </w:p>
        </w:tc>
      </w:tr>
    </w:tbl>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2554"/>
        <w:gridCol w:w="1416"/>
        <w:gridCol w:w="992"/>
        <w:gridCol w:w="994"/>
        <w:gridCol w:w="994"/>
        <w:gridCol w:w="1416"/>
        <w:gridCol w:w="1277"/>
        <w:gridCol w:w="850"/>
        <w:gridCol w:w="850"/>
        <w:gridCol w:w="1560"/>
        <w:gridCol w:w="1560"/>
        <w:gridCol w:w="1416"/>
      </w:tblGrid>
      <w:tr>
        <w:trPr>
          <w:trHeight w:val="250" w:hRule="exact"/>
        </w:trPr>
        <w:tc>
          <w:tcPr>
            <w:tcW w:w="2554" w:type="dxa"/>
            <w:vMerge w:val="restart"/>
            <w:tcBorders>
              <w:top w:val="single" w:sz="6" w:space="0" w:color="000000"/>
              <w:left w:val="single" w:sz="6" w:space="0" w:color="000000"/>
              <w:right w:val="single" w:sz="6" w:space="0" w:color="000000"/>
            </w:tcBorders>
          </w:tcPr>
          <w:p>
            <w:pPr>
              <w:pStyle w:val="TableParagraph"/>
              <w:spacing w:line="240" w:lineRule="auto" w:before="4"/>
              <w:ind w:right="0"/>
              <w:jc w:val="left"/>
              <w:rPr>
                <w:rFonts w:ascii="Times New Roman" w:hAnsi="Times New Roman" w:cs="Times New Roman" w:eastAsia="Times New Roman"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324" w:type="dxa"/>
            <w:gridSpan w:val="11"/>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326" w:hRule="exact"/>
        </w:trPr>
        <w:tc>
          <w:tcPr>
            <w:tcW w:w="2554" w:type="dxa"/>
            <w:vMerge/>
            <w:tcBorders>
              <w:left w:val="single" w:sz="6" w:space="0" w:color="000000"/>
              <w:right w:val="single" w:sz="6" w:space="0" w:color="000000"/>
            </w:tcBorders>
          </w:tcPr>
          <w:p>
            <w:pPr/>
          </w:p>
        </w:tc>
        <w:tc>
          <w:tcPr>
            <w:tcW w:w="1416" w:type="dxa"/>
            <w:vMerge w:val="restart"/>
            <w:tcBorders>
              <w:top w:val="single" w:sz="6" w:space="0" w:color="000000"/>
              <w:left w:val="single" w:sz="6"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2979" w:type="dxa"/>
            <w:gridSpan w:val="3"/>
            <w:tcBorders>
              <w:top w:val="single" w:sz="6" w:space="0" w:color="000000"/>
              <w:left w:val="single" w:sz="4" w:space="0" w:color="000000"/>
              <w:bottom w:val="single" w:sz="4" w:space="0" w:color="000000"/>
              <w:right w:val="single" w:sz="6" w:space="0" w:color="000000"/>
            </w:tcBorders>
          </w:tcPr>
          <w:p>
            <w:pPr>
              <w:pStyle w:val="TableParagraph"/>
              <w:spacing w:line="240" w:lineRule="auto" w:before="10"/>
              <w:ind w:left="94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416" w:type="dxa"/>
            <w:vMerge w:val="restart"/>
            <w:tcBorders>
              <w:top w:val="single" w:sz="6" w:space="0" w:color="000000"/>
              <w:left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340"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277" w:type="dxa"/>
            <w:vMerge w:val="restart"/>
            <w:tcBorders>
              <w:top w:val="single" w:sz="6" w:space="0" w:color="000000"/>
              <w:left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79"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850" w:type="dxa"/>
            <w:vMerge w:val="restart"/>
            <w:tcBorders>
              <w:top w:val="single" w:sz="6" w:space="0" w:color="000000"/>
              <w:left w:val="single" w:sz="6" w:space="0" w:color="000000"/>
              <w:right w:val="single" w:sz="6" w:space="0" w:color="000000"/>
            </w:tcBorders>
          </w:tcPr>
          <w:p>
            <w:pPr>
              <w:pStyle w:val="TableParagraph"/>
              <w:spacing w:line="232" w:lineRule="exact" w:before="73"/>
              <w:ind w:left="148" w:right="144"/>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850" w:type="dxa"/>
            <w:vMerge w:val="restart"/>
            <w:tcBorders>
              <w:top w:val="single" w:sz="6" w:space="0" w:color="000000"/>
              <w:left w:val="single" w:sz="6" w:space="0" w:color="000000"/>
              <w:right w:val="single" w:sz="6" w:space="0" w:color="000000"/>
            </w:tcBorders>
          </w:tcPr>
          <w:p>
            <w:pPr>
              <w:pStyle w:val="TableParagraph"/>
              <w:spacing w:line="232" w:lineRule="exact" w:before="73"/>
              <w:ind w:left="326" w:right="147"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1560" w:type="dxa"/>
            <w:vMerge w:val="restart"/>
            <w:tcBorders>
              <w:top w:val="single" w:sz="6" w:space="0" w:color="000000"/>
              <w:left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560" w:type="dxa"/>
            <w:vMerge w:val="restart"/>
            <w:tcBorders>
              <w:top w:val="single" w:sz="6" w:space="0" w:color="000000"/>
              <w:left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416" w:type="dxa"/>
            <w:vMerge w:val="restart"/>
            <w:tcBorders>
              <w:top w:val="single" w:sz="6" w:space="0" w:color="000000"/>
              <w:left w:val="single" w:sz="6" w:space="0" w:color="000000"/>
              <w:right w:val="single" w:sz="6" w:space="0" w:color="000000"/>
            </w:tcBorders>
          </w:tcPr>
          <w:p>
            <w:pPr>
              <w:pStyle w:val="TableParagraph"/>
              <w:spacing w:line="232" w:lineRule="exact" w:before="73"/>
              <w:ind w:left="609" w:right="158" w:hanging="449"/>
              <w:jc w:val="left"/>
              <w:rPr>
                <w:rFonts w:ascii="宋体" w:hAnsi="宋体" w:cs="宋体" w:eastAsia="宋体" w:hint="default"/>
                <w:sz w:val="18"/>
                <w:szCs w:val="18"/>
              </w:rPr>
            </w:pPr>
            <w:r>
              <w:rPr>
                <w:rFonts w:ascii="宋体" w:hAnsi="宋体" w:cs="宋体" w:eastAsia="宋体" w:hint="default"/>
                <w:sz w:val="18"/>
                <w:szCs w:val="18"/>
              </w:rPr>
              <w:t>所有者权益合 计</w:t>
            </w:r>
          </w:p>
        </w:tc>
      </w:tr>
      <w:tr>
        <w:trPr>
          <w:trHeight w:val="312" w:hRule="exact"/>
        </w:trPr>
        <w:tc>
          <w:tcPr>
            <w:tcW w:w="2554" w:type="dxa"/>
            <w:vMerge/>
            <w:tcBorders>
              <w:left w:val="single" w:sz="6" w:space="0" w:color="000000"/>
              <w:bottom w:val="single" w:sz="6" w:space="0" w:color="000000"/>
              <w:right w:val="single" w:sz="6" w:space="0" w:color="000000"/>
            </w:tcBorders>
          </w:tcPr>
          <w:p>
            <w:pPr/>
          </w:p>
        </w:tc>
        <w:tc>
          <w:tcPr>
            <w:tcW w:w="1416" w:type="dxa"/>
            <w:vMerge/>
            <w:tcBorders>
              <w:left w:val="single" w:sz="6" w:space="0" w:color="000000"/>
              <w:bottom w:val="single" w:sz="6" w:space="0" w:color="000000"/>
              <w:right w:val="single" w:sz="4" w:space="0" w:color="000000"/>
            </w:tcBorders>
          </w:tcPr>
          <w:p>
            <w:pPr/>
          </w:p>
        </w:tc>
        <w:tc>
          <w:tcPr>
            <w:tcW w:w="992"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
              <w:ind w:left="220"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994"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
              <w:ind w:left="220"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994"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5"/>
              <w:ind w:left="30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6" w:type="dxa"/>
            <w:vMerge/>
            <w:tcBorders>
              <w:left w:val="single" w:sz="6" w:space="0" w:color="000000"/>
              <w:bottom w:val="single" w:sz="6" w:space="0" w:color="000000"/>
              <w:right w:val="single" w:sz="6" w:space="0" w:color="000000"/>
            </w:tcBorders>
          </w:tcPr>
          <w:p>
            <w:pPr/>
          </w:p>
        </w:tc>
        <w:tc>
          <w:tcPr>
            <w:tcW w:w="1277" w:type="dxa"/>
            <w:vMerge/>
            <w:tcBorders>
              <w:left w:val="single" w:sz="6" w:space="0" w:color="000000"/>
              <w:bottom w:val="single" w:sz="6" w:space="0" w:color="000000"/>
              <w:right w:val="single" w:sz="6" w:space="0" w:color="000000"/>
            </w:tcBorders>
          </w:tcPr>
          <w:p>
            <w:pPr/>
          </w:p>
        </w:tc>
        <w:tc>
          <w:tcPr>
            <w:tcW w:w="850" w:type="dxa"/>
            <w:vMerge/>
            <w:tcBorders>
              <w:left w:val="single" w:sz="6" w:space="0" w:color="000000"/>
              <w:bottom w:val="single" w:sz="6" w:space="0" w:color="000000"/>
              <w:right w:val="single" w:sz="6" w:space="0" w:color="000000"/>
            </w:tcBorders>
          </w:tcPr>
          <w:p>
            <w:pPr/>
          </w:p>
        </w:tc>
        <w:tc>
          <w:tcPr>
            <w:tcW w:w="850" w:type="dxa"/>
            <w:vMerge/>
            <w:tcBorders>
              <w:left w:val="single" w:sz="6" w:space="0" w:color="000000"/>
              <w:bottom w:val="single" w:sz="6" w:space="0" w:color="000000"/>
              <w:right w:val="single" w:sz="6" w:space="0" w:color="000000"/>
            </w:tcBorders>
          </w:tcPr>
          <w:p>
            <w:pPr/>
          </w:p>
        </w:tc>
        <w:tc>
          <w:tcPr>
            <w:tcW w:w="1560" w:type="dxa"/>
            <w:vMerge/>
            <w:tcBorders>
              <w:left w:val="single" w:sz="6" w:space="0" w:color="000000"/>
              <w:bottom w:val="single" w:sz="6" w:space="0" w:color="000000"/>
              <w:right w:val="single" w:sz="6" w:space="0" w:color="000000"/>
            </w:tcBorders>
          </w:tcPr>
          <w:p>
            <w:pPr/>
          </w:p>
        </w:tc>
        <w:tc>
          <w:tcPr>
            <w:tcW w:w="1560" w:type="dxa"/>
            <w:vMerge/>
            <w:tcBorders>
              <w:left w:val="single" w:sz="6" w:space="0" w:color="000000"/>
              <w:bottom w:val="single" w:sz="6" w:space="0" w:color="000000"/>
              <w:right w:val="single" w:sz="6" w:space="0" w:color="000000"/>
            </w:tcBorders>
          </w:tcPr>
          <w:p>
            <w:pPr/>
          </w:p>
        </w:tc>
        <w:tc>
          <w:tcPr>
            <w:tcW w:w="1416" w:type="dxa"/>
            <w:vMerge/>
            <w:tcBorders>
              <w:left w:val="single" w:sz="6" w:space="0" w:color="000000"/>
              <w:bottom w:val="single" w:sz="6" w:space="0" w:color="000000"/>
              <w:right w:val="single" w:sz="6" w:space="0" w:color="000000"/>
            </w:tcBorders>
          </w:tcPr>
          <w:p>
            <w:pP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1416"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1,464,688,320</w:t>
            </w: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1416" w:type="dxa"/>
            <w:tcBorders>
              <w:top w:val="single" w:sz="6" w:space="0" w:color="000000"/>
              <w:left w:val="single" w:sz="4" w:space="0" w:color="000000"/>
              <w:bottom w:val="single" w:sz="6" w:space="0" w:color="000000"/>
              <w:right w:val="single" w:sz="6"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1,816,175,776</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22,635,702</w:t>
            </w: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635,373,098</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9"/>
              <w:jc w:val="right"/>
              <w:rPr>
                <w:rFonts w:ascii="宋体" w:hAnsi="宋体" w:cs="宋体" w:eastAsia="宋体" w:hint="default"/>
                <w:sz w:val="18"/>
                <w:szCs w:val="18"/>
              </w:rPr>
            </w:pPr>
            <w:r>
              <w:rPr>
                <w:rFonts w:ascii="宋体"/>
                <w:spacing w:val="-1"/>
                <w:sz w:val="18"/>
              </w:rPr>
              <w:t>1,156,142,819</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5,049,744,311</w:t>
            </w:r>
          </w:p>
        </w:tc>
      </w:tr>
      <w:tr>
        <w:trPr>
          <w:trHeight w:val="248"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1416" w:type="dxa"/>
            <w:tcBorders>
              <w:top w:val="single" w:sz="6" w:space="0" w:color="000000"/>
              <w:left w:val="single" w:sz="4"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520"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1416" w:type="dxa"/>
            <w:tcBorders>
              <w:top w:val="single" w:sz="6" w:space="0" w:color="000000"/>
              <w:left w:val="single" w:sz="4"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47"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52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1416" w:type="dxa"/>
            <w:tcBorders>
              <w:top w:val="single" w:sz="6" w:space="0" w:color="000000"/>
              <w:left w:val="single" w:sz="4"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1416" w:type="dxa"/>
            <w:tcBorders>
              <w:top w:val="single" w:sz="6" w:space="0" w:color="000000"/>
              <w:left w:val="single" w:sz="6" w:space="0" w:color="000000"/>
              <w:bottom w:val="single" w:sz="6"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pacing w:val="-1"/>
                <w:sz w:val="18"/>
              </w:rPr>
              <w:t>1,464,688,320</w:t>
            </w: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1416" w:type="dxa"/>
            <w:tcBorders>
              <w:top w:val="single" w:sz="6" w:space="0" w:color="000000"/>
              <w:left w:val="single" w:sz="4" w:space="0" w:color="000000"/>
              <w:bottom w:val="single" w:sz="6" w:space="0" w:color="000000"/>
              <w:right w:val="single" w:sz="6" w:space="0" w:color="000000"/>
            </w:tcBorders>
          </w:tcPr>
          <w:p>
            <w:pPr>
              <w:pStyle w:val="TableParagraph"/>
              <w:spacing w:line="208" w:lineRule="exact"/>
              <w:ind w:right="101"/>
              <w:jc w:val="right"/>
              <w:rPr>
                <w:rFonts w:ascii="宋体" w:hAnsi="宋体" w:cs="宋体" w:eastAsia="宋体" w:hint="default"/>
                <w:sz w:val="18"/>
                <w:szCs w:val="18"/>
              </w:rPr>
            </w:pPr>
            <w:r>
              <w:rPr>
                <w:rFonts w:ascii="宋体"/>
                <w:spacing w:val="-1"/>
                <w:sz w:val="18"/>
              </w:rPr>
              <w:t>1,816,175,776</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spacing w:val="-1"/>
                <w:sz w:val="18"/>
              </w:rPr>
              <w:t>22,635,702</w:t>
            </w: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spacing w:val="-1"/>
                <w:sz w:val="18"/>
              </w:rPr>
              <w:t>635,373,098</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9"/>
              <w:jc w:val="right"/>
              <w:rPr>
                <w:rFonts w:ascii="宋体" w:hAnsi="宋体" w:cs="宋体" w:eastAsia="宋体" w:hint="default"/>
                <w:sz w:val="18"/>
                <w:szCs w:val="18"/>
              </w:rPr>
            </w:pPr>
            <w:r>
              <w:rPr>
                <w:rFonts w:ascii="宋体"/>
                <w:spacing w:val="-1"/>
                <w:sz w:val="18"/>
              </w:rPr>
              <w:t>1,156,142,819</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spacing w:val="-1"/>
                <w:sz w:val="18"/>
              </w:rPr>
              <w:t>5,049,744,311</w:t>
            </w:r>
          </w:p>
        </w:tc>
      </w:tr>
      <w:tr>
        <w:trPr>
          <w:trHeight w:val="482"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三、本期增减变动金额（减少</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以“－”号填列）</w:t>
            </w:r>
          </w:p>
        </w:tc>
        <w:tc>
          <w:tcPr>
            <w:tcW w:w="1416"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-394,877</w:t>
            </w: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-3,705,741</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-3,045,630</w:t>
            </w: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40,366,314</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9,774,808</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49,086,134</w:t>
            </w:r>
          </w:p>
        </w:tc>
      </w:tr>
      <w:tr>
        <w:trPr>
          <w:trHeight w:val="247"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269,108,763</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269,108,763</w:t>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（二）所有者投入和减少资本</w:t>
            </w:r>
          </w:p>
        </w:tc>
        <w:tc>
          <w:tcPr>
            <w:tcW w:w="1416"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-394,877</w:t>
            </w: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-3,705,741</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-3,045,630</w:t>
            </w: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-1,054,988</w:t>
            </w:r>
          </w:p>
        </w:tc>
      </w:tr>
      <w:tr>
        <w:trPr>
          <w:trHeight w:val="247"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．股东投入的普通股</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83"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．其他权益工具持有者投入</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资本</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．股份支付计入所有者权益</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的金额</w:t>
            </w:r>
          </w:p>
        </w:tc>
        <w:tc>
          <w:tcPr>
            <w:tcW w:w="1416"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186,840</w:t>
            </w: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-1,241,828</w:t>
            </w: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-1,054,988</w:t>
            </w:r>
          </w:p>
        </w:tc>
      </w:tr>
      <w:tr>
        <w:trPr>
          <w:trHeight w:val="247"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．其他</w:t>
            </w:r>
          </w:p>
        </w:tc>
        <w:tc>
          <w:tcPr>
            <w:tcW w:w="1416"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-581,717</w:t>
            </w: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-2,463,913</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-3,045,630</w:t>
            </w: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40,366,314</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-259,333,955</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-218,967,641</w:t>
            </w:r>
          </w:p>
        </w:tc>
      </w:tr>
      <w:tr>
        <w:trPr>
          <w:trHeight w:val="247"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．提取盈余公积</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40,366,314</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-40,366,314</w:t>
            </w: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．对所有者（或股东）的分</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配</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spacing w:val="-1"/>
                <w:sz w:val="18"/>
              </w:rPr>
              <w:t>-218,967,641</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spacing w:val="-1"/>
                <w:sz w:val="18"/>
              </w:rPr>
              <w:t>-218,967,641</w:t>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．其他</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47"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（四）所有者权益内部结转</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83"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．资本公积转增资本（或股</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本）</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．盈余公积转增资本（或股</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本）</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47"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．盈余公积弥补亏损</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．其他</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47"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bl>
    <w:p>
      <w:pPr>
        <w:spacing w:after="0"/>
        <w:sectPr>
          <w:pgSz w:w="16840" w:h="11910" w:orient="landscape"/>
          <w:pgMar w:header="857" w:footer="1195" w:top="1320" w:bottom="1380" w:left="220" w:right="50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0"/>
          <w:szCs w:val="20"/>
        </w:rPr>
      </w:pPr>
    </w:p>
    <w:tbl>
      <w:tblPr>
        <w:tblW w:w="0" w:type="auto"/>
        <w:jc w:val="left"/>
        <w:tblInd w:w="103" w:type="dxa"/>
        <w:tblLayout w:type="fixed"/>
        <w:tblCellMar>
          <w:top w:w="0" w:type="dxa"/>
          <w:left w:w="0" w:type="dxa"/>
          <w:bottom w:w="0" w:type="dxa"/>
          <w:right w:w="0" w:type="dxa"/>
        </w:tblCellMar>
        <w:tblLook w:val="01E0"/>
      </w:tblPr>
      <w:tblGrid>
        <w:gridCol w:w="2554"/>
        <w:gridCol w:w="1416"/>
        <w:gridCol w:w="992"/>
        <w:gridCol w:w="994"/>
        <w:gridCol w:w="994"/>
        <w:gridCol w:w="1416"/>
        <w:gridCol w:w="1277"/>
        <w:gridCol w:w="850"/>
        <w:gridCol w:w="850"/>
        <w:gridCol w:w="1560"/>
        <w:gridCol w:w="1560"/>
        <w:gridCol w:w="1416"/>
      </w:tblGrid>
      <w:tr>
        <w:trPr>
          <w:trHeight w:val="247"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．本期提取</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．本期使用</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47"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416" w:type="dxa"/>
            <w:tcBorders>
              <w:top w:val="single" w:sz="6" w:space="0" w:color="000000"/>
              <w:left w:val="single" w:sz="6" w:space="0" w:color="000000"/>
              <w:bottom w:val="single" w:sz="6" w:space="0" w:color="000000"/>
              <w:right w:val="single" w:sz="4" w:space="0" w:color="000000"/>
            </w:tcBorders>
          </w:tcPr>
          <w:p>
            <w:pP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416" w:type="dxa"/>
            <w:tcBorders>
              <w:top w:val="single" w:sz="6" w:space="0" w:color="000000"/>
              <w:left w:val="single" w:sz="6" w:space="0" w:color="000000"/>
              <w:bottom w:val="single" w:sz="6" w:space="0" w:color="000000"/>
              <w:right w:val="single" w:sz="4" w:space="0" w:color="000000"/>
            </w:tcBorders>
          </w:tcPr>
          <w:p>
            <w:pPr>
              <w:pStyle w:val="TableParagraph"/>
              <w:spacing w:line="208" w:lineRule="exact"/>
              <w:ind w:left="129" w:right="0"/>
              <w:jc w:val="left"/>
              <w:rPr>
                <w:rFonts w:ascii="宋体" w:hAnsi="宋体" w:cs="宋体" w:eastAsia="宋体" w:hint="default"/>
                <w:sz w:val="18"/>
                <w:szCs w:val="18"/>
              </w:rPr>
            </w:pPr>
            <w:r>
              <w:rPr>
                <w:rFonts w:ascii="宋体"/>
                <w:sz w:val="18"/>
              </w:rPr>
              <w:t>1,464,293,443</w:t>
            </w:r>
          </w:p>
        </w:tc>
        <w:tc>
          <w:tcPr>
            <w:tcW w:w="992"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4" w:space="0" w:color="000000"/>
            </w:tcBorders>
          </w:tcPr>
          <w:p>
            <w:pPr/>
          </w:p>
        </w:tc>
        <w:tc>
          <w:tcPr>
            <w:tcW w:w="994" w:type="dxa"/>
            <w:tcBorders>
              <w:top w:val="single" w:sz="6" w:space="0" w:color="000000"/>
              <w:left w:val="single" w:sz="4"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29" w:right="0"/>
              <w:jc w:val="left"/>
              <w:rPr>
                <w:rFonts w:ascii="宋体" w:hAnsi="宋体" w:cs="宋体" w:eastAsia="宋体" w:hint="default"/>
                <w:sz w:val="18"/>
                <w:szCs w:val="18"/>
              </w:rPr>
            </w:pPr>
            <w:r>
              <w:rPr>
                <w:rFonts w:ascii="宋体"/>
                <w:sz w:val="18"/>
              </w:rPr>
              <w:t>1,812,470,035</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61" w:right="0"/>
              <w:jc w:val="left"/>
              <w:rPr>
                <w:rFonts w:ascii="宋体" w:hAnsi="宋体" w:cs="宋体" w:eastAsia="宋体" w:hint="default"/>
                <w:sz w:val="18"/>
                <w:szCs w:val="18"/>
              </w:rPr>
            </w:pPr>
            <w:r>
              <w:rPr>
                <w:rFonts w:ascii="宋体"/>
                <w:sz w:val="18"/>
              </w:rPr>
              <w:t>19,590,072</w:t>
            </w:r>
          </w:p>
        </w:tc>
        <w:tc>
          <w:tcPr>
            <w:tcW w:w="850" w:type="dxa"/>
            <w:tcBorders>
              <w:top w:val="single" w:sz="6" w:space="0" w:color="000000"/>
              <w:left w:val="single" w:sz="6" w:space="0" w:color="000000"/>
              <w:bottom w:val="single" w:sz="6" w:space="0" w:color="000000"/>
              <w:right w:val="single" w:sz="6" w:space="0" w:color="000000"/>
            </w:tcBorders>
          </w:tcPr>
          <w:p>
            <w:pPr/>
          </w:p>
        </w:tc>
        <w:tc>
          <w:tcPr>
            <w:tcW w:w="85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453" w:right="0"/>
              <w:jc w:val="left"/>
              <w:rPr>
                <w:rFonts w:ascii="宋体" w:hAnsi="宋体" w:cs="宋体" w:eastAsia="宋体" w:hint="default"/>
                <w:sz w:val="18"/>
                <w:szCs w:val="18"/>
              </w:rPr>
            </w:pPr>
            <w:r>
              <w:rPr>
                <w:rFonts w:ascii="宋体"/>
                <w:sz w:val="18"/>
              </w:rPr>
              <w:t>675,739,412</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73" w:right="0"/>
              <w:jc w:val="left"/>
              <w:rPr>
                <w:rFonts w:ascii="宋体" w:hAnsi="宋体" w:cs="宋体" w:eastAsia="宋体" w:hint="default"/>
                <w:sz w:val="18"/>
                <w:szCs w:val="18"/>
              </w:rPr>
            </w:pPr>
            <w:r>
              <w:rPr>
                <w:rFonts w:ascii="宋体"/>
                <w:sz w:val="18"/>
              </w:rPr>
              <w:t>1,165,917,627</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29" w:right="0"/>
              <w:jc w:val="left"/>
              <w:rPr>
                <w:rFonts w:ascii="宋体" w:hAnsi="宋体" w:cs="宋体" w:eastAsia="宋体" w:hint="default"/>
                <w:sz w:val="18"/>
                <w:szCs w:val="18"/>
              </w:rPr>
            </w:pPr>
            <w:r>
              <w:rPr>
                <w:rFonts w:ascii="宋体"/>
                <w:sz w:val="18"/>
              </w:rPr>
              <w:t>5,098,830,445</w:t>
            </w:r>
          </w:p>
        </w:tc>
      </w:tr>
    </w:tbl>
    <w:p>
      <w:pPr>
        <w:spacing w:line="240" w:lineRule="auto" w:before="8"/>
        <w:rPr>
          <w:rFonts w:ascii="Times New Roman" w:hAnsi="Times New Roman" w:cs="Times New Roman" w:eastAsia="Times New Roman" w:hint="default"/>
          <w:sz w:val="17"/>
          <w:szCs w:val="17"/>
        </w:rPr>
      </w:pPr>
    </w:p>
    <w:p>
      <w:pPr>
        <w:pStyle w:val="BodyText"/>
        <w:spacing w:line="240" w:lineRule="auto" w:before="36"/>
        <w:ind w:left="1220" w:right="0"/>
        <w:jc w:val="left"/>
      </w:pPr>
      <w:r>
        <w:rPr/>
        <w:t>法定代表人：王文京 主管会计工作负责人：章培林</w:t>
      </w:r>
      <w:r>
        <w:rPr>
          <w:spacing w:val="-7"/>
        </w:rPr>
        <w:t> </w:t>
      </w:r>
      <w:r>
        <w:rPr/>
        <w:t>会计机构负责人：王仕平</w:t>
      </w:r>
    </w:p>
    <w:p>
      <w:pPr>
        <w:spacing w:after="0" w:line="240" w:lineRule="auto"/>
        <w:jc w:val="left"/>
        <w:sectPr>
          <w:pgSz w:w="16840" w:h="11910" w:orient="landscape"/>
          <w:pgMar w:header="857" w:footer="1195" w:top="1320" w:bottom="1380" w:left="220" w:right="5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pStyle w:val="Heading3"/>
        <w:tabs>
          <w:tab w:pos="557" w:val="left" w:leader="none"/>
        </w:tabs>
        <w:spacing w:line="290" w:lineRule="auto" w:before="36"/>
        <w:ind w:left="138" w:right="7454"/>
        <w:jc w:val="left"/>
        <w:rPr>
          <w:b w:val="0"/>
          <w:bCs w:val="0"/>
        </w:rPr>
      </w:pPr>
      <w:r>
        <w:rPr/>
        <w:t>三、公司基本情况</w:t>
      </w:r>
      <w:r>
        <w:rPr>
          <w:spacing w:val="-101"/>
        </w:rPr>
        <w:t> </w:t>
      </w:r>
      <w:r>
        <w:rPr>
          <w:spacing w:val="-101"/>
        </w:rPr>
      </w:r>
      <w:r>
        <w:rPr>
          <w:rFonts w:ascii="宋体" w:hAnsi="宋体" w:cs="宋体" w:eastAsia="宋体" w:hint="default"/>
          <w:w w:val="95"/>
        </w:rPr>
        <w:t>1.</w:t>
        <w:tab/>
      </w:r>
      <w:r>
        <w:rPr/>
        <w:t>公司概况</w:t>
      </w:r>
      <w:r>
        <w:rPr>
          <w:b w:val="0"/>
          <w:bCs w:val="0"/>
        </w:rPr>
      </w:r>
    </w:p>
    <w:p>
      <w:pPr>
        <w:pStyle w:val="BodyText"/>
        <w:tabs>
          <w:tab w:pos="980" w:val="left" w:leader="none"/>
        </w:tabs>
        <w:spacing w:line="237" w:lineRule="auto" w:before="14"/>
        <w:ind w:left="138" w:right="99"/>
        <w:jc w:val="left"/>
      </w:pPr>
      <w:r>
        <w:rPr>
          <w:spacing w:val="-1"/>
        </w:rPr>
        <w:t>√适用</w:t>
        <w:tab/>
      </w:r>
      <w:r>
        <w:rPr>
          <w:spacing w:val="-2"/>
        </w:rPr>
        <w:t>□不适用</w:t>
      </w:r>
      <w:r>
        <w:rPr>
          <w:spacing w:val="-99"/>
        </w:rPr>
        <w:t> </w:t>
      </w:r>
      <w:r>
        <w:rPr>
          <w:spacing w:val="-99"/>
        </w:rPr>
      </w:r>
      <w:r>
        <w:rPr/>
        <w:t>用友网络科技股份有限公司</w:t>
      </w:r>
      <w:r>
        <w:rPr>
          <w:rFonts w:ascii="宋体" w:hAnsi="宋体" w:cs="宋体" w:eastAsia="宋体" w:hint="default"/>
        </w:rPr>
        <w:t>(</w:t>
      </w:r>
      <w:r>
        <w:rPr/>
        <w:t>以下简称“本公司”)是根据《中华人民共和国公司法》</w:t>
      </w:r>
      <w:r>
        <w:rPr>
          <w:rFonts w:ascii="宋体" w:hAnsi="宋体" w:cs="宋体" w:eastAsia="宋体" w:hint="default"/>
        </w:rPr>
        <w:t>(</w:t>
      </w:r>
      <w:r>
        <w:rPr/>
        <w:t>以下简称</w:t>
      </w:r>
      <w:r>
        <w:rPr>
          <w:w w:val="100"/>
        </w:rPr>
        <w:t> </w:t>
      </w:r>
      <w:r>
        <w:rPr/>
        <w:t>“公司法”)于</w:t>
      </w:r>
      <w:r>
        <w:rPr>
          <w:spacing w:val="-70"/>
        </w:rPr>
        <w:t> </w:t>
      </w:r>
      <w:r>
        <w:rPr>
          <w:rFonts w:ascii="宋体" w:hAnsi="宋体" w:cs="宋体" w:eastAsia="宋体" w:hint="default"/>
        </w:rPr>
        <w:t>1999</w:t>
      </w:r>
      <w:r>
        <w:rPr>
          <w:rFonts w:ascii="宋体" w:hAnsi="宋体" w:cs="宋体" w:eastAsia="宋体" w:hint="default"/>
          <w:spacing w:val="-70"/>
        </w:rPr>
        <w:t> </w:t>
      </w:r>
      <w:r>
        <w:rPr/>
        <w:t>年</w:t>
      </w:r>
      <w:r>
        <w:rPr>
          <w:spacing w:val="-70"/>
        </w:rPr>
        <w:t> </w:t>
      </w:r>
      <w:r>
        <w:rPr>
          <w:rFonts w:ascii="宋体" w:hAnsi="宋体" w:cs="宋体" w:eastAsia="宋体" w:hint="default"/>
        </w:rPr>
        <w:t>12</w:t>
      </w:r>
      <w:r>
        <w:rPr>
          <w:rFonts w:ascii="宋体" w:hAnsi="宋体" w:cs="宋体" w:eastAsia="宋体" w:hint="default"/>
          <w:spacing w:val="-73"/>
        </w:rPr>
        <w:t> </w:t>
      </w:r>
      <w:r>
        <w:rPr/>
        <w:t>月</w:t>
      </w:r>
      <w:r>
        <w:rPr>
          <w:spacing w:val="-70"/>
        </w:rPr>
        <w:t> </w:t>
      </w:r>
      <w:r>
        <w:rPr>
          <w:rFonts w:ascii="宋体" w:hAnsi="宋体" w:cs="宋体" w:eastAsia="宋体" w:hint="default"/>
        </w:rPr>
        <w:t>6</w:t>
      </w:r>
      <w:r>
        <w:rPr>
          <w:rFonts w:ascii="宋体" w:hAnsi="宋体" w:cs="宋体" w:eastAsia="宋体" w:hint="default"/>
          <w:spacing w:val="-70"/>
        </w:rPr>
        <w:t> </w:t>
      </w:r>
      <w:r>
        <w:rPr/>
        <w:t>日在中华人民共和国</w:t>
      </w:r>
      <w:r>
        <w:rPr>
          <w:rFonts w:ascii="宋体" w:hAnsi="宋体" w:cs="宋体" w:eastAsia="宋体" w:hint="default"/>
        </w:rPr>
        <w:t>(</w:t>
      </w:r>
      <w:r>
        <w:rPr/>
        <w:t>以下简称“中国”)注册成立的股份有限公司。</w:t>
      </w:r>
    </w:p>
    <w:p>
      <w:pPr>
        <w:pStyle w:val="BodyText"/>
        <w:spacing w:line="272" w:lineRule="exact"/>
        <w:ind w:left="138" w:right="99"/>
        <w:jc w:val="left"/>
      </w:pPr>
      <w:r>
        <w:rPr/>
        <w:t>根据</w:t>
      </w:r>
      <w:r>
        <w:rPr>
          <w:spacing w:val="-54"/>
        </w:rPr>
        <w:t> </w:t>
      </w:r>
      <w:r>
        <w:rPr>
          <w:rFonts w:ascii="宋体" w:hAnsi="宋体" w:cs="宋体" w:eastAsia="宋体" w:hint="default"/>
        </w:rPr>
        <w:t>2015</w:t>
      </w:r>
      <w:r>
        <w:rPr>
          <w:rFonts w:ascii="宋体" w:hAnsi="宋体" w:cs="宋体" w:eastAsia="宋体" w:hint="default"/>
          <w:spacing w:val="-56"/>
        </w:rPr>
        <w:t> </w:t>
      </w:r>
      <w:r>
        <w:rPr/>
        <w:t>年</w:t>
      </w:r>
      <w:r>
        <w:rPr>
          <w:spacing w:val="-54"/>
        </w:rPr>
        <w:t> </w:t>
      </w:r>
      <w:r>
        <w:rPr>
          <w:rFonts w:ascii="宋体" w:hAnsi="宋体" w:cs="宋体" w:eastAsia="宋体" w:hint="default"/>
        </w:rPr>
        <w:t>1</w:t>
      </w:r>
      <w:r>
        <w:rPr>
          <w:rFonts w:ascii="宋体" w:hAnsi="宋体" w:cs="宋体" w:eastAsia="宋体" w:hint="default"/>
          <w:spacing w:val="-56"/>
        </w:rPr>
        <w:t> </w:t>
      </w:r>
      <w:r>
        <w:rPr/>
        <w:t>月</w:t>
      </w:r>
      <w:r>
        <w:rPr>
          <w:spacing w:val="-54"/>
        </w:rPr>
        <w:t> </w:t>
      </w:r>
      <w:r>
        <w:rPr>
          <w:rFonts w:ascii="宋体" w:hAnsi="宋体" w:cs="宋体" w:eastAsia="宋体" w:hint="default"/>
        </w:rPr>
        <w:t>9</w:t>
      </w:r>
      <w:r>
        <w:rPr>
          <w:rFonts w:ascii="宋体" w:hAnsi="宋体" w:cs="宋体" w:eastAsia="宋体" w:hint="default"/>
          <w:spacing w:val="-56"/>
        </w:rPr>
        <w:t> </w:t>
      </w:r>
      <w:r>
        <w:rPr/>
        <w:t>日召开的</w:t>
      </w:r>
      <w:r>
        <w:rPr>
          <w:spacing w:val="-53"/>
        </w:rPr>
        <w:t> </w:t>
      </w:r>
      <w:r>
        <w:rPr>
          <w:rFonts w:ascii="宋体" w:hAnsi="宋体" w:cs="宋体" w:eastAsia="宋体" w:hint="default"/>
        </w:rPr>
        <w:t>2015</w:t>
      </w:r>
      <w:r>
        <w:rPr>
          <w:rFonts w:ascii="宋体" w:hAnsi="宋体" w:cs="宋体" w:eastAsia="宋体" w:hint="default"/>
          <w:spacing w:val="-54"/>
        </w:rPr>
        <w:t> </w:t>
      </w:r>
      <w:r>
        <w:rPr/>
        <w:t>年第一次临时股东大会通过的决议，公司名称由“用友软件股</w:t>
      </w:r>
    </w:p>
    <w:p>
      <w:pPr>
        <w:pStyle w:val="BodyText"/>
        <w:spacing w:line="237" w:lineRule="auto"/>
        <w:ind w:left="138" w:right="317"/>
        <w:jc w:val="both"/>
      </w:pPr>
      <w:r>
        <w:rPr/>
        <w:t>份有限公司”变更为“用友网络科技股份有限公司”。</w:t>
      </w:r>
      <w:r>
        <w:rPr>
          <w:rFonts w:ascii="宋体" w:hAnsi="宋体" w:cs="宋体" w:eastAsia="宋体" w:hint="default"/>
        </w:rPr>
        <w:t>2015</w:t>
      </w:r>
      <w:r>
        <w:rPr>
          <w:rFonts w:ascii="宋体" w:hAnsi="宋体" w:cs="宋体" w:eastAsia="宋体" w:hint="default"/>
          <w:spacing w:val="-55"/>
        </w:rPr>
        <w:t> </w:t>
      </w:r>
      <w:r>
        <w:rPr/>
        <w:t>年</w:t>
      </w:r>
      <w:r>
        <w:rPr>
          <w:spacing w:val="-53"/>
        </w:rPr>
        <w:t> </w:t>
      </w:r>
      <w:r>
        <w:rPr>
          <w:rFonts w:ascii="宋体" w:hAnsi="宋体" w:cs="宋体" w:eastAsia="宋体" w:hint="default"/>
        </w:rPr>
        <w:t>1</w:t>
      </w:r>
      <w:r>
        <w:rPr>
          <w:rFonts w:ascii="宋体" w:hAnsi="宋体" w:cs="宋体" w:eastAsia="宋体" w:hint="default"/>
          <w:spacing w:val="-55"/>
        </w:rPr>
        <w:t> </w:t>
      </w:r>
      <w:r>
        <w:rPr/>
        <w:t>月</w:t>
      </w:r>
      <w:r>
        <w:rPr>
          <w:spacing w:val="-53"/>
        </w:rPr>
        <w:t> </w:t>
      </w:r>
      <w:r>
        <w:rPr>
          <w:rFonts w:ascii="宋体" w:hAnsi="宋体" w:cs="宋体" w:eastAsia="宋体" w:hint="default"/>
        </w:rPr>
        <w:t>26</w:t>
      </w:r>
      <w:r>
        <w:rPr>
          <w:rFonts w:ascii="宋体" w:hAnsi="宋体" w:cs="宋体" w:eastAsia="宋体" w:hint="default"/>
          <w:spacing w:val="-55"/>
        </w:rPr>
        <w:t> </w:t>
      </w:r>
      <w:r>
        <w:rPr/>
        <w:t>日，相关工商变更手续已</w:t>
      </w:r>
      <w:r>
        <w:rPr>
          <w:w w:val="100"/>
        </w:rPr>
        <w:t> </w:t>
      </w:r>
      <w:r>
        <w:rPr/>
        <w:t>办理完毕。本公司所发行的人民币普通股</w:t>
      </w:r>
      <w:r>
        <w:rPr>
          <w:spacing w:val="-55"/>
        </w:rPr>
        <w:t> </w:t>
      </w:r>
      <w:r>
        <w:rPr>
          <w:rFonts w:ascii="宋体" w:hAnsi="宋体" w:cs="宋体" w:eastAsia="宋体" w:hint="default"/>
        </w:rPr>
        <w:t>A</w:t>
      </w:r>
      <w:r>
        <w:rPr>
          <w:rFonts w:ascii="宋体" w:hAnsi="宋体" w:cs="宋体" w:eastAsia="宋体" w:hint="default"/>
          <w:spacing w:val="-55"/>
        </w:rPr>
        <w:t> </w:t>
      </w:r>
      <w:r>
        <w:rPr/>
        <w:t>股股票已在上海证券交易所上市。本公司统一社会信</w:t>
      </w:r>
      <w:r>
        <w:rPr>
          <w:w w:val="100"/>
        </w:rPr>
        <w:t> </w:t>
      </w:r>
      <w:r>
        <w:rPr/>
        <w:t>用代码为</w:t>
      </w:r>
      <w:r>
        <w:rPr>
          <w:spacing w:val="-55"/>
        </w:rPr>
        <w:t> </w:t>
      </w:r>
      <w:r>
        <w:rPr>
          <w:rFonts w:ascii="宋体" w:hAnsi="宋体" w:cs="宋体" w:eastAsia="宋体" w:hint="default"/>
        </w:rPr>
        <w:t>91110000600001760P</w:t>
      </w:r>
      <w:r>
        <w:rPr/>
        <w:t>。</w:t>
      </w:r>
    </w:p>
    <w:p>
      <w:pPr>
        <w:spacing w:line="240" w:lineRule="auto" w:before="12"/>
        <w:rPr>
          <w:rFonts w:ascii="宋体" w:hAnsi="宋体" w:cs="宋体" w:eastAsia="宋体" w:hint="default"/>
          <w:sz w:val="20"/>
          <w:szCs w:val="20"/>
        </w:rPr>
      </w:pPr>
    </w:p>
    <w:p>
      <w:pPr>
        <w:pStyle w:val="BodyText"/>
        <w:spacing w:line="237" w:lineRule="auto"/>
        <w:ind w:left="138" w:right="197"/>
        <w:jc w:val="left"/>
      </w:pPr>
      <w:r>
        <w:rPr/>
        <w:t>本公司及子公司</w:t>
      </w:r>
      <w:r>
        <w:rPr>
          <w:rFonts w:ascii="宋体" w:hAnsi="宋体" w:cs="宋体" w:eastAsia="宋体" w:hint="default"/>
        </w:rPr>
        <w:t>(</w:t>
      </w:r>
      <w:r>
        <w:rPr/>
        <w:t>统称“本集团”)主要经营活动为：零售图书；第一类增值电信业务中的因特网</w:t>
      </w:r>
      <w:r>
        <w:rPr>
          <w:w w:val="100"/>
        </w:rPr>
        <w:t> </w:t>
      </w:r>
      <w:r>
        <w:rPr>
          <w:spacing w:val="-4"/>
        </w:rPr>
        <w:t>数据中心业务；第二类增值电信业务中的呼叫中心业务、因特网接入服务业务、信息服务业务</w:t>
      </w:r>
      <w:r>
        <w:rPr>
          <w:rFonts w:ascii="宋体" w:hAnsi="宋体" w:cs="宋体" w:eastAsia="宋体" w:hint="default"/>
          <w:spacing w:val="-4"/>
        </w:rPr>
        <w:t>(</w:t>
      </w:r>
      <w:r>
        <w:rPr>
          <w:spacing w:val="-4"/>
        </w:rPr>
        <w:t>不</w:t>
      </w:r>
      <w:r>
        <w:rPr>
          <w:spacing w:val="-33"/>
        </w:rPr>
        <w:t> </w:t>
      </w:r>
      <w:r>
        <w:rPr/>
        <w:t>含固定网电话信息服务和互联网信息服务</w:t>
      </w:r>
      <w:r>
        <w:rPr>
          <w:rFonts w:ascii="宋体" w:hAnsi="宋体" w:cs="宋体" w:eastAsia="宋体" w:hint="default"/>
        </w:rPr>
        <w:t>)(</w:t>
      </w:r>
      <w:r>
        <w:rPr/>
        <w:t>增值电信业务经营许可证有效期至</w:t>
      </w:r>
      <w:r>
        <w:rPr>
          <w:spacing w:val="-69"/>
        </w:rPr>
        <w:t> </w:t>
      </w:r>
      <w:r>
        <w:rPr>
          <w:rFonts w:ascii="宋体" w:hAnsi="宋体" w:cs="宋体" w:eastAsia="宋体" w:hint="default"/>
        </w:rPr>
        <w:t>2020</w:t>
      </w:r>
      <w:r>
        <w:rPr>
          <w:rFonts w:ascii="宋体" w:hAnsi="宋体" w:cs="宋体" w:eastAsia="宋体" w:hint="default"/>
          <w:spacing w:val="-69"/>
        </w:rPr>
        <w:t> </w:t>
      </w:r>
      <w:r>
        <w:rPr/>
        <w:t>年</w:t>
      </w:r>
      <w:r>
        <w:rPr>
          <w:spacing w:val="-69"/>
        </w:rPr>
        <w:t> </w:t>
      </w:r>
      <w:r>
        <w:rPr>
          <w:rFonts w:ascii="宋体" w:hAnsi="宋体" w:cs="宋体" w:eastAsia="宋体" w:hint="default"/>
        </w:rPr>
        <w:t>7</w:t>
      </w:r>
      <w:r>
        <w:rPr>
          <w:rFonts w:ascii="宋体" w:hAnsi="宋体" w:cs="宋体" w:eastAsia="宋体" w:hint="default"/>
          <w:spacing w:val="-69"/>
        </w:rPr>
        <w:t> </w:t>
      </w:r>
      <w:r>
        <w:rPr/>
        <w:t>月</w:t>
      </w:r>
      <w:r>
        <w:rPr>
          <w:spacing w:val="-69"/>
        </w:rPr>
        <w:t> </w:t>
      </w:r>
      <w:r>
        <w:rPr>
          <w:rFonts w:ascii="宋体" w:hAnsi="宋体" w:cs="宋体" w:eastAsia="宋体" w:hint="default"/>
        </w:rPr>
        <w:t>7</w:t>
      </w:r>
      <w:r>
        <w:rPr>
          <w:rFonts w:ascii="宋体" w:hAnsi="宋体" w:cs="宋体" w:eastAsia="宋体" w:hint="default"/>
          <w:spacing w:val="-69"/>
        </w:rPr>
        <w:t> </w:t>
      </w:r>
      <w:r>
        <w:rPr/>
        <w:t>日</w:t>
      </w:r>
      <w:r>
        <w:rPr>
          <w:rFonts w:ascii="宋体" w:hAnsi="宋体" w:cs="宋体" w:eastAsia="宋体" w:hint="default"/>
        </w:rPr>
        <w:t>)</w:t>
      </w:r>
      <w:r>
        <w:rPr/>
        <w:t>；</w:t>
      </w:r>
      <w:r>
        <w:rPr>
          <w:w w:val="100"/>
        </w:rPr>
        <w:t> </w:t>
      </w:r>
      <w:r>
        <w:rPr>
          <w:spacing w:val="-4"/>
        </w:rPr>
        <w:t>互联网信息服务</w:t>
      </w:r>
      <w:r>
        <w:rPr>
          <w:rFonts w:ascii="宋体" w:hAnsi="宋体" w:cs="宋体" w:eastAsia="宋体" w:hint="default"/>
          <w:spacing w:val="-4"/>
        </w:rPr>
        <w:t>(</w:t>
      </w:r>
      <w:r>
        <w:rPr>
          <w:spacing w:val="-4"/>
        </w:rPr>
        <w:t>不含新闻、出版、教育、医疗保健、药品和医疗器械，含电子公告服务</w:t>
      </w:r>
      <w:r>
        <w:rPr>
          <w:rFonts w:ascii="宋体" w:hAnsi="宋体" w:cs="宋体" w:eastAsia="宋体" w:hint="default"/>
          <w:spacing w:val="-4"/>
        </w:rPr>
        <w:t>)(</w:t>
      </w:r>
      <w:r>
        <w:rPr>
          <w:spacing w:val="-4"/>
        </w:rPr>
        <w:t>电信与</w:t>
      </w:r>
      <w:r>
        <w:rPr>
          <w:spacing w:val="-32"/>
        </w:rPr>
        <w:t> </w:t>
      </w:r>
      <w:r>
        <w:rPr>
          <w:spacing w:val="-32"/>
        </w:rPr>
      </w:r>
      <w:r>
        <w:rPr>
          <w:spacing w:val="-2"/>
          <w:w w:val="100"/>
        </w:rPr>
        <w:t>信息服务业务许可证有效期至</w:t>
      </w:r>
      <w:r>
        <w:rPr>
          <w:spacing w:val="-67"/>
          <w:w w:val="100"/>
        </w:rPr>
        <w:t> </w:t>
      </w:r>
      <w:r>
        <w:rPr>
          <w:rFonts w:ascii="宋体" w:hAnsi="宋体" w:cs="宋体" w:eastAsia="宋体" w:hint="default"/>
          <w:w w:val="100"/>
        </w:rPr>
        <w:t>2020</w:t>
      </w:r>
      <w:r>
        <w:rPr>
          <w:rFonts w:ascii="宋体" w:hAnsi="宋体" w:cs="宋体" w:eastAsia="宋体" w:hint="default"/>
          <w:spacing w:val="-67"/>
          <w:w w:val="100"/>
        </w:rPr>
        <w:t> </w:t>
      </w:r>
      <w:r>
        <w:rPr>
          <w:w w:val="100"/>
        </w:rPr>
        <w:t>年</w:t>
      </w:r>
      <w:r>
        <w:rPr>
          <w:spacing w:val="-67"/>
          <w:w w:val="100"/>
        </w:rPr>
        <w:t> </w:t>
      </w:r>
      <w:r>
        <w:rPr>
          <w:rFonts w:ascii="宋体" w:hAnsi="宋体" w:cs="宋体" w:eastAsia="宋体" w:hint="default"/>
          <w:w w:val="100"/>
        </w:rPr>
        <w:t>4</w:t>
      </w:r>
      <w:r>
        <w:rPr>
          <w:rFonts w:ascii="宋体" w:hAnsi="宋体" w:cs="宋体" w:eastAsia="宋体" w:hint="default"/>
          <w:spacing w:val="-67"/>
          <w:w w:val="100"/>
        </w:rPr>
        <w:t> </w:t>
      </w:r>
      <w:r>
        <w:rPr>
          <w:w w:val="100"/>
        </w:rPr>
        <w:t>月</w:t>
      </w:r>
      <w:r>
        <w:rPr>
          <w:spacing w:val="-67"/>
          <w:w w:val="100"/>
        </w:rPr>
        <w:t> </w:t>
      </w:r>
      <w:r>
        <w:rPr>
          <w:rFonts w:ascii="宋体" w:hAnsi="宋体" w:cs="宋体" w:eastAsia="宋体" w:hint="default"/>
          <w:w w:val="100"/>
        </w:rPr>
        <w:t>16</w:t>
      </w:r>
      <w:r>
        <w:rPr>
          <w:rFonts w:ascii="宋体" w:hAnsi="宋体" w:cs="宋体" w:eastAsia="宋体" w:hint="default"/>
          <w:spacing w:val="-67"/>
          <w:w w:val="100"/>
        </w:rPr>
        <w:t> </w:t>
      </w:r>
      <w:r>
        <w:rPr>
          <w:spacing w:val="-11"/>
          <w:w w:val="100"/>
        </w:rPr>
        <w:t>日</w:t>
      </w:r>
      <w:r>
        <w:rPr>
          <w:rFonts w:ascii="宋体" w:hAnsi="宋体" w:cs="宋体" w:eastAsia="宋体" w:hint="default"/>
          <w:spacing w:val="-11"/>
          <w:w w:val="100"/>
        </w:rPr>
        <w:t>)</w:t>
      </w:r>
      <w:r>
        <w:rPr>
          <w:spacing w:val="-11"/>
          <w:w w:val="100"/>
        </w:rPr>
        <w:t>；电子计算机软件、硬件及外部设备的技术开发、</w:t>
      </w:r>
      <w:r>
        <w:rPr>
          <w:spacing w:val="-95"/>
          <w:w w:val="100"/>
        </w:rPr>
        <w:t> </w:t>
      </w:r>
      <w:r>
        <w:rPr>
          <w:spacing w:val="-95"/>
          <w:w w:val="100"/>
        </w:rPr>
      </w:r>
      <w:r>
        <w:rPr/>
        <w:t>技术咨询、技术转让、技术服务、技术培训；销售打印纸和计算机耗材；物业管理；企业管理咨</w:t>
      </w:r>
      <w:r>
        <w:rPr>
          <w:w w:val="100"/>
        </w:rPr>
        <w:t> </w:t>
      </w:r>
      <w:r>
        <w:rPr/>
        <w:t>询；数据库服务；销售电子计算机软硬件及外部设备；设计、制作、代理、发布广告；自营和代</w:t>
      </w:r>
      <w:r>
        <w:rPr>
          <w:w w:val="100"/>
        </w:rPr>
        <w:t> </w:t>
      </w:r>
      <w:r>
        <w:rPr/>
        <w:t>理各类商品和技术的进出口，但国家限定公司经营或禁止进出口的商品和技术除外；出租办公用</w:t>
      </w:r>
      <w:r>
        <w:rPr>
          <w:w w:val="100"/>
        </w:rPr>
        <w:t> </w:t>
      </w:r>
      <w:r>
        <w:rPr/>
        <w:t>房。</w:t>
      </w:r>
    </w:p>
    <w:p>
      <w:pPr>
        <w:spacing w:line="240" w:lineRule="auto" w:before="9"/>
        <w:rPr>
          <w:rFonts w:ascii="宋体" w:hAnsi="宋体" w:cs="宋体" w:eastAsia="宋体" w:hint="default"/>
          <w:sz w:val="20"/>
          <w:szCs w:val="20"/>
        </w:rPr>
      </w:pPr>
    </w:p>
    <w:p>
      <w:pPr>
        <w:pStyle w:val="BodyText"/>
        <w:spacing w:line="240" w:lineRule="auto"/>
        <w:ind w:left="138" w:right="99"/>
        <w:jc w:val="left"/>
      </w:pPr>
      <w:r>
        <w:rPr/>
        <w:t>本集团的母公司和最终母公司为于中国成立的北京用友科技有限公司</w:t>
      </w:r>
      <w:r>
        <w:rPr>
          <w:rFonts w:ascii="宋体" w:hAnsi="宋体" w:cs="宋体" w:eastAsia="宋体" w:hint="default"/>
        </w:rPr>
        <w:t>(</w:t>
      </w:r>
      <w:r>
        <w:rPr/>
        <w:t>以下简称“用友科技”)。</w:t>
      </w:r>
    </w:p>
    <w:p>
      <w:pPr>
        <w:spacing w:line="240" w:lineRule="auto" w:before="10"/>
        <w:rPr>
          <w:rFonts w:ascii="宋体" w:hAnsi="宋体" w:cs="宋体" w:eastAsia="宋体" w:hint="default"/>
          <w:sz w:val="22"/>
          <w:szCs w:val="22"/>
        </w:rPr>
      </w:pPr>
    </w:p>
    <w:p>
      <w:pPr>
        <w:pStyle w:val="BodyText"/>
        <w:spacing w:line="272" w:lineRule="exact"/>
        <w:ind w:left="138" w:right="99"/>
        <w:jc w:val="left"/>
      </w:pPr>
      <w:r>
        <w:rPr/>
        <w:t>本财务报表业经公司董事会于</w:t>
      </w:r>
      <w:r>
        <w:rPr>
          <w:spacing w:val="-53"/>
        </w:rPr>
        <w:t> </w:t>
      </w:r>
      <w:r>
        <w:rPr>
          <w:rFonts w:ascii="宋体" w:hAnsi="宋体" w:cs="宋体" w:eastAsia="宋体" w:hint="default"/>
        </w:rPr>
        <w:t>2018</w:t>
      </w:r>
      <w:r>
        <w:rPr>
          <w:rFonts w:ascii="宋体" w:hAnsi="宋体" w:cs="宋体" w:eastAsia="宋体" w:hint="default"/>
          <w:spacing w:val="-55"/>
        </w:rPr>
        <w:t> </w:t>
      </w:r>
      <w:r>
        <w:rPr/>
        <w:t>年</w:t>
      </w:r>
      <w:r>
        <w:rPr>
          <w:spacing w:val="-53"/>
        </w:rPr>
        <w:t> </w:t>
      </w:r>
      <w:r>
        <w:rPr>
          <w:rFonts w:ascii="宋体" w:hAnsi="宋体" w:cs="宋体" w:eastAsia="宋体" w:hint="default"/>
        </w:rPr>
        <w:t>3</w:t>
      </w:r>
      <w:r>
        <w:rPr>
          <w:rFonts w:ascii="宋体" w:hAnsi="宋体" w:cs="宋体" w:eastAsia="宋体" w:hint="default"/>
          <w:spacing w:val="-55"/>
        </w:rPr>
        <w:t> </w:t>
      </w:r>
      <w:r>
        <w:rPr/>
        <w:t>月</w:t>
      </w:r>
      <w:r>
        <w:rPr>
          <w:spacing w:val="-53"/>
        </w:rPr>
        <w:t> </w:t>
      </w:r>
      <w:r>
        <w:rPr>
          <w:rFonts w:ascii="宋体" w:hAnsi="宋体" w:cs="宋体" w:eastAsia="宋体" w:hint="default"/>
        </w:rPr>
        <w:t>23</w:t>
      </w:r>
      <w:r>
        <w:rPr>
          <w:rFonts w:ascii="宋体" w:hAnsi="宋体" w:cs="宋体" w:eastAsia="宋体" w:hint="default"/>
          <w:spacing w:val="-55"/>
        </w:rPr>
        <w:t> </w:t>
      </w:r>
      <w:r>
        <w:rPr/>
        <w:t>日决议批准。根据本公司章程，本财务报表将提交</w:t>
      </w:r>
      <w:r>
        <w:rPr>
          <w:w w:val="100"/>
        </w:rPr>
        <w:t> </w:t>
      </w:r>
      <w:r>
        <w:rPr/>
        <w:t>股东大会审议。</w:t>
      </w:r>
    </w:p>
    <w:p>
      <w:pPr>
        <w:spacing w:line="240" w:lineRule="auto" w:before="4"/>
        <w:rPr>
          <w:rFonts w:ascii="宋体" w:hAnsi="宋体" w:cs="宋体" w:eastAsia="宋体" w:hint="default"/>
          <w:sz w:val="23"/>
          <w:szCs w:val="23"/>
        </w:rPr>
      </w:pPr>
    </w:p>
    <w:p>
      <w:pPr>
        <w:pStyle w:val="Heading3"/>
        <w:tabs>
          <w:tab w:pos="557" w:val="left" w:leader="none"/>
        </w:tabs>
        <w:spacing w:line="240" w:lineRule="auto"/>
        <w:ind w:left="138" w:right="99"/>
        <w:jc w:val="left"/>
        <w:rPr>
          <w:b w:val="0"/>
          <w:bCs w:val="0"/>
        </w:rPr>
      </w:pPr>
      <w:r>
        <w:rPr>
          <w:rFonts w:ascii="宋体" w:hAnsi="宋体" w:cs="宋体" w:eastAsia="宋体" w:hint="default"/>
          <w:w w:val="95"/>
        </w:rPr>
        <w:t>2.</w:t>
        <w:tab/>
      </w:r>
      <w:r>
        <w:rPr/>
        <w:t>合并财务报表范围</w:t>
      </w:r>
      <w:r>
        <w:rPr>
          <w:b w:val="0"/>
          <w:bCs w:val="0"/>
        </w:rPr>
      </w:r>
    </w:p>
    <w:p>
      <w:pPr>
        <w:pStyle w:val="BodyText"/>
        <w:tabs>
          <w:tab w:pos="980" w:val="left" w:leader="none"/>
        </w:tabs>
        <w:spacing w:line="272" w:lineRule="exact" w:before="86"/>
        <w:ind w:left="138" w:right="2209"/>
        <w:jc w:val="left"/>
      </w:pPr>
      <w:r>
        <w:rPr>
          <w:spacing w:val="-1"/>
        </w:rPr>
        <w:t>√适用</w:t>
        <w:tab/>
      </w:r>
      <w:r>
        <w:rPr>
          <w:spacing w:val="-2"/>
        </w:rPr>
        <w:t>□不适用</w:t>
      </w:r>
      <w:r>
        <w:rPr>
          <w:spacing w:val="-99"/>
        </w:rPr>
        <w:t> </w:t>
      </w:r>
      <w:r>
        <w:rPr>
          <w:spacing w:val="-99"/>
        </w:rPr>
      </w:r>
      <w:r>
        <w:rPr>
          <w:spacing w:val="-2"/>
        </w:rPr>
        <w:t>合并财务报表的合并范围以控制为基础确定，本年度变化情况参见附注八。</w:t>
      </w:r>
    </w:p>
    <w:p>
      <w:pPr>
        <w:spacing w:line="240" w:lineRule="auto" w:before="4"/>
        <w:rPr>
          <w:rFonts w:ascii="宋体" w:hAnsi="宋体" w:cs="宋体" w:eastAsia="宋体" w:hint="default"/>
          <w:sz w:val="23"/>
          <w:szCs w:val="23"/>
        </w:rPr>
      </w:pPr>
    </w:p>
    <w:p>
      <w:pPr>
        <w:pStyle w:val="Heading3"/>
        <w:tabs>
          <w:tab w:pos="562" w:val="left" w:leader="none"/>
        </w:tabs>
        <w:spacing w:line="290" w:lineRule="auto"/>
        <w:ind w:left="138" w:right="6820"/>
        <w:jc w:val="left"/>
        <w:rPr>
          <w:b w:val="0"/>
          <w:bCs w:val="0"/>
        </w:rPr>
      </w:pPr>
      <w:r>
        <w:rPr/>
        <w:t>四、财务报表的编制基础</w:t>
      </w:r>
      <w:r>
        <w:rPr>
          <w:spacing w:val="-100"/>
        </w:rPr>
        <w:t> </w:t>
      </w:r>
      <w:r>
        <w:rPr>
          <w:spacing w:val="-100"/>
        </w:rPr>
      </w:r>
      <w:r>
        <w:rPr>
          <w:rFonts w:ascii="宋体" w:hAnsi="宋体" w:cs="宋体" w:eastAsia="宋体" w:hint="default"/>
          <w:w w:val="95"/>
        </w:rPr>
        <w:t>1.</w:t>
        <w:tab/>
      </w:r>
      <w:r>
        <w:rPr/>
        <w:t>编制基础</w:t>
      </w:r>
      <w:r>
        <w:rPr>
          <w:b w:val="0"/>
          <w:bCs w:val="0"/>
        </w:rPr>
      </w:r>
    </w:p>
    <w:p>
      <w:pPr>
        <w:pStyle w:val="BodyText"/>
        <w:spacing w:line="240" w:lineRule="auto" w:before="12"/>
        <w:ind w:left="138" w:right="304"/>
        <w:jc w:val="left"/>
      </w:pPr>
      <w:r>
        <w:rPr>
          <w:spacing w:val="-6"/>
          <w:w w:val="100"/>
        </w:rPr>
        <w:t>本财务报表按照财政部颁布的《企业会计准则—基本准则》以及其后颁布及修订的具体会计准则、</w:t>
      </w:r>
      <w:r>
        <w:rPr>
          <w:w w:val="100"/>
        </w:rPr>
        <w:t> </w:t>
      </w:r>
      <w:r>
        <w:rPr/>
        <w:t>应用指南、解释以及其他相关规定</w:t>
      </w:r>
      <w:r>
        <w:rPr>
          <w:rFonts w:ascii="宋体" w:hAnsi="宋体" w:cs="宋体" w:eastAsia="宋体" w:hint="default"/>
        </w:rPr>
        <w:t>(</w:t>
      </w:r>
      <w:r>
        <w:rPr/>
        <w:t>统称“企业会计准则”)编制。</w:t>
      </w:r>
    </w:p>
    <w:p>
      <w:pPr>
        <w:spacing w:line="240" w:lineRule="auto" w:before="3"/>
        <w:rPr>
          <w:rFonts w:ascii="宋体" w:hAnsi="宋体" w:cs="宋体" w:eastAsia="宋体" w:hint="default"/>
          <w:sz w:val="25"/>
          <w:szCs w:val="25"/>
        </w:rPr>
      </w:pPr>
    </w:p>
    <w:p>
      <w:pPr>
        <w:pStyle w:val="Heading3"/>
        <w:tabs>
          <w:tab w:pos="562" w:val="left" w:leader="none"/>
        </w:tabs>
        <w:spacing w:line="240" w:lineRule="auto"/>
        <w:ind w:left="138" w:right="99"/>
        <w:jc w:val="left"/>
        <w:rPr>
          <w:b w:val="0"/>
          <w:bCs w:val="0"/>
        </w:rPr>
      </w:pPr>
      <w:r>
        <w:rPr>
          <w:rFonts w:ascii="宋体" w:hAnsi="宋体" w:cs="宋体" w:eastAsia="宋体" w:hint="default"/>
          <w:w w:val="95"/>
        </w:rPr>
        <w:t>2.</w:t>
        <w:tab/>
      </w:r>
      <w:r>
        <w:rPr/>
        <w:t>持续经营</w:t>
      </w:r>
      <w:r>
        <w:rPr>
          <w:b w:val="0"/>
          <w:bCs w:val="0"/>
        </w:rPr>
      </w:r>
    </w:p>
    <w:p>
      <w:pPr>
        <w:pStyle w:val="BodyText"/>
        <w:tabs>
          <w:tab w:pos="980" w:val="left" w:leader="none"/>
        </w:tabs>
        <w:spacing w:line="274" w:lineRule="exact" w:before="56"/>
        <w:ind w:left="138" w:right="99"/>
        <w:jc w:val="left"/>
      </w:pPr>
      <w:r>
        <w:rPr>
          <w:spacing w:val="-1"/>
        </w:rPr>
        <w:t>√适用</w:t>
        <w:tab/>
      </w:r>
      <w:r>
        <w:rPr>
          <w:spacing w:val="-2"/>
        </w:rPr>
        <w:t>□不适用</w:t>
      </w:r>
    </w:p>
    <w:p>
      <w:pPr>
        <w:pStyle w:val="BodyText"/>
        <w:spacing w:line="274" w:lineRule="exact"/>
        <w:ind w:left="138" w:right="99"/>
        <w:jc w:val="left"/>
      </w:pPr>
      <w:r>
        <w:rPr/>
        <w:t>本公司不存在导致对报告期末起</w:t>
      </w:r>
      <w:r>
        <w:rPr>
          <w:spacing w:val="-54"/>
        </w:rPr>
        <w:t> </w:t>
      </w:r>
      <w:r>
        <w:rPr>
          <w:rFonts w:ascii="宋体" w:hAnsi="宋体" w:cs="宋体" w:eastAsia="宋体" w:hint="default"/>
        </w:rPr>
        <w:t>12</w:t>
      </w:r>
      <w:r>
        <w:rPr>
          <w:rFonts w:ascii="宋体" w:hAnsi="宋体" w:cs="宋体" w:eastAsia="宋体" w:hint="default"/>
          <w:spacing w:val="-56"/>
        </w:rPr>
        <w:t> </w:t>
      </w:r>
      <w:r>
        <w:rPr/>
        <w:t>个月内的持续经营假设重大疑虑的事项或情况。</w:t>
      </w:r>
    </w:p>
    <w:p>
      <w:pPr>
        <w:spacing w:line="240" w:lineRule="auto" w:before="0"/>
        <w:rPr>
          <w:rFonts w:ascii="宋体" w:hAnsi="宋体" w:cs="宋体" w:eastAsia="宋体" w:hint="default"/>
          <w:sz w:val="25"/>
          <w:szCs w:val="25"/>
        </w:rPr>
      </w:pPr>
    </w:p>
    <w:p>
      <w:pPr>
        <w:spacing w:line="290" w:lineRule="auto" w:before="0"/>
        <w:ind w:left="138" w:right="5042" w:firstLine="0"/>
        <w:jc w:val="left"/>
        <w:rPr>
          <w:rFonts w:ascii="宋体" w:hAnsi="宋体" w:cs="宋体" w:eastAsia="宋体" w:hint="default"/>
          <w:sz w:val="21"/>
          <w:szCs w:val="21"/>
        </w:rPr>
      </w:pPr>
      <w:r>
        <w:rPr>
          <w:rFonts w:ascii="宋体" w:hAnsi="宋体" w:cs="宋体" w:eastAsia="宋体" w:hint="default"/>
          <w:b/>
          <w:bCs/>
          <w:sz w:val="21"/>
          <w:szCs w:val="21"/>
        </w:rPr>
        <w:t>五、重要会计政策及会计估计</w:t>
      </w:r>
      <w:r>
        <w:rPr>
          <w:rFonts w:ascii="宋体" w:hAnsi="宋体" w:cs="宋体" w:eastAsia="宋体" w:hint="default"/>
          <w:b/>
          <w:bCs/>
          <w:spacing w:val="-102"/>
          <w:sz w:val="21"/>
          <w:szCs w:val="21"/>
        </w:rPr>
        <w:t> </w:t>
      </w:r>
      <w:r>
        <w:rPr>
          <w:rFonts w:ascii="宋体" w:hAnsi="宋体" w:cs="宋体" w:eastAsia="宋体" w:hint="default"/>
          <w:b/>
          <w:bCs/>
          <w:spacing w:val="-102"/>
          <w:sz w:val="21"/>
          <w:szCs w:val="21"/>
        </w:rPr>
      </w:r>
      <w:r>
        <w:rPr>
          <w:rFonts w:ascii="宋体" w:hAnsi="宋体" w:cs="宋体" w:eastAsia="宋体" w:hint="default"/>
          <w:spacing w:val="-2"/>
          <w:sz w:val="21"/>
          <w:szCs w:val="21"/>
        </w:rPr>
        <w:t>具体会计政策和会计估计提示：</w:t>
      </w:r>
    </w:p>
    <w:p>
      <w:pPr>
        <w:pStyle w:val="BodyText"/>
        <w:spacing w:line="226" w:lineRule="exact"/>
        <w:ind w:left="138" w:right="99"/>
        <w:jc w:val="left"/>
      </w:pPr>
      <w:r>
        <w:rPr/>
        <w:t>√适用</w:t>
      </w:r>
      <w:r>
        <w:rPr>
          <w:spacing w:val="-1"/>
        </w:rPr>
        <w:t> </w:t>
      </w:r>
      <w:r>
        <w:rPr/>
        <w:t>□不适用</w:t>
      </w:r>
    </w:p>
    <w:p>
      <w:pPr>
        <w:pStyle w:val="BodyText"/>
        <w:spacing w:line="237" w:lineRule="auto" w:before="2"/>
        <w:ind w:left="138" w:right="317"/>
        <w:jc w:val="both"/>
      </w:pPr>
      <w:r>
        <w:rPr>
          <w:spacing w:val="-2"/>
        </w:rPr>
        <w:t>本集团根据实际生产经营特点制定了具体会计政策和会计估计，主要体现在应收款项坏账准备的</w:t>
      </w:r>
      <w:r>
        <w:rPr>
          <w:spacing w:val="-25"/>
        </w:rPr>
        <w:t> </w:t>
      </w:r>
      <w:r>
        <w:rPr>
          <w:spacing w:val="-25"/>
        </w:rPr>
      </w:r>
      <w:r>
        <w:rPr>
          <w:spacing w:val="-2"/>
        </w:rPr>
        <w:t>计提、研发费用资本化条件、收入确认和计量及除金融资产之外的非流动资产的减值、递延所得</w:t>
      </w:r>
      <w:r>
        <w:rPr>
          <w:spacing w:val="-25"/>
        </w:rPr>
        <w:t> </w:t>
      </w:r>
      <w:r>
        <w:rPr>
          <w:spacing w:val="-25"/>
        </w:rPr>
      </w:r>
      <w:r>
        <w:rPr/>
        <w:t>税资产的确认、固定资产的折旧政策、无形资产的可使用寿命和无形资产摊销等方面。</w:t>
      </w:r>
    </w:p>
    <w:p>
      <w:pPr>
        <w:spacing w:after="0" w:line="237" w:lineRule="auto"/>
        <w:jc w:val="both"/>
        <w:sectPr>
          <w:headerReference w:type="default" r:id="rId59"/>
          <w:footerReference w:type="default" r:id="rId60"/>
          <w:pgSz w:w="11910" w:h="16840"/>
          <w:pgMar w:header="857" w:footer="1195" w:top="1320" w:bottom="1380" w:left="1660" w:right="960"/>
          <w:pgNumType w:start="98"/>
        </w:sectPr>
      </w:pPr>
    </w:p>
    <w:p>
      <w:pPr>
        <w:spacing w:line="240" w:lineRule="auto" w:before="2"/>
        <w:rPr>
          <w:rFonts w:ascii="宋体" w:hAnsi="宋体" w:cs="宋体" w:eastAsia="宋体" w:hint="default"/>
          <w:sz w:val="9"/>
          <w:szCs w:val="9"/>
        </w:rPr>
      </w:pPr>
    </w:p>
    <w:p>
      <w:pPr>
        <w:pStyle w:val="Heading3"/>
        <w:tabs>
          <w:tab w:pos="562" w:val="left" w:leader="none"/>
        </w:tabs>
        <w:spacing w:line="240" w:lineRule="auto" w:before="36"/>
        <w:ind w:left="138" w:right="99"/>
        <w:jc w:val="left"/>
        <w:rPr>
          <w:b w:val="0"/>
          <w:bCs w:val="0"/>
        </w:rPr>
      </w:pPr>
      <w:r>
        <w:rPr>
          <w:rFonts w:ascii="宋体" w:hAnsi="宋体" w:cs="宋体" w:eastAsia="宋体" w:hint="default"/>
          <w:w w:val="95"/>
        </w:rPr>
        <w:t>1.</w:t>
        <w:tab/>
      </w:r>
      <w:r>
        <w:rPr/>
        <w:t>遵循企业会计准则的声明</w:t>
      </w:r>
      <w:r>
        <w:rPr>
          <w:b w:val="0"/>
          <w:bCs w:val="0"/>
        </w:rPr>
      </w:r>
    </w:p>
    <w:p>
      <w:pPr>
        <w:pStyle w:val="BodyText"/>
        <w:spacing w:line="272" w:lineRule="exact" w:before="86"/>
        <w:ind w:left="138" w:right="99"/>
        <w:jc w:val="left"/>
      </w:pPr>
      <w:r>
        <w:rPr>
          <w:spacing w:val="-2"/>
        </w:rPr>
        <w:t>本财务报表符合企业会计准则的要求，真实、完整地反映了本公司及本集团的财务状况、经营成</w:t>
      </w:r>
      <w:r>
        <w:rPr>
          <w:spacing w:val="-25"/>
        </w:rPr>
        <w:t> </w:t>
      </w:r>
      <w:r>
        <w:rPr>
          <w:spacing w:val="-25"/>
        </w:rPr>
      </w:r>
      <w:r>
        <w:rPr/>
        <w:t>果、股东权益变动和现金流量等有关信息。</w:t>
      </w:r>
    </w:p>
    <w:p>
      <w:pPr>
        <w:spacing w:line="240" w:lineRule="auto" w:before="4"/>
        <w:rPr>
          <w:rFonts w:ascii="宋体" w:hAnsi="宋体" w:cs="宋体" w:eastAsia="宋体" w:hint="default"/>
          <w:sz w:val="23"/>
          <w:szCs w:val="23"/>
        </w:rPr>
      </w:pPr>
    </w:p>
    <w:p>
      <w:pPr>
        <w:pStyle w:val="Heading3"/>
        <w:tabs>
          <w:tab w:pos="562" w:val="left" w:leader="none"/>
        </w:tabs>
        <w:spacing w:line="240" w:lineRule="auto"/>
        <w:ind w:left="138" w:right="99"/>
        <w:jc w:val="left"/>
        <w:rPr>
          <w:b w:val="0"/>
          <w:bCs w:val="0"/>
        </w:rPr>
      </w:pPr>
      <w:r>
        <w:rPr>
          <w:rFonts w:ascii="宋体" w:hAnsi="宋体" w:cs="宋体" w:eastAsia="宋体" w:hint="default"/>
          <w:w w:val="95"/>
        </w:rPr>
        <w:t>2.</w:t>
        <w:tab/>
      </w:r>
      <w:r>
        <w:rPr/>
        <w:t>会计期间</w:t>
      </w:r>
      <w:r>
        <w:rPr>
          <w:b w:val="0"/>
          <w:bCs w:val="0"/>
        </w:rPr>
      </w:r>
    </w:p>
    <w:p>
      <w:pPr>
        <w:pStyle w:val="BodyText"/>
        <w:spacing w:line="240" w:lineRule="auto" w:before="58"/>
        <w:ind w:left="138" w:right="99"/>
        <w:jc w:val="left"/>
      </w:pPr>
      <w:r>
        <w:rPr/>
        <w:t>本公司会计年度自公历</w:t>
      </w:r>
      <w:r>
        <w:rPr>
          <w:spacing w:val="-52"/>
        </w:rPr>
        <w:t> </w:t>
      </w:r>
      <w:r>
        <w:rPr>
          <w:rFonts w:ascii="宋体" w:hAnsi="宋体" w:cs="宋体" w:eastAsia="宋体" w:hint="default"/>
        </w:rPr>
        <w:t>1</w:t>
      </w:r>
      <w:r>
        <w:rPr>
          <w:rFonts w:ascii="宋体" w:hAnsi="宋体" w:cs="宋体" w:eastAsia="宋体" w:hint="default"/>
          <w:spacing w:val="-55"/>
        </w:rPr>
        <w:t> </w:t>
      </w:r>
      <w:r>
        <w:rPr/>
        <w:t>月</w:t>
      </w:r>
      <w:r>
        <w:rPr>
          <w:spacing w:val="-53"/>
        </w:rPr>
        <w:t> </w:t>
      </w:r>
      <w:r>
        <w:rPr>
          <w:rFonts w:ascii="宋体" w:hAnsi="宋体" w:cs="宋体" w:eastAsia="宋体" w:hint="default"/>
        </w:rPr>
        <w:t>1</w:t>
      </w:r>
      <w:r>
        <w:rPr>
          <w:rFonts w:ascii="宋体" w:hAnsi="宋体" w:cs="宋体" w:eastAsia="宋体" w:hint="default"/>
          <w:spacing w:val="-53"/>
        </w:rPr>
        <w:t> </w:t>
      </w:r>
      <w:r>
        <w:rPr/>
        <w:t>日起至</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日止。</w:t>
      </w:r>
    </w:p>
    <w:p>
      <w:pPr>
        <w:spacing w:line="240" w:lineRule="auto" w:before="3"/>
        <w:rPr>
          <w:rFonts w:ascii="宋体" w:hAnsi="宋体" w:cs="宋体" w:eastAsia="宋体" w:hint="default"/>
          <w:sz w:val="25"/>
          <w:szCs w:val="25"/>
        </w:rPr>
      </w:pPr>
    </w:p>
    <w:p>
      <w:pPr>
        <w:pStyle w:val="Heading3"/>
        <w:tabs>
          <w:tab w:pos="562" w:val="left" w:leader="none"/>
        </w:tabs>
        <w:spacing w:line="240" w:lineRule="auto"/>
        <w:ind w:left="138" w:right="99"/>
        <w:jc w:val="left"/>
        <w:rPr>
          <w:b w:val="0"/>
          <w:bCs w:val="0"/>
        </w:rPr>
      </w:pPr>
      <w:r>
        <w:rPr>
          <w:rFonts w:ascii="宋体" w:hAnsi="宋体" w:cs="宋体" w:eastAsia="宋体" w:hint="default"/>
          <w:w w:val="95"/>
        </w:rPr>
        <w:t>3.</w:t>
        <w:tab/>
      </w:r>
      <w:r>
        <w:rPr/>
        <w:t>营业周期</w:t>
      </w:r>
      <w:r>
        <w:rPr>
          <w:b w:val="0"/>
          <w:bCs w:val="0"/>
        </w:rPr>
      </w:r>
    </w:p>
    <w:p>
      <w:pPr>
        <w:pStyle w:val="BodyText"/>
        <w:tabs>
          <w:tab w:pos="980" w:val="left" w:leader="none"/>
        </w:tabs>
        <w:spacing w:line="274" w:lineRule="exact" w:before="56"/>
        <w:ind w:left="138" w:right="99"/>
        <w:jc w:val="left"/>
      </w:pPr>
      <w:r>
        <w:rPr>
          <w:spacing w:val="-1"/>
        </w:rPr>
        <w:t>√适用</w:t>
        <w:tab/>
      </w:r>
      <w:r>
        <w:rPr>
          <w:spacing w:val="-2"/>
        </w:rPr>
        <w:t>□不适用</w:t>
      </w:r>
    </w:p>
    <w:p>
      <w:pPr>
        <w:pStyle w:val="BodyText"/>
        <w:spacing w:line="274" w:lineRule="exact"/>
        <w:ind w:left="138" w:right="99"/>
        <w:jc w:val="left"/>
      </w:pPr>
      <w:r>
        <w:rPr/>
        <w:t>本公司以一年（</w:t>
      </w:r>
      <w:r>
        <w:rPr>
          <w:rFonts w:ascii="宋体" w:hAnsi="宋体" w:cs="宋体" w:eastAsia="宋体" w:hint="default"/>
        </w:rPr>
        <w:t>12</w:t>
      </w:r>
      <w:r>
        <w:rPr>
          <w:rFonts w:ascii="宋体" w:hAnsi="宋体" w:cs="宋体" w:eastAsia="宋体" w:hint="default"/>
          <w:spacing w:val="2"/>
        </w:rPr>
        <w:t> </w:t>
      </w:r>
      <w:r>
        <w:rPr/>
        <w:t>个月）作为正常营业周期，并以营业周期作为资产和负债的流动性划分标准。</w:t>
      </w:r>
    </w:p>
    <w:p>
      <w:pPr>
        <w:spacing w:line="240" w:lineRule="auto" w:before="3"/>
        <w:rPr>
          <w:rFonts w:ascii="宋体" w:hAnsi="宋体" w:cs="宋体" w:eastAsia="宋体" w:hint="default"/>
          <w:sz w:val="25"/>
          <w:szCs w:val="25"/>
        </w:rPr>
      </w:pPr>
    </w:p>
    <w:p>
      <w:pPr>
        <w:tabs>
          <w:tab w:pos="562" w:val="left" w:leader="none"/>
        </w:tabs>
        <w:spacing w:line="290" w:lineRule="auto" w:before="0"/>
        <w:ind w:left="138" w:right="6201"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记账本位币</w:t>
      </w:r>
      <w:r>
        <w:rPr>
          <w:rFonts w:ascii="宋体" w:hAnsi="宋体" w:cs="宋体" w:eastAsia="宋体" w:hint="default"/>
          <w:b/>
          <w:bCs/>
          <w:w w:val="100"/>
          <w:sz w:val="21"/>
          <w:szCs w:val="21"/>
        </w:rPr>
        <w:t> </w:t>
      </w:r>
      <w:r>
        <w:rPr>
          <w:rFonts w:ascii="宋体" w:hAnsi="宋体" w:cs="宋体" w:eastAsia="宋体" w:hint="default"/>
          <w:spacing w:val="-2"/>
          <w:sz w:val="21"/>
          <w:szCs w:val="21"/>
        </w:rPr>
        <w:t>本公司的记账本位币为人民币。</w:t>
      </w:r>
    </w:p>
    <w:p>
      <w:pPr>
        <w:spacing w:line="240" w:lineRule="auto" w:before="11"/>
        <w:rPr>
          <w:rFonts w:ascii="宋体" w:hAnsi="宋体" w:cs="宋体" w:eastAsia="宋体" w:hint="default"/>
          <w:sz w:val="21"/>
          <w:szCs w:val="21"/>
        </w:rPr>
      </w:pPr>
    </w:p>
    <w:p>
      <w:pPr>
        <w:pStyle w:val="Heading3"/>
        <w:tabs>
          <w:tab w:pos="562" w:val="left" w:leader="none"/>
        </w:tabs>
        <w:spacing w:line="240" w:lineRule="auto"/>
        <w:ind w:left="138" w:right="99"/>
        <w:jc w:val="left"/>
        <w:rPr>
          <w:b w:val="0"/>
          <w:bCs w:val="0"/>
        </w:rPr>
      </w:pPr>
      <w:r>
        <w:rPr>
          <w:rFonts w:ascii="宋体" w:hAnsi="宋体" w:cs="宋体" w:eastAsia="宋体" w:hint="default"/>
          <w:w w:val="95"/>
        </w:rPr>
        <w:t>5.</w:t>
        <w:tab/>
      </w:r>
      <w:r>
        <w:rPr/>
        <w:t>同一控制下和非同一控制下企业合并的会计处理方法</w:t>
      </w:r>
      <w:r>
        <w:rPr>
          <w:b w:val="0"/>
          <w:bCs w:val="0"/>
        </w:rPr>
      </w:r>
    </w:p>
    <w:p>
      <w:pPr>
        <w:pStyle w:val="BodyText"/>
        <w:tabs>
          <w:tab w:pos="980" w:val="left" w:leader="none"/>
        </w:tabs>
        <w:spacing w:line="272" w:lineRule="exact" w:before="86"/>
        <w:ind w:left="138" w:right="7252"/>
        <w:jc w:val="left"/>
      </w:pPr>
      <w:r>
        <w:rPr>
          <w:spacing w:val="-1"/>
        </w:rPr>
        <w:t>√适用</w:t>
        <w:tab/>
      </w:r>
      <w:r>
        <w:rPr>
          <w:spacing w:val="-2"/>
        </w:rPr>
        <w:t>□不适用</w:t>
      </w:r>
      <w:r>
        <w:rPr>
          <w:spacing w:val="-99"/>
        </w:rPr>
        <w:t> </w:t>
      </w:r>
      <w:r>
        <w:rPr>
          <w:spacing w:val="-99"/>
        </w:rPr>
      </w:r>
      <w:r>
        <w:rPr>
          <w:spacing w:val="-1"/>
        </w:rPr>
        <w:t>同一控制下企业合并</w:t>
      </w:r>
    </w:p>
    <w:p>
      <w:pPr>
        <w:spacing w:line="240" w:lineRule="auto" w:before="12"/>
        <w:rPr>
          <w:rFonts w:ascii="宋体" w:hAnsi="宋体" w:cs="宋体" w:eastAsia="宋体" w:hint="default"/>
          <w:sz w:val="18"/>
          <w:szCs w:val="18"/>
        </w:rPr>
      </w:pPr>
    </w:p>
    <w:p>
      <w:pPr>
        <w:pStyle w:val="BodyText"/>
        <w:spacing w:line="237" w:lineRule="auto"/>
        <w:ind w:left="138" w:right="99"/>
        <w:jc w:val="left"/>
      </w:pPr>
      <w:r>
        <w:rPr/>
        <w:t>参与合并的企业在合并前后均受同一方或相同的多方最终控制，且该控制并非暂时的，为同一控</w:t>
      </w:r>
      <w:r>
        <w:rPr>
          <w:w w:val="100"/>
        </w:rPr>
        <w:t> </w:t>
      </w:r>
      <w:r>
        <w:rPr/>
        <w:t>制下的企业合并。同一控制下的企业合并，在合并日取得对其他参与合并企业控制权的一方为合</w:t>
      </w:r>
      <w:r>
        <w:rPr>
          <w:w w:val="100"/>
        </w:rPr>
        <w:t> </w:t>
      </w:r>
      <w:r>
        <w:rPr>
          <w:spacing w:val="-7"/>
        </w:rPr>
        <w:t>并方，参与合并的其他企业为被合并方。合并日，是指合并方实际取得对被合并方控制权的日期。</w:t>
      </w:r>
    </w:p>
    <w:p>
      <w:pPr>
        <w:spacing w:line="240" w:lineRule="auto" w:before="11"/>
        <w:rPr>
          <w:rFonts w:ascii="宋体" w:hAnsi="宋体" w:cs="宋体" w:eastAsia="宋体" w:hint="default"/>
          <w:sz w:val="20"/>
          <w:szCs w:val="20"/>
        </w:rPr>
      </w:pPr>
    </w:p>
    <w:p>
      <w:pPr>
        <w:pStyle w:val="BodyText"/>
        <w:spacing w:line="237" w:lineRule="auto"/>
        <w:ind w:left="138" w:right="99"/>
        <w:jc w:val="left"/>
      </w:pPr>
      <w:r>
        <w:rPr>
          <w:spacing w:val="-1"/>
        </w:rPr>
        <w:t>合并方在同一控制下企业合并中取得的资产和负债</w:t>
      </w:r>
      <w:r>
        <w:rPr>
          <w:rFonts w:ascii="宋体" w:hAnsi="宋体" w:cs="宋体" w:eastAsia="宋体" w:hint="default"/>
          <w:spacing w:val="-1"/>
        </w:rPr>
        <w:t>(</w:t>
      </w:r>
      <w:r>
        <w:rPr>
          <w:spacing w:val="-1"/>
        </w:rPr>
        <w:t>包括最终控制方收购被合并方而形成的商誉</w:t>
      </w:r>
      <w:r>
        <w:rPr>
          <w:rFonts w:ascii="宋体" w:hAnsi="宋体" w:cs="宋体" w:eastAsia="宋体" w:hint="default"/>
          <w:spacing w:val="-1"/>
        </w:rPr>
        <w:t>)</w:t>
      </w:r>
      <w:r>
        <w:rPr>
          <w:spacing w:val="-1"/>
        </w:rPr>
        <w:t>，</w:t>
      </w:r>
      <w:r>
        <w:rPr>
          <w:spacing w:val="-55"/>
        </w:rPr>
        <w:t> </w:t>
      </w:r>
      <w:r>
        <w:rPr/>
        <w:t>按合并日在最终控制方财务报表中的账面价值为基础进行相关会计处理。合并方取得的净资产账</w:t>
      </w:r>
      <w:r>
        <w:rPr>
          <w:w w:val="100"/>
        </w:rPr>
        <w:t> </w:t>
      </w:r>
      <w:r>
        <w:rPr>
          <w:spacing w:val="-4"/>
          <w:w w:val="100"/>
        </w:rPr>
        <w:t>面价值与支付的合并对价的账面价值</w:t>
      </w:r>
      <w:r>
        <w:rPr>
          <w:rFonts w:ascii="宋体" w:hAnsi="宋体" w:cs="宋体" w:eastAsia="宋体" w:hint="default"/>
          <w:spacing w:val="-4"/>
          <w:w w:val="100"/>
        </w:rPr>
        <w:t>(</w:t>
      </w:r>
      <w:r>
        <w:rPr>
          <w:spacing w:val="-4"/>
          <w:w w:val="100"/>
        </w:rPr>
        <w:t>或发行股份面值总额</w:t>
      </w:r>
      <w:r>
        <w:rPr>
          <w:rFonts w:ascii="宋体" w:hAnsi="宋体" w:cs="宋体" w:eastAsia="宋体" w:hint="default"/>
          <w:spacing w:val="-4"/>
          <w:w w:val="100"/>
        </w:rPr>
        <w:t>)</w:t>
      </w:r>
      <w:r>
        <w:rPr>
          <w:spacing w:val="-4"/>
          <w:w w:val="100"/>
        </w:rPr>
        <w:t>的差额，调整资本公积中的股本溢价，</w:t>
      </w:r>
      <w:r>
        <w:rPr>
          <w:spacing w:val="-81"/>
          <w:w w:val="100"/>
        </w:rPr>
        <w:t> </w:t>
      </w:r>
      <w:r>
        <w:rPr>
          <w:spacing w:val="-81"/>
          <w:w w:val="100"/>
        </w:rPr>
      </w:r>
      <w:r>
        <w:rPr/>
        <w:t>不足冲减的则调整留存收益。</w:t>
      </w:r>
    </w:p>
    <w:p>
      <w:pPr>
        <w:spacing w:line="240" w:lineRule="auto" w:before="9"/>
        <w:rPr>
          <w:rFonts w:ascii="宋体" w:hAnsi="宋体" w:cs="宋体" w:eastAsia="宋体" w:hint="default"/>
          <w:sz w:val="20"/>
          <w:szCs w:val="20"/>
        </w:rPr>
      </w:pPr>
    </w:p>
    <w:p>
      <w:pPr>
        <w:pStyle w:val="BodyText"/>
        <w:spacing w:line="240" w:lineRule="auto"/>
        <w:ind w:left="138" w:right="99"/>
        <w:jc w:val="left"/>
      </w:pPr>
      <w:r>
        <w:rPr/>
        <w:t>非同一控制下的企业合并</w:t>
      </w:r>
    </w:p>
    <w:p>
      <w:pPr>
        <w:spacing w:line="240" w:lineRule="auto" w:before="11"/>
        <w:rPr>
          <w:rFonts w:ascii="宋体" w:hAnsi="宋体" w:cs="宋体" w:eastAsia="宋体" w:hint="default"/>
          <w:sz w:val="20"/>
          <w:szCs w:val="20"/>
        </w:rPr>
      </w:pPr>
    </w:p>
    <w:p>
      <w:pPr>
        <w:pStyle w:val="BodyText"/>
        <w:spacing w:line="237" w:lineRule="auto"/>
        <w:ind w:left="138" w:right="317"/>
        <w:jc w:val="both"/>
      </w:pPr>
      <w:r>
        <w:rPr>
          <w:spacing w:val="-2"/>
        </w:rPr>
        <w:t>参与合并的企业在合并前后不受同一方或相同多方最终控制的，为非同一控制下的企业合并。非</w:t>
      </w:r>
      <w:r>
        <w:rPr>
          <w:spacing w:val="-25"/>
        </w:rPr>
        <w:t> </w:t>
      </w:r>
      <w:r>
        <w:rPr>
          <w:spacing w:val="-25"/>
        </w:rPr>
      </w:r>
      <w:r>
        <w:rPr>
          <w:spacing w:val="-2"/>
        </w:rPr>
        <w:t>同一控制下的企业合并，在购买日取得对其他参与合并企业控制权的一方为购买方，参与合并的</w:t>
      </w:r>
      <w:r>
        <w:rPr>
          <w:spacing w:val="-25"/>
        </w:rPr>
        <w:t> </w:t>
      </w:r>
      <w:r>
        <w:rPr>
          <w:spacing w:val="-25"/>
        </w:rPr>
      </w:r>
      <w:r>
        <w:rPr/>
        <w:t>其他企业为被购买方。购买日是指为购买方实际取得对被购买方控制权的日期。</w:t>
      </w:r>
    </w:p>
    <w:p>
      <w:pPr>
        <w:spacing w:line="240" w:lineRule="auto" w:before="9"/>
        <w:rPr>
          <w:rFonts w:ascii="宋体" w:hAnsi="宋体" w:cs="宋体" w:eastAsia="宋体" w:hint="default"/>
          <w:sz w:val="20"/>
          <w:szCs w:val="20"/>
        </w:rPr>
      </w:pPr>
    </w:p>
    <w:p>
      <w:pPr>
        <w:pStyle w:val="BodyText"/>
        <w:spacing w:line="240" w:lineRule="auto"/>
        <w:ind w:left="138" w:right="99"/>
        <w:jc w:val="left"/>
      </w:pPr>
      <w:r>
        <w:rPr>
          <w:spacing w:val="-2"/>
        </w:rPr>
        <w:t>非同一控制下企业合并中所取得的被购买方可辨认资产、负债及或有负债在收购日以公允价值计</w:t>
      </w:r>
      <w:r>
        <w:rPr>
          <w:spacing w:val="-25"/>
        </w:rPr>
        <w:t> </w:t>
      </w:r>
      <w:r>
        <w:rPr>
          <w:spacing w:val="-25"/>
        </w:rPr>
      </w:r>
      <w:r>
        <w:rPr/>
        <w:t>量。</w:t>
      </w:r>
    </w:p>
    <w:p>
      <w:pPr>
        <w:spacing w:line="240" w:lineRule="auto" w:before="11"/>
        <w:rPr>
          <w:rFonts w:ascii="宋体" w:hAnsi="宋体" w:cs="宋体" w:eastAsia="宋体" w:hint="default"/>
          <w:sz w:val="20"/>
          <w:szCs w:val="20"/>
        </w:rPr>
      </w:pPr>
    </w:p>
    <w:p>
      <w:pPr>
        <w:pStyle w:val="BodyText"/>
        <w:spacing w:line="237" w:lineRule="auto"/>
        <w:ind w:left="138" w:right="99"/>
        <w:jc w:val="left"/>
      </w:pPr>
      <w:r>
        <w:rPr>
          <w:spacing w:val="-2"/>
        </w:rPr>
        <w:t>支付的合并对价的公允价值</w:t>
      </w:r>
      <w:r>
        <w:rPr>
          <w:rFonts w:ascii="宋体" w:hAnsi="宋体" w:cs="宋体" w:eastAsia="宋体" w:hint="default"/>
          <w:spacing w:val="-2"/>
        </w:rPr>
        <w:t>(</w:t>
      </w:r>
      <w:r>
        <w:rPr>
          <w:spacing w:val="-2"/>
        </w:rPr>
        <w:t>或发行的权益性证券的公允价值</w:t>
      </w:r>
      <w:r>
        <w:rPr>
          <w:rFonts w:ascii="宋体" w:hAnsi="宋体" w:cs="宋体" w:eastAsia="宋体" w:hint="default"/>
          <w:spacing w:val="-2"/>
        </w:rPr>
        <w:t>)</w:t>
      </w:r>
      <w:r>
        <w:rPr>
          <w:spacing w:val="-2"/>
        </w:rPr>
        <w:t>与购买日之前持有的被购买方的股</w:t>
      </w:r>
      <w:r>
        <w:rPr>
          <w:spacing w:val="-30"/>
        </w:rPr>
        <w:t> </w:t>
      </w:r>
      <w:r>
        <w:rPr>
          <w:spacing w:val="-30"/>
        </w:rPr>
      </w:r>
      <w:r>
        <w:rPr>
          <w:spacing w:val="-2"/>
        </w:rPr>
        <w:t>权的公允价值之和大于合并中取得的被购买方可辨认净资产公允价值份额的差额，确认为商誉，</w:t>
      </w:r>
      <w:r>
        <w:rPr>
          <w:spacing w:val="-25"/>
        </w:rPr>
        <w:t> </w:t>
      </w:r>
      <w:r>
        <w:rPr>
          <w:spacing w:val="-25"/>
        </w:rPr>
      </w:r>
      <w:r>
        <w:rPr>
          <w:spacing w:val="-4"/>
          <w:w w:val="100"/>
        </w:rPr>
        <w:t>并以成本减去累计减值损失进行后续计量。合并成本支付的合并对价的公允价值</w:t>
      </w:r>
      <w:r>
        <w:rPr>
          <w:rFonts w:ascii="宋体" w:hAnsi="宋体" w:cs="宋体" w:eastAsia="宋体" w:hint="default"/>
          <w:spacing w:val="-4"/>
          <w:w w:val="100"/>
        </w:rPr>
        <w:t>(</w:t>
      </w:r>
      <w:r>
        <w:rPr>
          <w:spacing w:val="-4"/>
          <w:w w:val="100"/>
        </w:rPr>
        <w:t>或发行的权益性</w:t>
      </w:r>
      <w:r>
        <w:rPr>
          <w:spacing w:val="-85"/>
          <w:w w:val="100"/>
        </w:rPr>
        <w:t> </w:t>
      </w:r>
      <w:r>
        <w:rPr>
          <w:spacing w:val="-85"/>
          <w:w w:val="100"/>
        </w:rPr>
      </w:r>
      <w:r>
        <w:rPr/>
        <w:t>证券的公允价值</w:t>
      </w:r>
      <w:r>
        <w:rPr>
          <w:rFonts w:ascii="宋体" w:hAnsi="宋体" w:cs="宋体" w:eastAsia="宋体" w:hint="default"/>
        </w:rPr>
        <w:t>)</w:t>
      </w:r>
      <w:r>
        <w:rPr/>
        <w:t>与购买日之前持有的被购买方的股权的公允价值之和小于合并中取得的被购买</w:t>
      </w:r>
      <w:r>
        <w:rPr>
          <w:w w:val="100"/>
        </w:rPr>
        <w:t> </w:t>
      </w:r>
      <w:r>
        <w:rPr>
          <w:spacing w:val="-2"/>
        </w:rPr>
        <w:t>方可辨认净资产公允价值份额的，首先对取得的被购买方各项可辨认资产、负债及或有负债的公</w:t>
      </w:r>
      <w:r>
        <w:rPr>
          <w:spacing w:val="-25"/>
        </w:rPr>
        <w:t> </w:t>
      </w:r>
      <w:r>
        <w:rPr>
          <w:spacing w:val="-25"/>
        </w:rPr>
      </w:r>
      <w:r>
        <w:rPr>
          <w:spacing w:val="-2"/>
        </w:rPr>
        <w:t>允价值以及支付的合并对价的公允价值</w:t>
      </w:r>
      <w:r>
        <w:rPr>
          <w:rFonts w:ascii="宋体" w:hAnsi="宋体" w:cs="宋体" w:eastAsia="宋体" w:hint="default"/>
          <w:spacing w:val="-2"/>
        </w:rPr>
        <w:t>(</w:t>
      </w:r>
      <w:r>
        <w:rPr>
          <w:spacing w:val="-2"/>
        </w:rPr>
        <w:t>或发行的权益性证券的公允价值</w:t>
      </w:r>
      <w:r>
        <w:rPr>
          <w:rFonts w:ascii="宋体" w:hAnsi="宋体" w:cs="宋体" w:eastAsia="宋体" w:hint="default"/>
          <w:spacing w:val="-2"/>
        </w:rPr>
        <w:t>)</w:t>
      </w:r>
      <w:r>
        <w:rPr>
          <w:spacing w:val="-2"/>
        </w:rPr>
        <w:t>及购买日之前持有的被</w:t>
      </w:r>
      <w:r>
        <w:rPr>
          <w:spacing w:val="-29"/>
        </w:rPr>
        <w:t> </w:t>
      </w:r>
      <w:r>
        <w:rPr>
          <w:spacing w:val="-29"/>
        </w:rPr>
      </w:r>
      <w:r>
        <w:rPr>
          <w:spacing w:val="-4"/>
          <w:w w:val="100"/>
        </w:rPr>
        <w:t>购买方的股权的公允价值的计量进行复核，复核后合并成本支付的合并对价的公允价值</w:t>
      </w:r>
      <w:r>
        <w:rPr>
          <w:rFonts w:ascii="宋体" w:hAnsi="宋体" w:cs="宋体" w:eastAsia="宋体" w:hint="default"/>
          <w:spacing w:val="-4"/>
          <w:w w:val="100"/>
        </w:rPr>
        <w:t>(</w:t>
      </w:r>
      <w:r>
        <w:rPr>
          <w:spacing w:val="-4"/>
          <w:w w:val="100"/>
        </w:rPr>
        <w:t>或发行的</w:t>
      </w:r>
      <w:r>
        <w:rPr>
          <w:spacing w:val="-86"/>
          <w:w w:val="100"/>
        </w:rPr>
        <w:t> </w:t>
      </w:r>
      <w:r>
        <w:rPr>
          <w:spacing w:val="-86"/>
          <w:w w:val="100"/>
        </w:rPr>
      </w:r>
      <w:r>
        <w:rPr/>
        <w:t>权益性证券的公允价值</w:t>
      </w:r>
      <w:r>
        <w:rPr>
          <w:rFonts w:ascii="宋体" w:hAnsi="宋体" w:cs="宋体" w:eastAsia="宋体" w:hint="default"/>
        </w:rPr>
        <w:t>)</w:t>
      </w:r>
      <w:r>
        <w:rPr/>
        <w:t>与购买日之前持有的被购买方的股权的公允价值之和仍小于合并中取得</w:t>
      </w:r>
      <w:r>
        <w:rPr>
          <w:w w:val="100"/>
        </w:rPr>
        <w:t> </w:t>
      </w:r>
      <w:r>
        <w:rPr/>
        <w:t>的被购买方可辨认净资产公允价值份额的，其差额计入当期损益。</w:t>
      </w:r>
    </w:p>
    <w:p>
      <w:pPr>
        <w:spacing w:line="240" w:lineRule="auto" w:before="4"/>
        <w:rPr>
          <w:rFonts w:ascii="宋体" w:hAnsi="宋体" w:cs="宋体" w:eastAsia="宋体" w:hint="default"/>
          <w:sz w:val="25"/>
          <w:szCs w:val="25"/>
        </w:rPr>
      </w:pPr>
    </w:p>
    <w:p>
      <w:pPr>
        <w:pStyle w:val="Heading3"/>
        <w:tabs>
          <w:tab w:pos="562" w:val="left" w:leader="none"/>
        </w:tabs>
        <w:spacing w:line="240" w:lineRule="auto"/>
        <w:ind w:left="138" w:right="99"/>
        <w:jc w:val="left"/>
        <w:rPr>
          <w:b w:val="0"/>
          <w:bCs w:val="0"/>
        </w:rPr>
      </w:pPr>
      <w:r>
        <w:rPr>
          <w:rFonts w:ascii="宋体" w:hAnsi="宋体" w:cs="宋体" w:eastAsia="宋体" w:hint="default"/>
          <w:w w:val="95"/>
        </w:rPr>
        <w:t>6.</w:t>
        <w:tab/>
      </w:r>
      <w:r>
        <w:rPr/>
        <w:t>合并财务报表的编制方法</w:t>
      </w:r>
      <w:r>
        <w:rPr>
          <w:b w:val="0"/>
          <w:bCs w:val="0"/>
        </w:rPr>
      </w:r>
    </w:p>
    <w:p>
      <w:pPr>
        <w:pStyle w:val="BodyText"/>
        <w:tabs>
          <w:tab w:pos="980" w:val="left" w:leader="none"/>
        </w:tabs>
        <w:spacing w:line="240" w:lineRule="auto" w:before="58"/>
        <w:ind w:left="138" w:right="99"/>
        <w:jc w:val="left"/>
      </w:pPr>
      <w:r>
        <w:rPr>
          <w:spacing w:val="-1"/>
        </w:rPr>
        <w:t>√适用</w:t>
        <w:tab/>
      </w:r>
      <w:r>
        <w:rPr>
          <w:spacing w:val="-2"/>
        </w:rPr>
        <w:t>□不适用</w:t>
      </w:r>
    </w:p>
    <w:p>
      <w:pPr>
        <w:spacing w:after="0" w:line="240" w:lineRule="auto"/>
        <w:jc w:val="left"/>
        <w:sectPr>
          <w:pgSz w:w="11910" w:h="16840"/>
          <w:pgMar w:header="857" w:footer="1195" w:top="1320" w:bottom="1380" w:left="1660" w:right="960"/>
        </w:sectPr>
      </w:pPr>
    </w:p>
    <w:p>
      <w:pPr>
        <w:spacing w:line="240" w:lineRule="auto" w:before="2"/>
        <w:rPr>
          <w:rFonts w:ascii="宋体" w:hAnsi="宋体" w:cs="宋体" w:eastAsia="宋体" w:hint="default"/>
          <w:sz w:val="9"/>
          <w:szCs w:val="9"/>
        </w:rPr>
      </w:pPr>
    </w:p>
    <w:p>
      <w:pPr>
        <w:pStyle w:val="BodyText"/>
        <w:spacing w:line="237" w:lineRule="auto" w:before="38"/>
        <w:ind w:left="138" w:right="148"/>
        <w:jc w:val="both"/>
      </w:pPr>
      <w:r>
        <w:rPr>
          <w:spacing w:val="-5"/>
          <w:w w:val="100"/>
        </w:rPr>
        <w:t>合并财务报表的合并范围以控制为基础确定，包括本公司及全部子公司截至</w:t>
      </w:r>
      <w:r>
        <w:rPr>
          <w:spacing w:val="-49"/>
          <w:w w:val="100"/>
        </w:rPr>
        <w:t> </w:t>
      </w:r>
      <w:r>
        <w:rPr>
          <w:rFonts w:ascii="宋体" w:hAnsi="宋体" w:cs="宋体" w:eastAsia="宋体" w:hint="default"/>
          <w:spacing w:val="-2"/>
          <w:w w:val="100"/>
        </w:rPr>
        <w:t>2017</w:t>
      </w:r>
      <w:r>
        <w:rPr>
          <w:rFonts w:ascii="宋体" w:hAnsi="宋体" w:cs="宋体" w:eastAsia="宋体" w:hint="default"/>
          <w:spacing w:val="-48"/>
          <w:w w:val="100"/>
        </w:rPr>
        <w:t> </w:t>
      </w:r>
      <w:r>
        <w:rPr>
          <w:w w:val="100"/>
        </w:rPr>
        <w:t>年</w:t>
      </w:r>
      <w:r>
        <w:rPr>
          <w:spacing w:val="-49"/>
          <w:w w:val="100"/>
        </w:rPr>
        <w:t> </w:t>
      </w:r>
      <w:r>
        <w:rPr>
          <w:rFonts w:ascii="宋体" w:hAnsi="宋体" w:cs="宋体" w:eastAsia="宋体" w:hint="default"/>
          <w:spacing w:val="-2"/>
          <w:w w:val="100"/>
        </w:rPr>
        <w:t>12</w:t>
      </w:r>
      <w:r>
        <w:rPr>
          <w:rFonts w:ascii="宋体" w:hAnsi="宋体" w:cs="宋体" w:eastAsia="宋体" w:hint="default"/>
          <w:spacing w:val="-49"/>
          <w:w w:val="100"/>
        </w:rPr>
        <w:t> </w:t>
      </w:r>
      <w:r>
        <w:rPr>
          <w:w w:val="100"/>
        </w:rPr>
        <w:t>月</w:t>
      </w:r>
      <w:r>
        <w:rPr>
          <w:spacing w:val="-51"/>
          <w:w w:val="100"/>
        </w:rPr>
        <w:t> </w:t>
      </w:r>
      <w:r>
        <w:rPr>
          <w:rFonts w:ascii="宋体" w:hAnsi="宋体" w:cs="宋体" w:eastAsia="宋体" w:hint="default"/>
          <w:w w:val="100"/>
        </w:rPr>
        <w:t>31</w:t>
      </w:r>
      <w:r>
        <w:rPr>
          <w:rFonts w:ascii="宋体" w:hAnsi="宋体" w:cs="宋体" w:eastAsia="宋体" w:hint="default"/>
          <w:spacing w:val="-51"/>
          <w:w w:val="100"/>
        </w:rPr>
        <w:t> </w:t>
      </w:r>
      <w:r>
        <w:rPr>
          <w:w w:val="100"/>
        </w:rPr>
        <w:t>日止</w:t>
      </w:r>
      <w:r>
        <w:rPr>
          <w:spacing w:val="-104"/>
          <w:w w:val="100"/>
        </w:rPr>
        <w:t> </w:t>
      </w:r>
      <w:r>
        <w:rPr>
          <w:spacing w:val="-4"/>
        </w:rPr>
        <w:t>年度的财务报表。子公司，是指被本公司控制的主体</w:t>
      </w:r>
      <w:r>
        <w:rPr>
          <w:rFonts w:ascii="宋体" w:hAnsi="宋体" w:cs="宋体" w:eastAsia="宋体" w:hint="default"/>
          <w:spacing w:val="-4"/>
        </w:rPr>
        <w:t>(</w:t>
      </w:r>
      <w:r>
        <w:rPr>
          <w:spacing w:val="-4"/>
        </w:rPr>
        <w:t>含企业、被投资单位中可分割的部分，以及</w:t>
      </w:r>
      <w:r>
        <w:rPr>
          <w:spacing w:val="-34"/>
        </w:rPr>
        <w:t> </w:t>
      </w:r>
      <w:r>
        <w:rPr>
          <w:spacing w:val="-34"/>
        </w:rPr>
      </w:r>
      <w:r>
        <w:rPr/>
        <w:t>本公司所控制的结构化主体等</w:t>
      </w:r>
      <w:r>
        <w:rPr>
          <w:rFonts w:ascii="宋体" w:hAnsi="宋体" w:cs="宋体" w:eastAsia="宋体" w:hint="default"/>
        </w:rPr>
        <w:t>)</w:t>
      </w:r>
      <w:r>
        <w:rPr/>
        <w:t>。</w:t>
      </w:r>
    </w:p>
    <w:p>
      <w:pPr>
        <w:spacing w:line="240" w:lineRule="auto" w:before="9"/>
        <w:rPr>
          <w:rFonts w:ascii="宋体" w:hAnsi="宋体" w:cs="宋体" w:eastAsia="宋体" w:hint="default"/>
          <w:sz w:val="20"/>
          <w:szCs w:val="20"/>
        </w:rPr>
      </w:pPr>
    </w:p>
    <w:p>
      <w:pPr>
        <w:pStyle w:val="BodyText"/>
        <w:spacing w:line="240" w:lineRule="auto"/>
        <w:ind w:left="138" w:right="157"/>
        <w:jc w:val="both"/>
      </w:pPr>
      <w:r>
        <w:rPr>
          <w:spacing w:val="-2"/>
        </w:rPr>
        <w:t>编制合并财务报表时，子公司采用与本公司一致的会计年度和会计政策。本集团内部各公司之间</w:t>
      </w:r>
      <w:r>
        <w:rPr>
          <w:spacing w:val="-25"/>
        </w:rPr>
        <w:t> </w:t>
      </w:r>
      <w:r>
        <w:rPr>
          <w:spacing w:val="-25"/>
        </w:rPr>
      </w:r>
      <w:r>
        <w:rPr/>
        <w:t>的所有交易产生的资产、负债、权益、收入、费用和现金流量于合并时全额抵消。</w:t>
      </w:r>
    </w:p>
    <w:p>
      <w:pPr>
        <w:spacing w:line="240" w:lineRule="auto" w:before="10"/>
        <w:rPr>
          <w:rFonts w:ascii="宋体" w:hAnsi="宋体" w:cs="宋体" w:eastAsia="宋体" w:hint="default"/>
          <w:sz w:val="22"/>
          <w:szCs w:val="22"/>
        </w:rPr>
      </w:pPr>
    </w:p>
    <w:p>
      <w:pPr>
        <w:pStyle w:val="BodyText"/>
        <w:spacing w:line="272" w:lineRule="exact"/>
        <w:ind w:left="138" w:right="157"/>
        <w:jc w:val="both"/>
      </w:pPr>
      <w:r>
        <w:rPr>
          <w:spacing w:val="-2"/>
        </w:rPr>
        <w:t>子公司少数股东分担的当期亏损超过了少数股东在该子公司期初股东权益中所享有的份额的，其</w:t>
      </w:r>
      <w:r>
        <w:rPr>
          <w:spacing w:val="-25"/>
        </w:rPr>
        <w:t> </w:t>
      </w:r>
      <w:r>
        <w:rPr>
          <w:spacing w:val="-25"/>
        </w:rPr>
      </w:r>
      <w:r>
        <w:rPr/>
        <w:t>余额仍冲减少数股东权益。</w:t>
      </w:r>
    </w:p>
    <w:p>
      <w:pPr>
        <w:spacing w:line="240" w:lineRule="auto" w:before="12"/>
        <w:rPr>
          <w:rFonts w:ascii="宋体" w:hAnsi="宋体" w:cs="宋体" w:eastAsia="宋体" w:hint="default"/>
          <w:sz w:val="18"/>
          <w:szCs w:val="18"/>
        </w:rPr>
      </w:pPr>
    </w:p>
    <w:p>
      <w:pPr>
        <w:pStyle w:val="BodyText"/>
        <w:spacing w:line="237" w:lineRule="auto"/>
        <w:ind w:left="138" w:right="157"/>
        <w:jc w:val="both"/>
      </w:pPr>
      <w:r>
        <w:rPr>
          <w:spacing w:val="-2"/>
        </w:rPr>
        <w:t>对于通过非同一控制下的企业合并取得的子公司，被购买方的经营成果和现金流量自本集团取得</w:t>
      </w:r>
      <w:r>
        <w:rPr>
          <w:spacing w:val="-25"/>
        </w:rPr>
        <w:t> </w:t>
      </w:r>
      <w:r>
        <w:rPr>
          <w:spacing w:val="-25"/>
        </w:rPr>
      </w:r>
      <w:r>
        <w:rPr>
          <w:spacing w:val="-2"/>
        </w:rPr>
        <w:t>控制权之日起纳入合并财务报表，直至本集团对其控制权终止。在编制合并财务报表时，以购买</w:t>
      </w:r>
      <w:r>
        <w:rPr>
          <w:spacing w:val="-26"/>
        </w:rPr>
        <w:t> </w:t>
      </w:r>
      <w:r>
        <w:rPr>
          <w:spacing w:val="-26"/>
        </w:rPr>
      </w:r>
      <w:r>
        <w:rPr/>
        <w:t>日确定的各项可辨认资产、负债及或有负债的公允价值为基础对子公司的财务报表进行调整。</w:t>
      </w:r>
    </w:p>
    <w:p>
      <w:pPr>
        <w:spacing w:line="240" w:lineRule="auto" w:before="11"/>
        <w:rPr>
          <w:rFonts w:ascii="宋体" w:hAnsi="宋体" w:cs="宋体" w:eastAsia="宋体" w:hint="default"/>
          <w:sz w:val="20"/>
          <w:szCs w:val="20"/>
        </w:rPr>
      </w:pPr>
    </w:p>
    <w:p>
      <w:pPr>
        <w:pStyle w:val="BodyText"/>
        <w:spacing w:line="237" w:lineRule="auto"/>
        <w:ind w:left="138" w:right="157"/>
        <w:jc w:val="both"/>
      </w:pPr>
      <w:r>
        <w:rPr>
          <w:spacing w:val="-2"/>
        </w:rPr>
        <w:t>对于通过同一控制下的企业合并取得的子公司，被合并方的经营成果和现金流量自合并当期期初</w:t>
      </w:r>
      <w:r>
        <w:rPr>
          <w:spacing w:val="-25"/>
        </w:rPr>
        <w:t> </w:t>
      </w:r>
      <w:r>
        <w:rPr>
          <w:spacing w:val="-25"/>
        </w:rPr>
      </w:r>
      <w:r>
        <w:rPr>
          <w:spacing w:val="-2"/>
        </w:rPr>
        <w:t>纳入合并财务报表。编制比较合并财务报表时，对前期财务报表的相关项目进行调整，视同合并</w:t>
      </w:r>
      <w:r>
        <w:rPr>
          <w:spacing w:val="-25"/>
        </w:rPr>
        <w:t> </w:t>
      </w:r>
      <w:r>
        <w:rPr>
          <w:spacing w:val="-25"/>
        </w:rPr>
      </w:r>
      <w:r>
        <w:rPr/>
        <w:t>后形成的报告主体自最终控制方开始实施控制时一直存在。</w:t>
      </w:r>
    </w:p>
    <w:p>
      <w:pPr>
        <w:spacing w:line="240" w:lineRule="auto" w:before="10"/>
        <w:rPr>
          <w:rFonts w:ascii="宋体" w:hAnsi="宋体" w:cs="宋体" w:eastAsia="宋体" w:hint="default"/>
          <w:sz w:val="22"/>
          <w:szCs w:val="22"/>
        </w:rPr>
      </w:pPr>
    </w:p>
    <w:p>
      <w:pPr>
        <w:pStyle w:val="BodyText"/>
        <w:spacing w:line="272" w:lineRule="exact"/>
        <w:ind w:left="138" w:right="157"/>
        <w:jc w:val="both"/>
      </w:pPr>
      <w:r>
        <w:rPr>
          <w:spacing w:val="-2"/>
        </w:rPr>
        <w:t>如果相关事实和情况的变化导致对控制要素中的一项或多项发生变化的，本集团重新评估是否控</w:t>
      </w:r>
      <w:r>
        <w:rPr>
          <w:spacing w:val="-25"/>
        </w:rPr>
        <w:t> </w:t>
      </w:r>
      <w:r>
        <w:rPr>
          <w:spacing w:val="-25"/>
        </w:rPr>
      </w:r>
      <w:r>
        <w:rPr/>
        <w:t>制被投资方。</w:t>
      </w:r>
    </w:p>
    <w:p>
      <w:pPr>
        <w:spacing w:line="240" w:lineRule="auto" w:before="4"/>
        <w:rPr>
          <w:rFonts w:ascii="宋体" w:hAnsi="宋体" w:cs="宋体" w:eastAsia="宋体" w:hint="default"/>
          <w:sz w:val="23"/>
          <w:szCs w:val="23"/>
        </w:rPr>
      </w:pPr>
    </w:p>
    <w:p>
      <w:pPr>
        <w:pStyle w:val="Heading3"/>
        <w:spacing w:line="240" w:lineRule="auto"/>
        <w:ind w:left="138" w:right="0"/>
        <w:jc w:val="both"/>
        <w:rPr>
          <w:b w:val="0"/>
          <w:bCs w:val="0"/>
        </w:rPr>
      </w:pPr>
      <w:r>
        <w:rPr>
          <w:rFonts w:ascii="宋体" w:hAnsi="宋体" w:cs="宋体" w:eastAsia="宋体" w:hint="default"/>
        </w:rPr>
        <w:t>7. </w:t>
      </w:r>
      <w:r>
        <w:rPr>
          <w:rFonts w:ascii="宋体" w:hAnsi="宋体" w:cs="宋体" w:eastAsia="宋体" w:hint="default"/>
          <w:spacing w:val="2"/>
        </w:rPr>
        <w:t> </w:t>
      </w:r>
      <w:r>
        <w:rPr/>
        <w:t>合营安排分类及共同经营会计处理方法</w:t>
      </w:r>
      <w:r>
        <w:rPr>
          <w:b w:val="0"/>
          <w:bCs w:val="0"/>
        </w:rPr>
      </w:r>
    </w:p>
    <w:p>
      <w:pPr>
        <w:pStyle w:val="BodyText"/>
        <w:spacing w:line="240" w:lineRule="auto" w:before="58"/>
        <w:ind w:left="138" w:right="0"/>
        <w:jc w:val="both"/>
      </w:pPr>
      <w:r>
        <w:rPr/>
        <w:t>□适用</w:t>
      </w:r>
      <w:r>
        <w:rPr>
          <w:spacing w:val="104"/>
        </w:rPr>
        <w:t> </w:t>
      </w:r>
      <w:r>
        <w:rPr/>
        <w:t>√不适用</w:t>
      </w:r>
    </w:p>
    <w:p>
      <w:pPr>
        <w:spacing w:line="240" w:lineRule="auto" w:before="3"/>
        <w:rPr>
          <w:rFonts w:ascii="宋体" w:hAnsi="宋体" w:cs="宋体" w:eastAsia="宋体" w:hint="default"/>
          <w:sz w:val="25"/>
          <w:szCs w:val="25"/>
        </w:rPr>
      </w:pPr>
    </w:p>
    <w:p>
      <w:pPr>
        <w:pStyle w:val="Heading3"/>
        <w:spacing w:line="240" w:lineRule="auto"/>
        <w:ind w:left="138" w:right="0"/>
        <w:jc w:val="both"/>
        <w:rPr>
          <w:b w:val="0"/>
          <w:bCs w:val="0"/>
        </w:rPr>
      </w:pPr>
      <w:r>
        <w:rPr>
          <w:rFonts w:ascii="宋体" w:hAnsi="宋体" w:cs="宋体" w:eastAsia="宋体" w:hint="default"/>
        </w:rPr>
        <w:t>8.</w:t>
      </w:r>
      <w:r>
        <w:rPr>
          <w:rFonts w:ascii="宋体" w:hAnsi="宋体" w:cs="宋体" w:eastAsia="宋体" w:hint="default"/>
          <w:spacing w:val="105"/>
        </w:rPr>
        <w:t> </w:t>
      </w:r>
      <w:r>
        <w:rPr/>
        <w:t>现金及现金等价物的确定标准</w:t>
      </w:r>
      <w:r>
        <w:rPr>
          <w:b w:val="0"/>
          <w:bCs w:val="0"/>
        </w:rPr>
      </w:r>
    </w:p>
    <w:p>
      <w:pPr>
        <w:pStyle w:val="BodyText"/>
        <w:spacing w:line="240" w:lineRule="auto" w:before="56"/>
        <w:ind w:left="138" w:right="157"/>
        <w:jc w:val="both"/>
      </w:pPr>
      <w:r>
        <w:rPr>
          <w:spacing w:val="-2"/>
        </w:rPr>
        <w:t>现金等价物是指企业持有的期限短（一般指从购买日起三个月内到期）、流动性强、易于转换为</w:t>
      </w:r>
      <w:r>
        <w:rPr>
          <w:spacing w:val="-25"/>
        </w:rPr>
        <w:t> </w:t>
      </w:r>
      <w:r>
        <w:rPr>
          <w:spacing w:val="-25"/>
        </w:rPr>
      </w:r>
      <w:r>
        <w:rPr/>
        <w:t>已知金额现金、价值变动风险很小的投资。</w:t>
      </w:r>
    </w:p>
    <w:p>
      <w:pPr>
        <w:spacing w:line="240" w:lineRule="auto" w:before="3"/>
        <w:rPr>
          <w:rFonts w:ascii="宋体" w:hAnsi="宋体" w:cs="宋体" w:eastAsia="宋体" w:hint="default"/>
          <w:sz w:val="25"/>
          <w:szCs w:val="25"/>
        </w:rPr>
      </w:pPr>
    </w:p>
    <w:p>
      <w:pPr>
        <w:pStyle w:val="Heading3"/>
        <w:spacing w:line="240" w:lineRule="auto"/>
        <w:ind w:left="138" w:right="0"/>
        <w:jc w:val="both"/>
        <w:rPr>
          <w:b w:val="0"/>
          <w:bCs w:val="0"/>
        </w:rPr>
      </w:pPr>
      <w:r>
        <w:rPr>
          <w:rFonts w:ascii="宋体" w:hAnsi="宋体" w:cs="宋体" w:eastAsia="宋体" w:hint="default"/>
        </w:rPr>
        <w:t>9. </w:t>
      </w:r>
      <w:r>
        <w:rPr>
          <w:rFonts w:ascii="宋体" w:hAnsi="宋体" w:cs="宋体" w:eastAsia="宋体" w:hint="default"/>
          <w:spacing w:val="1"/>
        </w:rPr>
        <w:t> </w:t>
      </w:r>
      <w:r>
        <w:rPr/>
        <w:t>外币业务和外币报表折算</w:t>
      </w:r>
      <w:r>
        <w:rPr>
          <w:b w:val="0"/>
          <w:bCs w:val="0"/>
        </w:rPr>
      </w:r>
    </w:p>
    <w:p>
      <w:pPr>
        <w:pStyle w:val="BodyText"/>
        <w:tabs>
          <w:tab w:pos="980" w:val="left" w:leader="none"/>
        </w:tabs>
        <w:spacing w:line="240" w:lineRule="auto" w:before="56"/>
        <w:ind w:left="138" w:right="2889"/>
        <w:jc w:val="left"/>
      </w:pPr>
      <w:r>
        <w:rPr>
          <w:spacing w:val="-1"/>
        </w:rPr>
        <w:t>√适用</w:t>
        <w:tab/>
      </w:r>
      <w:r>
        <w:rPr>
          <w:spacing w:val="-2"/>
        </w:rPr>
        <w:t>□不适用</w:t>
      </w:r>
      <w:r>
        <w:rPr>
          <w:spacing w:val="-99"/>
        </w:rPr>
        <w:t> </w:t>
      </w:r>
      <w:r>
        <w:rPr>
          <w:spacing w:val="-99"/>
        </w:rPr>
      </w:r>
      <w:r>
        <w:rPr>
          <w:spacing w:val="-2"/>
        </w:rPr>
        <w:t>本集团对于发生的外币交易，将外币金额折算为记账本位币金额。</w:t>
      </w:r>
    </w:p>
    <w:p>
      <w:pPr>
        <w:spacing w:line="240" w:lineRule="auto" w:before="11"/>
        <w:rPr>
          <w:rFonts w:ascii="宋体" w:hAnsi="宋体" w:cs="宋体" w:eastAsia="宋体" w:hint="default"/>
          <w:sz w:val="20"/>
          <w:szCs w:val="20"/>
        </w:rPr>
      </w:pPr>
    </w:p>
    <w:p>
      <w:pPr>
        <w:pStyle w:val="BodyText"/>
        <w:spacing w:line="237" w:lineRule="auto"/>
        <w:ind w:left="138" w:right="157"/>
        <w:jc w:val="both"/>
      </w:pPr>
      <w:r>
        <w:rPr>
          <w:spacing w:val="-2"/>
        </w:rPr>
        <w:t>外币交易在初始确认时，采用交易发生当期平均汇率将外币金额折算为记账本位币金额。于资产</w:t>
      </w:r>
      <w:r>
        <w:rPr>
          <w:spacing w:val="-25"/>
        </w:rPr>
        <w:t> </w:t>
      </w:r>
      <w:r>
        <w:rPr>
          <w:spacing w:val="-25"/>
        </w:rPr>
      </w:r>
      <w:r>
        <w:rPr>
          <w:spacing w:val="-2"/>
        </w:rPr>
        <w:t>负债表日，对于外币货币性项目采用资产负债表日即期汇率折算。由此产生的结算和货币性项目</w:t>
      </w:r>
      <w:r>
        <w:rPr>
          <w:spacing w:val="-25"/>
        </w:rPr>
        <w:t> </w:t>
      </w:r>
      <w:r>
        <w:rPr>
          <w:spacing w:val="-25"/>
        </w:rPr>
      </w:r>
      <w:r>
        <w:rPr>
          <w:spacing w:val="-2"/>
        </w:rPr>
        <w:t>折算差额，除属于与购建符合资本化条件的资产相关的外币专门借款产生的汇兑差额按照借款费</w:t>
      </w:r>
      <w:r>
        <w:rPr>
          <w:spacing w:val="-25"/>
        </w:rPr>
        <w:t> </w:t>
      </w:r>
      <w:r>
        <w:rPr>
          <w:spacing w:val="-25"/>
        </w:rPr>
      </w:r>
      <w:r>
        <w:rPr>
          <w:spacing w:val="-2"/>
        </w:rPr>
        <w:t>用资本化的原则处理之外，均计入当期损益。以历史成本计量的外币非货币性项目，仍采用交易</w:t>
      </w:r>
      <w:r>
        <w:rPr>
          <w:spacing w:val="-25"/>
        </w:rPr>
        <w:t> </w:t>
      </w:r>
      <w:r>
        <w:rPr>
          <w:spacing w:val="-25"/>
        </w:rPr>
      </w:r>
      <w:r>
        <w:rPr>
          <w:spacing w:val="-2"/>
        </w:rPr>
        <w:t>发生日的即期汇率折算，不改变其记账本位币金额。以公允价值计量的外币非货币性项目，采用</w:t>
      </w:r>
      <w:r>
        <w:rPr>
          <w:spacing w:val="-25"/>
        </w:rPr>
        <w:t> </w:t>
      </w:r>
      <w:r>
        <w:rPr>
          <w:spacing w:val="-25"/>
        </w:rPr>
      </w:r>
      <w:r>
        <w:rPr>
          <w:spacing w:val="-2"/>
        </w:rPr>
        <w:t>公允价值确定日的即期汇率折算，由此产生的差额根据非货币性项目的性质计入当期损益或其他</w:t>
      </w:r>
      <w:r>
        <w:rPr>
          <w:spacing w:val="-25"/>
        </w:rPr>
        <w:t> </w:t>
      </w:r>
      <w:r>
        <w:rPr>
          <w:spacing w:val="-25"/>
        </w:rPr>
      </w:r>
      <w:r>
        <w:rPr/>
        <w:t>综合收益。</w:t>
      </w:r>
    </w:p>
    <w:p>
      <w:pPr>
        <w:spacing w:line="240" w:lineRule="auto" w:before="9"/>
        <w:rPr>
          <w:rFonts w:ascii="宋体" w:hAnsi="宋体" w:cs="宋体" w:eastAsia="宋体" w:hint="default"/>
          <w:sz w:val="20"/>
          <w:szCs w:val="20"/>
        </w:rPr>
      </w:pPr>
    </w:p>
    <w:p>
      <w:pPr>
        <w:pStyle w:val="BodyText"/>
        <w:spacing w:line="237" w:lineRule="auto"/>
        <w:ind w:left="138" w:right="148"/>
        <w:jc w:val="both"/>
      </w:pPr>
      <w:r>
        <w:rPr>
          <w:spacing w:val="-2"/>
        </w:rPr>
        <w:t>对于境外经营，本集团在编制财务报表时将其记账本位币折算为人民币：对资产负债表中的资产</w:t>
      </w:r>
      <w:r>
        <w:rPr>
          <w:spacing w:val="-25"/>
        </w:rPr>
        <w:t> </w:t>
      </w:r>
      <w:r>
        <w:rPr>
          <w:spacing w:val="-25"/>
        </w:rPr>
      </w:r>
      <w:r>
        <w:rPr>
          <w:spacing w:val="-2"/>
        </w:rPr>
        <w:t>和负债项目，采用资产负债表日的即期汇率折算，股东权益项目除“未分配利润”项目外，其他</w:t>
      </w:r>
      <w:r>
        <w:rPr>
          <w:spacing w:val="-25"/>
        </w:rPr>
        <w:t> </w:t>
      </w:r>
      <w:r>
        <w:rPr>
          <w:spacing w:val="-25"/>
        </w:rPr>
      </w:r>
      <w:r>
        <w:rPr>
          <w:spacing w:val="-6"/>
          <w:w w:val="100"/>
        </w:rPr>
        <w:t>项目采用发生时的即期汇率折算；利润表中的收入和费用项目，采用交易发生当期平均汇率折算。</w:t>
      </w:r>
      <w:r>
        <w:rPr>
          <w:w w:val="100"/>
        </w:rPr>
        <w:t> </w:t>
      </w:r>
      <w:r>
        <w:rPr>
          <w:spacing w:val="-2"/>
        </w:rPr>
        <w:t>按照上述折算产生的外币财务报表折算差额，确认为其他综合收益。处置境外经营时，将与该境</w:t>
      </w:r>
      <w:r>
        <w:rPr>
          <w:spacing w:val="-25"/>
        </w:rPr>
        <w:t> </w:t>
      </w:r>
      <w:r>
        <w:rPr>
          <w:spacing w:val="-25"/>
        </w:rPr>
      </w:r>
      <w:r>
        <w:rPr/>
        <w:t>外经营相关的其他综合收益转入处置当期损益，部分处置的按处置比例计算。</w:t>
      </w:r>
    </w:p>
    <w:p>
      <w:pPr>
        <w:spacing w:line="240" w:lineRule="auto" w:before="9"/>
        <w:rPr>
          <w:rFonts w:ascii="宋体" w:hAnsi="宋体" w:cs="宋体" w:eastAsia="宋体" w:hint="default"/>
          <w:sz w:val="20"/>
          <w:szCs w:val="20"/>
        </w:rPr>
      </w:pPr>
    </w:p>
    <w:p>
      <w:pPr>
        <w:pStyle w:val="BodyText"/>
        <w:spacing w:line="240" w:lineRule="auto"/>
        <w:ind w:left="138" w:right="157"/>
        <w:jc w:val="both"/>
      </w:pPr>
      <w:r>
        <w:rPr>
          <w:spacing w:val="-2"/>
        </w:rPr>
        <w:t>外币现金流量以及境外子公司的现金流量，采用现金流量发生当期平均汇率折算。汇率变动对现</w:t>
      </w:r>
      <w:r>
        <w:rPr>
          <w:spacing w:val="-25"/>
        </w:rPr>
        <w:t> </w:t>
      </w:r>
      <w:r>
        <w:rPr>
          <w:spacing w:val="-25"/>
        </w:rPr>
      </w:r>
      <w:r>
        <w:rPr/>
        <w:t>金的影响额作为调节项目，在现金流量表中单独列报。</w:t>
      </w:r>
    </w:p>
    <w:p>
      <w:pPr>
        <w:spacing w:after="0" w:line="240" w:lineRule="auto"/>
        <w:jc w:val="both"/>
        <w:sectPr>
          <w:footerReference w:type="default" r:id="rId61"/>
          <w:pgSz w:w="11910" w:h="16840"/>
          <w:pgMar w:footer="1195" w:header="857" w:top="1320" w:bottom="1380" w:left="1660" w:right="1120"/>
        </w:sectPr>
      </w:pPr>
    </w:p>
    <w:p>
      <w:pPr>
        <w:spacing w:line="240" w:lineRule="auto" w:before="2"/>
        <w:rPr>
          <w:rFonts w:ascii="宋体" w:hAnsi="宋体" w:cs="宋体" w:eastAsia="宋体" w:hint="default"/>
          <w:sz w:val="9"/>
          <w:szCs w:val="9"/>
        </w:rPr>
      </w:pPr>
    </w:p>
    <w:p>
      <w:pPr>
        <w:pStyle w:val="Heading3"/>
        <w:spacing w:line="240" w:lineRule="auto" w:before="36"/>
        <w:ind w:left="138" w:right="0"/>
        <w:jc w:val="both"/>
        <w:rPr>
          <w:b w:val="0"/>
          <w:bCs w:val="0"/>
        </w:rPr>
      </w:pPr>
      <w:r>
        <w:rPr>
          <w:rFonts w:ascii="宋体" w:hAnsi="宋体" w:cs="宋体" w:eastAsia="宋体" w:hint="default"/>
        </w:rPr>
        <w:t>10.</w:t>
      </w:r>
      <w:r>
        <w:rPr>
          <w:rFonts w:ascii="宋体" w:hAnsi="宋体" w:cs="宋体" w:eastAsia="宋体" w:hint="default"/>
          <w:spacing w:val="2"/>
        </w:rPr>
        <w:t> </w:t>
      </w:r>
      <w:r>
        <w:rPr/>
        <w:t>金融工具</w:t>
      </w:r>
      <w:r>
        <w:rPr>
          <w:b w:val="0"/>
          <w:bCs w:val="0"/>
        </w:rPr>
      </w:r>
    </w:p>
    <w:p>
      <w:pPr>
        <w:pStyle w:val="BodyText"/>
        <w:tabs>
          <w:tab w:pos="980" w:val="left" w:leader="none"/>
        </w:tabs>
        <w:spacing w:line="272" w:lineRule="exact" w:before="86"/>
        <w:ind w:left="138" w:right="577"/>
        <w:jc w:val="left"/>
      </w:pPr>
      <w:r>
        <w:rPr>
          <w:spacing w:val="-1"/>
        </w:rPr>
        <w:t>√适用</w:t>
        <w:tab/>
      </w:r>
      <w:r>
        <w:rPr>
          <w:spacing w:val="-2"/>
        </w:rPr>
        <w:t>□不适用</w:t>
      </w:r>
      <w:r>
        <w:rPr>
          <w:spacing w:val="-99"/>
        </w:rPr>
        <w:t> </w:t>
      </w:r>
      <w:r>
        <w:rPr>
          <w:spacing w:val="-99"/>
        </w:rPr>
      </w:r>
      <w:r>
        <w:rPr>
          <w:spacing w:val="-2"/>
        </w:rPr>
        <w:t>金融工具，是指形成一个企业的金融资产，并形成其他单位的金融负债或权益工具的合同。</w:t>
      </w:r>
    </w:p>
    <w:p>
      <w:pPr>
        <w:spacing w:line="240" w:lineRule="auto" w:before="10"/>
        <w:rPr>
          <w:rFonts w:ascii="宋体" w:hAnsi="宋体" w:cs="宋体" w:eastAsia="宋体" w:hint="default"/>
          <w:sz w:val="18"/>
          <w:szCs w:val="18"/>
        </w:rPr>
      </w:pPr>
    </w:p>
    <w:p>
      <w:pPr>
        <w:pStyle w:val="BodyText"/>
        <w:spacing w:line="475" w:lineRule="auto"/>
        <w:ind w:left="138" w:right="160"/>
        <w:jc w:val="both"/>
      </w:pPr>
      <w:r>
        <w:rPr/>
        <w:t>金融工具的确认和终止确认</w:t>
      </w:r>
      <w:r>
        <w:rPr>
          <w:w w:val="100"/>
        </w:rPr>
        <w:t> </w:t>
      </w:r>
      <w:r>
        <w:rPr/>
        <w:t>本集团于成为金融工具合同的一方时确认一项金融资产或金融负债。</w:t>
      </w:r>
    </w:p>
    <w:p>
      <w:pPr>
        <w:pStyle w:val="BodyText"/>
        <w:spacing w:line="240" w:lineRule="auto" w:before="64"/>
        <w:ind w:left="138" w:right="160"/>
        <w:jc w:val="both"/>
      </w:pPr>
      <w:r>
        <w:rPr>
          <w:spacing w:val="-2"/>
        </w:rPr>
        <w:t>满足下列条件的，终止确认金融资产</w:t>
      </w:r>
      <w:r>
        <w:rPr>
          <w:rFonts w:ascii="宋体" w:hAnsi="宋体" w:cs="宋体" w:eastAsia="宋体" w:hint="default"/>
          <w:spacing w:val="-2"/>
        </w:rPr>
        <w:t>(</w:t>
      </w:r>
      <w:r>
        <w:rPr>
          <w:spacing w:val="-2"/>
        </w:rPr>
        <w:t>或金融资产的一部分，或一组类似金融资产的一部分</w:t>
      </w:r>
      <w:r>
        <w:rPr>
          <w:rFonts w:ascii="宋体" w:hAnsi="宋体" w:cs="宋体" w:eastAsia="宋体" w:hint="default"/>
          <w:spacing w:val="-2"/>
        </w:rPr>
        <w:t>)</w:t>
      </w:r>
      <w:r>
        <w:rPr>
          <w:spacing w:val="-2"/>
        </w:rPr>
        <w:t>，即</w:t>
      </w:r>
      <w:r>
        <w:rPr>
          <w:spacing w:val="-26"/>
        </w:rPr>
        <w:t> </w:t>
      </w:r>
      <w:r>
        <w:rPr/>
        <w:t>从其账户和资产负债表内予以转销：</w:t>
      </w:r>
    </w:p>
    <w:p>
      <w:pPr>
        <w:spacing w:line="240" w:lineRule="auto" w:before="8"/>
        <w:rPr>
          <w:rFonts w:ascii="宋体" w:hAnsi="宋体" w:cs="宋体" w:eastAsia="宋体" w:hint="default"/>
          <w:sz w:val="20"/>
          <w:szCs w:val="20"/>
        </w:rPr>
      </w:pPr>
    </w:p>
    <w:p>
      <w:pPr>
        <w:pStyle w:val="BodyText"/>
        <w:spacing w:line="273" w:lineRule="exact"/>
        <w:ind w:left="138" w:right="0"/>
        <w:jc w:val="both"/>
      </w:pPr>
      <w:r>
        <w:rPr>
          <w:rFonts w:ascii="宋体" w:hAnsi="宋体" w:cs="宋体" w:eastAsia="宋体" w:hint="default"/>
        </w:rPr>
        <w:t>(1)</w:t>
      </w:r>
      <w:r>
        <w:rPr>
          <w:rFonts w:ascii="宋体" w:hAnsi="宋体" w:cs="宋体" w:eastAsia="宋体" w:hint="default"/>
          <w:spacing w:val="1"/>
        </w:rPr>
        <w:t> </w:t>
      </w:r>
      <w:r>
        <w:rPr/>
        <w:t>收取金融资产现金流量的权利届满；</w:t>
      </w:r>
    </w:p>
    <w:p>
      <w:pPr>
        <w:pStyle w:val="BodyText"/>
        <w:spacing w:line="237" w:lineRule="auto" w:before="1"/>
        <w:ind w:left="138" w:right="157"/>
        <w:jc w:val="both"/>
      </w:pPr>
      <w:r>
        <w:rPr>
          <w:rFonts w:ascii="宋体" w:hAnsi="宋体" w:cs="宋体" w:eastAsia="宋体" w:hint="default"/>
        </w:rPr>
        <w:t>(2)</w:t>
      </w:r>
      <w:r>
        <w:rPr>
          <w:rFonts w:ascii="宋体" w:hAnsi="宋体" w:cs="宋体" w:eastAsia="宋体" w:hint="default"/>
          <w:spacing w:val="-3"/>
        </w:rPr>
        <w:t> </w:t>
      </w:r>
      <w:r>
        <w:rPr/>
        <w:t>转移了收取金融资产现金流量的权利，或在“过手协议”下承担了及时将收取的现金流量全</w:t>
      </w:r>
      <w:r>
        <w:rPr>
          <w:w w:val="100"/>
        </w:rPr>
        <w:t> </w:t>
      </w:r>
      <w:r>
        <w:rPr>
          <w:spacing w:val="-2"/>
        </w:rPr>
        <w:t>额支付给第三方的义务；并且</w:t>
      </w:r>
      <w:r>
        <w:rPr>
          <w:rFonts w:ascii="宋体" w:hAnsi="宋体" w:cs="宋体" w:eastAsia="宋体" w:hint="default"/>
          <w:spacing w:val="-2"/>
        </w:rPr>
        <w:t>(a)</w:t>
      </w:r>
      <w:r>
        <w:rPr>
          <w:spacing w:val="-2"/>
        </w:rPr>
        <w:t>实质上转让了金融资产所有权上几乎所有的风险和报酬，或</w:t>
      </w:r>
      <w:r>
        <w:rPr>
          <w:rFonts w:ascii="宋体" w:hAnsi="宋体" w:cs="宋体" w:eastAsia="宋体" w:hint="default"/>
          <w:spacing w:val="-2"/>
        </w:rPr>
        <w:t>(b)</w:t>
      </w:r>
      <w:r>
        <w:rPr>
          <w:rFonts w:ascii="宋体" w:hAnsi="宋体" w:cs="宋体" w:eastAsia="宋体" w:hint="default"/>
          <w:spacing w:val="-23"/>
        </w:rPr>
        <w:t> </w:t>
      </w:r>
      <w:r>
        <w:rPr>
          <w:spacing w:val="-2"/>
        </w:rPr>
        <w:t>虽然实质上既没有转移也没有保留金融资产所有权上几乎所有的风险和报酬，但放弃了对该金融</w:t>
      </w:r>
      <w:r>
        <w:rPr>
          <w:spacing w:val="-25"/>
        </w:rPr>
        <w:t> </w:t>
      </w:r>
      <w:r>
        <w:rPr>
          <w:spacing w:val="-25"/>
        </w:rPr>
      </w:r>
      <w:r>
        <w:rPr/>
        <w:t>资产的控制。</w:t>
      </w:r>
    </w:p>
    <w:p>
      <w:pPr>
        <w:spacing w:line="240" w:lineRule="auto" w:before="10"/>
        <w:rPr>
          <w:rFonts w:ascii="宋体" w:hAnsi="宋体" w:cs="宋体" w:eastAsia="宋体" w:hint="default"/>
          <w:sz w:val="22"/>
          <w:szCs w:val="22"/>
        </w:rPr>
      </w:pPr>
    </w:p>
    <w:p>
      <w:pPr>
        <w:pStyle w:val="BodyText"/>
        <w:spacing w:line="272" w:lineRule="exact"/>
        <w:ind w:left="138" w:right="157"/>
        <w:jc w:val="both"/>
      </w:pPr>
      <w:r>
        <w:rPr>
          <w:spacing w:val="-2"/>
        </w:rPr>
        <w:t>如果金融负债的责任已履行、撤销或届满，则对金融负债进行终止确认。如果现有金融负债被同</w:t>
      </w:r>
      <w:r>
        <w:rPr>
          <w:spacing w:val="-25"/>
        </w:rPr>
        <w:t> </w:t>
      </w:r>
      <w:r>
        <w:rPr>
          <w:spacing w:val="-25"/>
        </w:rPr>
      </w:r>
      <w:r>
        <w:rPr>
          <w:spacing w:val="-2"/>
        </w:rPr>
        <w:t>一债权人以实质上几乎完全不同条款的另一金融负债所取代，或现有负债的条款几乎全部被实质</w:t>
      </w:r>
      <w:r>
        <w:rPr>
          <w:spacing w:val="-25"/>
        </w:rPr>
        <w:t> </w:t>
      </w:r>
      <w:r>
        <w:rPr>
          <w:spacing w:val="-25"/>
        </w:rPr>
      </w:r>
      <w:r>
        <w:rPr/>
        <w:t>性修改，则此类替换或修改作为终止确认原负债和确认新负债处理，差额计入当期损益。</w:t>
      </w:r>
    </w:p>
    <w:p>
      <w:pPr>
        <w:spacing w:line="240" w:lineRule="auto" w:before="12"/>
        <w:rPr>
          <w:rFonts w:ascii="宋体" w:hAnsi="宋体" w:cs="宋体" w:eastAsia="宋体" w:hint="default"/>
          <w:sz w:val="18"/>
          <w:szCs w:val="18"/>
        </w:rPr>
      </w:pPr>
    </w:p>
    <w:p>
      <w:pPr>
        <w:pStyle w:val="BodyText"/>
        <w:spacing w:line="237" w:lineRule="auto"/>
        <w:ind w:left="138" w:right="157"/>
        <w:jc w:val="both"/>
      </w:pPr>
      <w:r>
        <w:rPr>
          <w:spacing w:val="-2"/>
        </w:rPr>
        <w:t>以常规方式买卖金融资产，按交易日会计进行确认和终止确认。常规方式买卖金融资产，是指按</w:t>
      </w:r>
      <w:r>
        <w:rPr>
          <w:spacing w:val="-25"/>
        </w:rPr>
        <w:t> </w:t>
      </w:r>
      <w:r>
        <w:rPr>
          <w:spacing w:val="-25"/>
        </w:rPr>
      </w:r>
      <w:r>
        <w:rPr>
          <w:spacing w:val="-2"/>
        </w:rPr>
        <w:t>照合同条款的约定，在法规或通行惯例规定的期限内收取或交付金融资产。交易日，是指本集团</w:t>
      </w:r>
      <w:r>
        <w:rPr>
          <w:spacing w:val="-25"/>
        </w:rPr>
        <w:t> </w:t>
      </w:r>
      <w:r>
        <w:rPr>
          <w:spacing w:val="-25"/>
        </w:rPr>
      </w:r>
      <w:r>
        <w:rPr/>
        <w:t>承诺买入或卖出金融资产的日期。</w:t>
      </w:r>
    </w:p>
    <w:p>
      <w:pPr>
        <w:spacing w:line="240" w:lineRule="auto" w:before="9"/>
        <w:rPr>
          <w:rFonts w:ascii="宋体" w:hAnsi="宋体" w:cs="宋体" w:eastAsia="宋体" w:hint="default"/>
          <w:sz w:val="20"/>
          <w:szCs w:val="20"/>
        </w:rPr>
      </w:pPr>
    </w:p>
    <w:p>
      <w:pPr>
        <w:pStyle w:val="BodyText"/>
        <w:spacing w:line="240" w:lineRule="auto"/>
        <w:ind w:left="138" w:right="0"/>
        <w:jc w:val="both"/>
      </w:pPr>
      <w:r>
        <w:rPr/>
        <w:t>金融资产分类和计量</w:t>
      </w:r>
    </w:p>
    <w:p>
      <w:pPr>
        <w:spacing w:line="240" w:lineRule="auto" w:before="11"/>
        <w:rPr>
          <w:rFonts w:ascii="宋体" w:hAnsi="宋体" w:cs="宋体" w:eastAsia="宋体" w:hint="default"/>
          <w:sz w:val="20"/>
          <w:szCs w:val="20"/>
        </w:rPr>
      </w:pPr>
    </w:p>
    <w:p>
      <w:pPr>
        <w:pStyle w:val="BodyText"/>
        <w:spacing w:line="237" w:lineRule="auto"/>
        <w:ind w:left="138" w:right="157"/>
        <w:jc w:val="both"/>
      </w:pPr>
      <w:r>
        <w:rPr>
          <w:spacing w:val="-2"/>
        </w:rPr>
        <w:t>本集团的金融资产于初始确认时分类为：以公允价值计量且其变动计入当期损益的金融资产、持</w:t>
      </w:r>
      <w:r>
        <w:rPr>
          <w:spacing w:val="-25"/>
        </w:rPr>
        <w:t> </w:t>
      </w:r>
      <w:r>
        <w:rPr>
          <w:spacing w:val="-25"/>
        </w:rPr>
      </w:r>
      <w:r>
        <w:rPr>
          <w:spacing w:val="-2"/>
        </w:rPr>
        <w:t>有至到期投资、贷款和应收款项、可供出售金融资产、被指定为有效套期工具的衍生工具。金融</w:t>
      </w:r>
      <w:r>
        <w:rPr>
          <w:spacing w:val="-25"/>
        </w:rPr>
        <w:t> </w:t>
      </w:r>
      <w:r>
        <w:rPr>
          <w:spacing w:val="-25"/>
        </w:rPr>
      </w:r>
      <w:r>
        <w:rPr>
          <w:spacing w:val="-2"/>
        </w:rPr>
        <w:t>资产在初始确认时以公允价值计量。对于以公允价值计量且其变动计入当期损益的金融资产，相</w:t>
      </w:r>
      <w:r>
        <w:rPr>
          <w:spacing w:val="-25"/>
        </w:rPr>
        <w:t> </w:t>
      </w:r>
      <w:r>
        <w:rPr>
          <w:spacing w:val="-25"/>
        </w:rPr>
      </w:r>
      <w:r>
        <w:rPr/>
        <w:t>关交易费用直接计入当期损益，其他类别的金融资产相关交易费用计入其初始确认金额。</w:t>
      </w:r>
    </w:p>
    <w:p>
      <w:pPr>
        <w:pStyle w:val="BodyText"/>
        <w:spacing w:line="540" w:lineRule="atLeast" w:before="5"/>
        <w:ind w:left="138" w:right="2049"/>
        <w:jc w:val="left"/>
      </w:pPr>
      <w:r>
        <w:rPr/>
        <w:t>金融资产的后续计量取决于其分类：</w:t>
      </w:r>
      <w:r>
        <w:rPr>
          <w:w w:val="100"/>
        </w:rPr>
        <w:t> </w:t>
      </w:r>
      <w:r>
        <w:rPr>
          <w:spacing w:val="-2"/>
        </w:rPr>
        <w:t>以公允价值计量且其变动计入当期损益的金融资产</w:t>
      </w:r>
    </w:p>
    <w:p>
      <w:pPr>
        <w:pStyle w:val="BodyText"/>
        <w:spacing w:line="237" w:lineRule="auto"/>
        <w:ind w:left="138" w:right="150"/>
        <w:jc w:val="both"/>
      </w:pPr>
      <w:r>
        <w:rPr>
          <w:spacing w:val="-2"/>
        </w:rPr>
        <w:t>以公允价值计量且其变动计入当期损益的金融资产，包括交易性金融资产和初始确认时指定为以</w:t>
      </w:r>
      <w:r>
        <w:rPr>
          <w:spacing w:val="-25"/>
        </w:rPr>
        <w:t> </w:t>
      </w:r>
      <w:r>
        <w:rPr>
          <w:spacing w:val="-25"/>
        </w:rPr>
      </w:r>
      <w:r>
        <w:rPr>
          <w:spacing w:val="-2"/>
        </w:rPr>
        <w:t>公允价值计量且其变动计入当期损益的金融资产。交易性金融资产，是指满足下列条件之一的金</w:t>
      </w:r>
      <w:r>
        <w:rPr>
          <w:spacing w:val="-26"/>
        </w:rPr>
        <w:t> </w:t>
      </w:r>
      <w:r>
        <w:rPr>
          <w:spacing w:val="-26"/>
        </w:rPr>
      </w:r>
      <w:r>
        <w:rPr>
          <w:spacing w:val="-2"/>
        </w:rPr>
        <w:t>融资产：取得该金融资产的目的是为了在短期内出售；属于进行集中管理的可辨认金融工具组合</w:t>
      </w:r>
      <w:r>
        <w:rPr>
          <w:spacing w:val="-25"/>
        </w:rPr>
        <w:t> </w:t>
      </w:r>
      <w:r>
        <w:rPr>
          <w:spacing w:val="-25"/>
        </w:rPr>
      </w:r>
      <w:r>
        <w:rPr>
          <w:spacing w:val="-2"/>
        </w:rPr>
        <w:t>的一部分，且有客观证据表明企业近期采用短期获利方式对该组合进行管理；属于衍生工具，但</w:t>
      </w:r>
      <w:r>
        <w:rPr>
          <w:spacing w:val="-25"/>
        </w:rPr>
        <w:t> </w:t>
      </w:r>
      <w:r>
        <w:rPr>
          <w:spacing w:val="-25"/>
        </w:rPr>
      </w:r>
      <w:r>
        <w:rPr>
          <w:spacing w:val="-2"/>
        </w:rPr>
        <w:t>是，被指定且为有效套期工具的衍生工具、属于财务担保合同的衍生工具、与在活跃市场中没有</w:t>
      </w:r>
      <w:r>
        <w:rPr>
          <w:spacing w:val="-25"/>
        </w:rPr>
        <w:t> </w:t>
      </w:r>
      <w:r>
        <w:rPr>
          <w:spacing w:val="-25"/>
        </w:rPr>
      </w:r>
      <w:r>
        <w:rPr>
          <w:spacing w:val="-2"/>
        </w:rPr>
        <w:t>报价且其公允价值不能可靠计量的权益工具投资挂钩并须通过交付该权益工具结算的衍生工具除</w:t>
      </w:r>
      <w:r>
        <w:rPr>
          <w:spacing w:val="-25"/>
        </w:rPr>
        <w:t> </w:t>
      </w:r>
      <w:r>
        <w:rPr>
          <w:spacing w:val="-25"/>
        </w:rPr>
      </w:r>
      <w:r>
        <w:rPr>
          <w:spacing w:val="-2"/>
        </w:rPr>
        <w:t>外。对于此类金融资产，采用公允价值进行后续计量，所有已实现和未实现的损益均计入当期损</w:t>
      </w:r>
      <w:r>
        <w:rPr>
          <w:spacing w:val="-25"/>
        </w:rPr>
        <w:t> </w:t>
      </w:r>
      <w:r>
        <w:rPr>
          <w:spacing w:val="-25"/>
        </w:rPr>
      </w:r>
      <w:r>
        <w:rPr>
          <w:spacing w:val="-6"/>
          <w:w w:val="100"/>
        </w:rPr>
        <w:t>益。与以公允价值计量且其变动计入当期损益的金融资产相关的股利或利息收入，计入当期损益。</w:t>
      </w:r>
    </w:p>
    <w:p>
      <w:pPr>
        <w:spacing w:line="240" w:lineRule="auto" w:before="11"/>
        <w:rPr>
          <w:rFonts w:ascii="宋体" w:hAnsi="宋体" w:cs="宋体" w:eastAsia="宋体" w:hint="default"/>
          <w:sz w:val="20"/>
          <w:szCs w:val="20"/>
        </w:rPr>
      </w:pPr>
    </w:p>
    <w:p>
      <w:pPr>
        <w:pStyle w:val="BodyText"/>
        <w:spacing w:line="237" w:lineRule="auto"/>
        <w:ind w:left="138" w:right="0"/>
        <w:jc w:val="left"/>
      </w:pPr>
      <w:r>
        <w:rPr/>
        <w:t>持有至到期投资</w:t>
      </w:r>
      <w:r>
        <w:rPr>
          <w:spacing w:val="-103"/>
        </w:rPr>
        <w:t> </w:t>
      </w:r>
      <w:r>
        <w:rPr>
          <w:spacing w:val="-103"/>
        </w:rPr>
      </w:r>
      <w:r>
        <w:rPr>
          <w:spacing w:val="-2"/>
        </w:rPr>
        <w:t>持有至到期投资，是指到期日固定、回收金额固定或可确定，且本集团有明确意图和能力持有至</w:t>
      </w:r>
      <w:r>
        <w:rPr>
          <w:spacing w:val="-25"/>
        </w:rPr>
        <w:t> </w:t>
      </w:r>
      <w:r>
        <w:rPr>
          <w:spacing w:val="-25"/>
        </w:rPr>
      </w:r>
      <w:r>
        <w:rPr>
          <w:spacing w:val="-2"/>
        </w:rPr>
        <w:t>到期的非衍生金融资产。对于此类金融资产，采用实际利率法，按照摊余成本进行后续计量，其</w:t>
      </w:r>
      <w:r>
        <w:rPr>
          <w:spacing w:val="-25"/>
        </w:rPr>
        <w:t> </w:t>
      </w:r>
      <w:r>
        <w:rPr>
          <w:spacing w:val="-25"/>
        </w:rPr>
      </w:r>
      <w:r>
        <w:rPr/>
        <w:t>摊销或减值以及终止确认产生的利得或损失，均计入当期损益。</w:t>
      </w:r>
    </w:p>
    <w:p>
      <w:pPr>
        <w:spacing w:line="240" w:lineRule="auto" w:before="9"/>
        <w:rPr>
          <w:rFonts w:ascii="宋体" w:hAnsi="宋体" w:cs="宋体" w:eastAsia="宋体" w:hint="default"/>
          <w:sz w:val="20"/>
          <w:szCs w:val="20"/>
        </w:rPr>
      </w:pPr>
    </w:p>
    <w:p>
      <w:pPr>
        <w:pStyle w:val="BodyText"/>
        <w:spacing w:line="240" w:lineRule="auto"/>
        <w:ind w:left="138" w:right="0"/>
        <w:jc w:val="both"/>
      </w:pPr>
      <w:r>
        <w:rPr/>
        <w:t>贷款和应收款项</w:t>
      </w:r>
    </w:p>
    <w:p>
      <w:pPr>
        <w:spacing w:after="0" w:line="240" w:lineRule="auto"/>
        <w:jc w:val="both"/>
        <w:sectPr>
          <w:footerReference w:type="default" r:id="rId62"/>
          <w:pgSz w:w="11910" w:h="16840"/>
          <w:pgMar w:footer="1195" w:header="857" w:top="1320" w:bottom="1380" w:left="1660" w:right="1120"/>
        </w:sectPr>
      </w:pPr>
    </w:p>
    <w:p>
      <w:pPr>
        <w:spacing w:line="240" w:lineRule="auto" w:before="2"/>
        <w:rPr>
          <w:rFonts w:ascii="宋体" w:hAnsi="宋体" w:cs="宋体" w:eastAsia="宋体" w:hint="default"/>
          <w:sz w:val="9"/>
          <w:szCs w:val="9"/>
        </w:rPr>
      </w:pPr>
    </w:p>
    <w:p>
      <w:pPr>
        <w:pStyle w:val="BodyText"/>
        <w:spacing w:line="237" w:lineRule="auto" w:before="38"/>
        <w:ind w:left="138" w:right="148"/>
        <w:jc w:val="both"/>
      </w:pPr>
      <w:r>
        <w:rPr>
          <w:spacing w:val="-2"/>
        </w:rPr>
        <w:t>贷款和应收款项，是指在活跃市场中没有报价、回收金额固定或可确定的非衍生金融资产。对于</w:t>
      </w:r>
      <w:r>
        <w:rPr>
          <w:spacing w:val="-25"/>
        </w:rPr>
        <w:t> </w:t>
      </w:r>
      <w:r>
        <w:rPr>
          <w:spacing w:val="-25"/>
        </w:rPr>
      </w:r>
      <w:r>
        <w:rPr>
          <w:spacing w:val="-6"/>
        </w:rPr>
        <w:t>此类金融资产，采用实际利率法，按照摊余成本进行后续计量，其摊销或减值产生的利得或损失，</w:t>
      </w:r>
      <w:r>
        <w:rPr>
          <w:spacing w:val="-54"/>
        </w:rPr>
        <w:t> </w:t>
      </w:r>
      <w:r>
        <w:rPr>
          <w:spacing w:val="-54"/>
        </w:rPr>
      </w:r>
      <w:r>
        <w:rPr/>
        <w:t>均计入当期损益。</w:t>
      </w:r>
    </w:p>
    <w:p>
      <w:pPr>
        <w:spacing w:line="240" w:lineRule="auto" w:before="11"/>
        <w:rPr>
          <w:rFonts w:ascii="宋体" w:hAnsi="宋体" w:cs="宋体" w:eastAsia="宋体" w:hint="default"/>
          <w:sz w:val="20"/>
          <w:szCs w:val="20"/>
        </w:rPr>
      </w:pPr>
    </w:p>
    <w:p>
      <w:pPr>
        <w:pStyle w:val="BodyText"/>
        <w:spacing w:line="237" w:lineRule="auto"/>
        <w:ind w:left="138" w:right="144"/>
        <w:jc w:val="left"/>
      </w:pPr>
      <w:r>
        <w:rPr/>
        <w:t>可供出售金融资产</w:t>
      </w:r>
      <w:r>
        <w:rPr>
          <w:w w:val="100"/>
        </w:rPr>
        <w:t> </w:t>
      </w:r>
      <w:r>
        <w:rPr>
          <w:spacing w:val="-2"/>
        </w:rPr>
        <w:t>可供出售金融资产，是指初始确认时即指定为可供出售的非衍生金融资产，以及除上述金融资产</w:t>
      </w:r>
      <w:r>
        <w:rPr>
          <w:spacing w:val="-25"/>
        </w:rPr>
        <w:t> </w:t>
      </w:r>
      <w:r>
        <w:rPr>
          <w:spacing w:val="-25"/>
        </w:rPr>
      </w:r>
      <w:r>
        <w:rPr>
          <w:spacing w:val="-2"/>
        </w:rPr>
        <w:t>类别以外的金融资产。对于此类金融资产，采用公允价值进行后续计量。其折价或溢价采用实际</w:t>
      </w:r>
      <w:r>
        <w:rPr>
          <w:spacing w:val="-25"/>
        </w:rPr>
        <w:t> </w:t>
      </w:r>
      <w:r>
        <w:rPr>
          <w:spacing w:val="-25"/>
        </w:rPr>
      </w:r>
      <w:r>
        <w:rPr>
          <w:spacing w:val="-2"/>
        </w:rPr>
        <w:t>利率法进行摊销并确认为利息收入或费用。除减值损失及外币货币性金融资产的汇兑差额确认为</w:t>
      </w:r>
      <w:r>
        <w:rPr>
          <w:spacing w:val="-25"/>
        </w:rPr>
        <w:t> </w:t>
      </w:r>
      <w:r>
        <w:rPr>
          <w:spacing w:val="-25"/>
        </w:rPr>
      </w:r>
      <w:r>
        <w:rPr>
          <w:spacing w:val="-2"/>
        </w:rPr>
        <w:t>当期损益外，可供出售金融资产的公允价值变动作为其他综合收益确认，直到该金融资产终止确</w:t>
      </w:r>
      <w:r>
        <w:rPr>
          <w:spacing w:val="-25"/>
        </w:rPr>
        <w:t> </w:t>
      </w:r>
      <w:r>
        <w:rPr>
          <w:spacing w:val="-25"/>
        </w:rPr>
      </w:r>
      <w:r>
        <w:rPr>
          <w:spacing w:val="-6"/>
          <w:w w:val="100"/>
        </w:rPr>
        <w:t>认或发生减值时，其累计利得或损失转入当期损益。与可供出售金融资产相关的股利或利息收入，</w:t>
      </w:r>
      <w:r>
        <w:rPr>
          <w:w w:val="100"/>
        </w:rPr>
        <w:t> </w:t>
      </w:r>
      <w:r>
        <w:rPr/>
        <w:t>计入当期损益。</w:t>
      </w:r>
    </w:p>
    <w:p>
      <w:pPr>
        <w:spacing w:line="240" w:lineRule="auto" w:before="9"/>
        <w:rPr>
          <w:rFonts w:ascii="宋体" w:hAnsi="宋体" w:cs="宋体" w:eastAsia="宋体" w:hint="default"/>
          <w:sz w:val="20"/>
          <w:szCs w:val="20"/>
        </w:rPr>
      </w:pPr>
    </w:p>
    <w:p>
      <w:pPr>
        <w:pStyle w:val="BodyText"/>
        <w:spacing w:line="475" w:lineRule="auto"/>
        <w:ind w:left="138" w:right="157"/>
        <w:jc w:val="both"/>
      </w:pPr>
      <w:r>
        <w:rPr/>
        <w:t>对于在活跃市场中没有报价且其公允价值不能可靠计量的权益工具投资，按成本计量。</w:t>
      </w:r>
      <w:r>
        <w:rPr>
          <w:w w:val="100"/>
        </w:rPr>
        <w:t> </w:t>
      </w:r>
      <w:r>
        <w:rPr/>
        <w:t>金融负债分类和计量</w:t>
      </w:r>
    </w:p>
    <w:p>
      <w:pPr>
        <w:pStyle w:val="BodyText"/>
        <w:spacing w:line="237" w:lineRule="auto" w:before="66"/>
        <w:ind w:left="138" w:right="150"/>
        <w:jc w:val="both"/>
      </w:pPr>
      <w:r>
        <w:rPr>
          <w:spacing w:val="-2"/>
        </w:rPr>
        <w:t>本集团的金融负债于初始确认时分类为：以公允价值计量且其变动计入当期损益的金融负债、其</w:t>
      </w:r>
      <w:r>
        <w:rPr>
          <w:spacing w:val="-25"/>
        </w:rPr>
        <w:t> </w:t>
      </w:r>
      <w:r>
        <w:rPr>
          <w:spacing w:val="-25"/>
        </w:rPr>
      </w:r>
      <w:r>
        <w:rPr>
          <w:spacing w:val="-2"/>
        </w:rPr>
        <w:t>他金融负债、被指定为有效套期工具的衍生工具。对于以公允价值计量且其变动计入当期损益的</w:t>
      </w:r>
      <w:r>
        <w:rPr>
          <w:spacing w:val="-25"/>
        </w:rPr>
        <w:t> </w:t>
      </w:r>
      <w:r>
        <w:rPr>
          <w:spacing w:val="-25"/>
        </w:rPr>
      </w:r>
      <w:r>
        <w:rPr>
          <w:spacing w:val="-7"/>
          <w:w w:val="100"/>
        </w:rPr>
        <w:t>金融负债，相关交易费用直接计入当期损益，其他金融负债的相关交易费用计入其初始确认金额。</w:t>
      </w:r>
    </w:p>
    <w:p>
      <w:pPr>
        <w:pStyle w:val="BodyText"/>
        <w:spacing w:line="540" w:lineRule="atLeast" w:before="5"/>
        <w:ind w:left="138" w:right="2049"/>
        <w:jc w:val="left"/>
      </w:pPr>
      <w:r>
        <w:rPr/>
        <w:t>金融负债的后续计量取决于其分类：</w:t>
      </w:r>
      <w:r>
        <w:rPr>
          <w:w w:val="100"/>
        </w:rPr>
        <w:t> </w:t>
      </w:r>
      <w:r>
        <w:rPr>
          <w:spacing w:val="-2"/>
        </w:rPr>
        <w:t>以公允价值计量且其变动计入当期损益的金融负债</w:t>
      </w:r>
    </w:p>
    <w:p>
      <w:pPr>
        <w:pStyle w:val="BodyText"/>
        <w:spacing w:line="237" w:lineRule="auto"/>
        <w:ind w:left="138" w:right="157"/>
        <w:jc w:val="both"/>
      </w:pPr>
      <w:r>
        <w:rPr>
          <w:spacing w:val="-2"/>
        </w:rPr>
        <w:t>以公允价值计量且其变动计入当期损益的金融负债，包括交易性金融负债和初始确认时指定为以</w:t>
      </w:r>
      <w:r>
        <w:rPr>
          <w:spacing w:val="-25"/>
        </w:rPr>
        <w:t> </w:t>
      </w:r>
      <w:r>
        <w:rPr>
          <w:spacing w:val="-25"/>
        </w:rPr>
      </w:r>
      <w:r>
        <w:rPr>
          <w:spacing w:val="-2"/>
        </w:rPr>
        <w:t>公允价值计量且其变动计入当期损益的金融负债。交易性金融负债，是指满足下列条件之一的金</w:t>
      </w:r>
      <w:r>
        <w:rPr>
          <w:spacing w:val="-25"/>
        </w:rPr>
        <w:t> </w:t>
      </w:r>
      <w:r>
        <w:rPr>
          <w:spacing w:val="-25"/>
        </w:rPr>
      </w:r>
      <w:r>
        <w:rPr>
          <w:spacing w:val="-2"/>
        </w:rPr>
        <w:t>融负债：承担该金融负债的目的是为了在近期内回购；属于进行集中管理的可辨认金融工具组合</w:t>
      </w:r>
      <w:r>
        <w:rPr>
          <w:spacing w:val="-25"/>
        </w:rPr>
        <w:t> </w:t>
      </w:r>
      <w:r>
        <w:rPr>
          <w:spacing w:val="-25"/>
        </w:rPr>
      </w:r>
      <w:r>
        <w:rPr>
          <w:spacing w:val="-2"/>
        </w:rPr>
        <w:t>的一部分，且有客观证据表明企业近期采用短期获利方式对该组合进行管理；属于衍生工具，但</w:t>
      </w:r>
      <w:r>
        <w:rPr>
          <w:spacing w:val="-25"/>
        </w:rPr>
        <w:t> </w:t>
      </w:r>
      <w:r>
        <w:rPr>
          <w:spacing w:val="-25"/>
        </w:rPr>
      </w:r>
      <w:r>
        <w:rPr>
          <w:spacing w:val="-2"/>
        </w:rPr>
        <w:t>是，被指定且为有效套期工具的衍生工具、属于财务担保合同的衍生工具、与在活跃市场中没有</w:t>
      </w:r>
      <w:r>
        <w:rPr>
          <w:spacing w:val="-25"/>
        </w:rPr>
        <w:t> </w:t>
      </w:r>
      <w:r>
        <w:rPr>
          <w:spacing w:val="-25"/>
        </w:rPr>
      </w:r>
      <w:r>
        <w:rPr>
          <w:spacing w:val="-2"/>
        </w:rPr>
        <w:t>报价且其公允价值不能可靠计量的权益工具投资挂钩并须通过交付该权益工具结算的衍生工具除</w:t>
      </w:r>
      <w:r>
        <w:rPr>
          <w:spacing w:val="-25"/>
        </w:rPr>
        <w:t> </w:t>
      </w:r>
      <w:r>
        <w:rPr>
          <w:spacing w:val="-25"/>
        </w:rPr>
      </w:r>
      <w:r>
        <w:rPr>
          <w:spacing w:val="-2"/>
        </w:rPr>
        <w:t>外。对于此类金融负债，按照公允价值进行后续计量，所有已实现和未实现的损益均计入当期损</w:t>
      </w:r>
      <w:r>
        <w:rPr>
          <w:spacing w:val="-25"/>
        </w:rPr>
        <w:t> </w:t>
      </w:r>
      <w:r>
        <w:rPr>
          <w:spacing w:val="-25"/>
        </w:rPr>
      </w:r>
      <w:r>
        <w:rPr/>
        <w:t>益。</w:t>
      </w:r>
    </w:p>
    <w:p>
      <w:pPr>
        <w:spacing w:line="240" w:lineRule="auto" w:before="10"/>
        <w:rPr>
          <w:rFonts w:ascii="宋体" w:hAnsi="宋体" w:cs="宋体" w:eastAsia="宋体" w:hint="default"/>
          <w:sz w:val="22"/>
          <w:szCs w:val="22"/>
        </w:rPr>
      </w:pPr>
    </w:p>
    <w:p>
      <w:pPr>
        <w:pStyle w:val="BodyText"/>
        <w:spacing w:line="272" w:lineRule="exact"/>
        <w:ind w:left="138" w:right="2049"/>
        <w:jc w:val="left"/>
      </w:pPr>
      <w:r>
        <w:rPr/>
        <w:t>其他金融负债</w:t>
      </w:r>
      <w:r>
        <w:rPr>
          <w:w w:val="100"/>
        </w:rPr>
        <w:t> </w:t>
      </w:r>
      <w:r>
        <w:rPr>
          <w:spacing w:val="-2"/>
        </w:rPr>
        <w:t>对于此类金融负债，采用实际利率法，按照摊余成本进行后续计量。</w:t>
      </w:r>
    </w:p>
    <w:p>
      <w:pPr>
        <w:spacing w:line="240" w:lineRule="auto" w:before="10"/>
        <w:rPr>
          <w:rFonts w:ascii="宋体" w:hAnsi="宋体" w:cs="宋体" w:eastAsia="宋体" w:hint="default"/>
          <w:sz w:val="18"/>
          <w:szCs w:val="18"/>
        </w:rPr>
      </w:pPr>
    </w:p>
    <w:p>
      <w:pPr>
        <w:pStyle w:val="BodyText"/>
        <w:spacing w:line="240" w:lineRule="auto"/>
        <w:ind w:left="138" w:right="0"/>
        <w:jc w:val="both"/>
      </w:pPr>
      <w:r>
        <w:rPr/>
        <w:t>金融工具抵销</w:t>
      </w:r>
    </w:p>
    <w:p>
      <w:pPr>
        <w:spacing w:line="240" w:lineRule="auto" w:before="11"/>
        <w:rPr>
          <w:rFonts w:ascii="宋体" w:hAnsi="宋体" w:cs="宋体" w:eastAsia="宋体" w:hint="default"/>
          <w:sz w:val="20"/>
          <w:szCs w:val="20"/>
        </w:rPr>
      </w:pPr>
    </w:p>
    <w:p>
      <w:pPr>
        <w:pStyle w:val="BodyText"/>
        <w:spacing w:line="237" w:lineRule="auto"/>
        <w:ind w:left="138" w:right="157"/>
        <w:jc w:val="both"/>
      </w:pPr>
      <w:r>
        <w:rPr>
          <w:spacing w:val="-2"/>
        </w:rPr>
        <w:t>同时满足下列条件的，金融资产和金融负债以相互抵销后的净额在资产负债表内列示：具有抵销</w:t>
      </w:r>
      <w:r>
        <w:rPr>
          <w:spacing w:val="-25"/>
        </w:rPr>
        <w:t> </w:t>
      </w:r>
      <w:r>
        <w:rPr>
          <w:spacing w:val="-25"/>
        </w:rPr>
      </w:r>
      <w:r>
        <w:rPr>
          <w:spacing w:val="-2"/>
        </w:rPr>
        <w:t>已确认金额的法定权利，且该种法定权利是当前可执行的；计划以净额结算，或同时变现该金融</w:t>
      </w:r>
      <w:r>
        <w:rPr>
          <w:spacing w:val="-25"/>
        </w:rPr>
        <w:t> </w:t>
      </w:r>
      <w:r>
        <w:rPr>
          <w:spacing w:val="-25"/>
        </w:rPr>
      </w:r>
      <w:r>
        <w:rPr/>
        <w:t>资产和清偿该金融负债。</w:t>
      </w:r>
    </w:p>
    <w:p>
      <w:pPr>
        <w:spacing w:line="240" w:lineRule="auto" w:before="9"/>
        <w:rPr>
          <w:rFonts w:ascii="宋体" w:hAnsi="宋体" w:cs="宋体" w:eastAsia="宋体" w:hint="default"/>
          <w:sz w:val="20"/>
          <w:szCs w:val="20"/>
        </w:rPr>
      </w:pPr>
    </w:p>
    <w:p>
      <w:pPr>
        <w:pStyle w:val="BodyText"/>
        <w:spacing w:line="240" w:lineRule="auto"/>
        <w:ind w:left="138" w:right="0"/>
        <w:jc w:val="both"/>
      </w:pPr>
      <w:r>
        <w:rPr/>
        <w:t>财务担保合同</w:t>
      </w:r>
    </w:p>
    <w:p>
      <w:pPr>
        <w:spacing w:line="240" w:lineRule="auto" w:before="11"/>
        <w:rPr>
          <w:rFonts w:ascii="宋体" w:hAnsi="宋体" w:cs="宋体" w:eastAsia="宋体" w:hint="default"/>
          <w:sz w:val="20"/>
          <w:szCs w:val="20"/>
        </w:rPr>
      </w:pPr>
    </w:p>
    <w:p>
      <w:pPr>
        <w:pStyle w:val="BodyText"/>
        <w:spacing w:line="237" w:lineRule="auto"/>
        <w:ind w:left="138" w:right="157"/>
        <w:jc w:val="both"/>
      </w:pPr>
      <w:r>
        <w:rPr>
          <w:spacing w:val="-2"/>
        </w:rPr>
        <w:t>财务担保合同，是指保证人和债权人约定，当债务人不履行债务时，保证人按照约定履行债务或</w:t>
      </w:r>
      <w:r>
        <w:rPr>
          <w:spacing w:val="-25"/>
        </w:rPr>
        <w:t> </w:t>
      </w:r>
      <w:r>
        <w:rPr>
          <w:spacing w:val="-25"/>
        </w:rPr>
      </w:r>
      <w:r>
        <w:rPr>
          <w:spacing w:val="-2"/>
        </w:rPr>
        <w:t>者承担责任的合同。财务担保合同在初始确认时按照公允价值计量，不属于指定为以公允价值计</w:t>
      </w:r>
      <w:r>
        <w:rPr>
          <w:spacing w:val="-25"/>
        </w:rPr>
        <w:t> </w:t>
      </w:r>
      <w:r>
        <w:rPr>
          <w:spacing w:val="-25"/>
        </w:rPr>
      </w:r>
      <w:r>
        <w:rPr>
          <w:spacing w:val="-2"/>
        </w:rPr>
        <w:t>量且其变动计入当期损益的金融负债的财务担保合同，在初始确认后，按照资产负债表日履行相</w:t>
      </w:r>
      <w:r>
        <w:rPr>
          <w:spacing w:val="-25"/>
        </w:rPr>
        <w:t> </w:t>
      </w:r>
      <w:r>
        <w:rPr>
          <w:spacing w:val="-25"/>
        </w:rPr>
      </w:r>
      <w:r>
        <w:rPr>
          <w:spacing w:val="-2"/>
        </w:rPr>
        <w:t>关现时义务所需支出的当前最佳估计数确定的金额，和初始确认金额扣除按照收入确认原则确定</w:t>
      </w:r>
      <w:r>
        <w:rPr>
          <w:spacing w:val="-25"/>
        </w:rPr>
        <w:t> </w:t>
      </w:r>
      <w:r>
        <w:rPr>
          <w:spacing w:val="-25"/>
        </w:rPr>
      </w:r>
      <w:r>
        <w:rPr/>
        <w:t>的累计摊销额后的余额，以两者之中的较高者进行后续计量。</w:t>
      </w:r>
    </w:p>
    <w:p>
      <w:pPr>
        <w:spacing w:line="240" w:lineRule="auto" w:before="9"/>
        <w:rPr>
          <w:rFonts w:ascii="宋体" w:hAnsi="宋体" w:cs="宋体" w:eastAsia="宋体" w:hint="default"/>
          <w:sz w:val="20"/>
          <w:szCs w:val="20"/>
        </w:rPr>
      </w:pPr>
    </w:p>
    <w:p>
      <w:pPr>
        <w:pStyle w:val="BodyText"/>
        <w:spacing w:line="240" w:lineRule="auto"/>
        <w:ind w:left="138" w:right="0"/>
        <w:jc w:val="both"/>
      </w:pPr>
      <w:r>
        <w:rPr/>
        <w:t>衍生金融工具</w:t>
      </w:r>
    </w:p>
    <w:p>
      <w:pPr>
        <w:spacing w:after="0" w:line="240" w:lineRule="auto"/>
        <w:jc w:val="both"/>
        <w:sectPr>
          <w:footerReference w:type="default" r:id="rId63"/>
          <w:pgSz w:w="11910" w:h="16840"/>
          <w:pgMar w:footer="1195" w:header="857" w:top="1320" w:bottom="1380" w:left="1660" w:right="1120"/>
          <w:pgNumType w:start="102"/>
        </w:sectPr>
      </w:pPr>
    </w:p>
    <w:p>
      <w:pPr>
        <w:spacing w:line="240" w:lineRule="auto" w:before="0"/>
        <w:rPr>
          <w:rFonts w:ascii="宋体" w:hAnsi="宋体" w:cs="宋体" w:eastAsia="宋体" w:hint="default"/>
          <w:sz w:val="20"/>
          <w:szCs w:val="20"/>
        </w:rPr>
      </w:pPr>
    </w:p>
    <w:p>
      <w:pPr>
        <w:pStyle w:val="BodyText"/>
        <w:spacing w:line="237" w:lineRule="auto" w:before="170"/>
        <w:ind w:left="138" w:right="217"/>
        <w:jc w:val="both"/>
      </w:pPr>
      <w:r>
        <w:rPr>
          <w:spacing w:val="-2"/>
        </w:rPr>
        <w:t>本集团使用衍生金融工具，以远期外汇合同对汇率风险进行套期保值。衍生金融工具初始以衍生</w:t>
      </w:r>
      <w:r>
        <w:rPr>
          <w:spacing w:val="-25"/>
        </w:rPr>
        <w:t> </w:t>
      </w:r>
      <w:r>
        <w:rPr>
          <w:spacing w:val="-25"/>
        </w:rPr>
      </w:r>
      <w:r>
        <w:rPr>
          <w:spacing w:val="-2"/>
        </w:rPr>
        <w:t>交易合同签订当日的公允价值进行计量，并以其公允价值进行后续计量。公允价值为正数的衍生</w:t>
      </w:r>
      <w:r>
        <w:rPr>
          <w:spacing w:val="-25"/>
        </w:rPr>
        <w:t> </w:t>
      </w:r>
      <w:r>
        <w:rPr>
          <w:spacing w:val="-25"/>
        </w:rPr>
      </w:r>
      <w:r>
        <w:rPr>
          <w:spacing w:val="-2"/>
        </w:rPr>
        <w:t>金融工具确认为一项资产，公允价值为负数的确认为一项负债。但对于在活跃市场中没有报价且</w:t>
      </w:r>
      <w:r>
        <w:rPr>
          <w:spacing w:val="-25"/>
        </w:rPr>
        <w:t> </w:t>
      </w:r>
      <w:r>
        <w:rPr>
          <w:spacing w:val="-25"/>
        </w:rPr>
      </w:r>
      <w:r>
        <w:rPr>
          <w:spacing w:val="-2"/>
        </w:rPr>
        <w:t>其公允价值不能可靠计量的权益工具挂钩并须通过交付该权益工具结算的衍生金融工具，按成本</w:t>
      </w:r>
      <w:r>
        <w:rPr>
          <w:spacing w:val="-25"/>
        </w:rPr>
        <w:t> </w:t>
      </w:r>
      <w:r>
        <w:rPr>
          <w:spacing w:val="-25"/>
        </w:rPr>
      </w:r>
      <w:r>
        <w:rPr/>
        <w:t>计量。</w:t>
      </w:r>
    </w:p>
    <w:p>
      <w:pPr>
        <w:spacing w:line="240" w:lineRule="auto" w:before="10"/>
        <w:rPr>
          <w:rFonts w:ascii="宋体" w:hAnsi="宋体" w:cs="宋体" w:eastAsia="宋体" w:hint="default"/>
          <w:sz w:val="22"/>
          <w:szCs w:val="22"/>
        </w:rPr>
      </w:pPr>
    </w:p>
    <w:p>
      <w:pPr>
        <w:pStyle w:val="BodyText"/>
        <w:spacing w:line="272" w:lineRule="exact"/>
        <w:ind w:left="138" w:right="102"/>
        <w:jc w:val="left"/>
      </w:pPr>
      <w:r>
        <w:rPr>
          <w:spacing w:val="-2"/>
        </w:rPr>
        <w:t>除现金流量套期中属于有效套期的部分计入其他综合收益并于被套期项目影响损益时转出计入当</w:t>
      </w:r>
      <w:r>
        <w:rPr>
          <w:spacing w:val="-25"/>
        </w:rPr>
        <w:t> </w:t>
      </w:r>
      <w:r>
        <w:rPr>
          <w:spacing w:val="-25"/>
        </w:rPr>
      </w:r>
      <w:r>
        <w:rPr/>
        <w:t>期损益之外，衍生工具公允价值变动而产生的利得或损失，直接计入当期损益。</w:t>
      </w:r>
    </w:p>
    <w:p>
      <w:pPr>
        <w:spacing w:line="240" w:lineRule="auto" w:before="10"/>
        <w:rPr>
          <w:rFonts w:ascii="宋体" w:hAnsi="宋体" w:cs="宋体" w:eastAsia="宋体" w:hint="default"/>
          <w:sz w:val="18"/>
          <w:szCs w:val="18"/>
        </w:rPr>
      </w:pPr>
    </w:p>
    <w:p>
      <w:pPr>
        <w:pStyle w:val="BodyText"/>
        <w:spacing w:line="240" w:lineRule="auto"/>
        <w:ind w:left="138" w:right="102"/>
        <w:jc w:val="left"/>
      </w:pPr>
      <w:r>
        <w:rPr/>
        <w:t>金融资产减值</w:t>
      </w:r>
    </w:p>
    <w:p>
      <w:pPr>
        <w:spacing w:line="240" w:lineRule="auto" w:before="11"/>
        <w:rPr>
          <w:rFonts w:ascii="宋体" w:hAnsi="宋体" w:cs="宋体" w:eastAsia="宋体" w:hint="default"/>
          <w:sz w:val="20"/>
          <w:szCs w:val="20"/>
        </w:rPr>
      </w:pPr>
    </w:p>
    <w:p>
      <w:pPr>
        <w:pStyle w:val="BodyText"/>
        <w:spacing w:line="237" w:lineRule="auto"/>
        <w:ind w:left="138" w:right="102"/>
        <w:jc w:val="left"/>
      </w:pPr>
      <w:r>
        <w:rPr>
          <w:spacing w:val="-4"/>
          <w:w w:val="100"/>
        </w:rPr>
        <w:t>本集团于资产负债表日对金融资产的账面价值进行检查，有客观证据表明该金融资产发生减值的，</w:t>
      </w:r>
      <w:r>
        <w:rPr>
          <w:spacing w:val="-86"/>
          <w:w w:val="100"/>
        </w:rPr>
        <w:t> </w:t>
      </w:r>
      <w:r>
        <w:rPr>
          <w:spacing w:val="-86"/>
          <w:w w:val="100"/>
        </w:rPr>
      </w:r>
      <w:r>
        <w:rPr/>
        <w:t>计提减值准备。表明金融资产发生减值的客观证据，是指金融资产初始确认后实际发生的、对该</w:t>
      </w:r>
      <w:r>
        <w:rPr>
          <w:w w:val="100"/>
        </w:rPr>
        <w:t> </w:t>
      </w:r>
      <w:r>
        <w:rPr/>
        <w:t>金融资产的预计未来现金流量有影响，且企业能够对该影响进行可靠计量的事项。金融资产发生</w:t>
      </w:r>
      <w:r>
        <w:rPr>
          <w:w w:val="100"/>
        </w:rPr>
        <w:t> </w:t>
      </w:r>
      <w:r>
        <w:rPr>
          <w:spacing w:val="-4"/>
        </w:rPr>
        <w:t>减值的客观证据，包括发行人或债务人发生严重财务困难、债务人违反合同条款</w:t>
      </w:r>
      <w:r>
        <w:rPr>
          <w:rFonts w:ascii="宋体" w:hAnsi="宋体" w:cs="宋体" w:eastAsia="宋体" w:hint="default"/>
          <w:spacing w:val="-4"/>
        </w:rPr>
        <w:t>(</w:t>
      </w:r>
      <w:r>
        <w:rPr>
          <w:spacing w:val="-4"/>
        </w:rPr>
        <w:t>如偿付利息或本</w:t>
      </w:r>
      <w:r>
        <w:rPr>
          <w:spacing w:val="-35"/>
        </w:rPr>
        <w:t> </w:t>
      </w:r>
      <w:r>
        <w:rPr>
          <w:spacing w:val="-35"/>
        </w:rPr>
      </w:r>
      <w:r>
        <w:rPr>
          <w:spacing w:val="-4"/>
        </w:rPr>
        <w:t>金发生违约或逾期等</w:t>
      </w:r>
      <w:r>
        <w:rPr>
          <w:rFonts w:ascii="宋体" w:hAnsi="宋体" w:cs="宋体" w:eastAsia="宋体" w:hint="default"/>
          <w:spacing w:val="-4"/>
        </w:rPr>
        <w:t>)</w:t>
      </w:r>
      <w:r>
        <w:rPr>
          <w:spacing w:val="-4"/>
        </w:rPr>
        <w:t>、债务人很可能倒闭或进行其他财务重组，以及公开的数据显示预计未来现</w:t>
      </w:r>
      <w:r>
        <w:rPr>
          <w:spacing w:val="-32"/>
        </w:rPr>
        <w:t> </w:t>
      </w:r>
      <w:r>
        <w:rPr>
          <w:spacing w:val="-32"/>
        </w:rPr>
      </w:r>
      <w:r>
        <w:rPr/>
        <w:t>金流量确已减少且可计量。</w:t>
      </w:r>
    </w:p>
    <w:p>
      <w:pPr>
        <w:spacing w:line="240" w:lineRule="auto" w:before="9"/>
        <w:rPr>
          <w:rFonts w:ascii="宋体" w:hAnsi="宋体" w:cs="宋体" w:eastAsia="宋体" w:hint="default"/>
          <w:sz w:val="20"/>
          <w:szCs w:val="20"/>
        </w:rPr>
      </w:pPr>
    </w:p>
    <w:p>
      <w:pPr>
        <w:pStyle w:val="BodyText"/>
        <w:spacing w:line="237" w:lineRule="auto"/>
        <w:ind w:left="138" w:right="102"/>
        <w:jc w:val="left"/>
      </w:pPr>
      <w:r>
        <w:rPr/>
        <w:t>以摊余成本计量的金融资产</w:t>
      </w:r>
      <w:r>
        <w:rPr>
          <w:w w:val="100"/>
        </w:rPr>
        <w:t> </w:t>
      </w:r>
      <w:r>
        <w:rPr>
          <w:spacing w:val="-4"/>
          <w:w w:val="100"/>
        </w:rPr>
        <w:t>发生减值时，将该金融资产的账面通过备抵项目价值减记至预计未来现金流量</w:t>
      </w:r>
      <w:r>
        <w:rPr>
          <w:rFonts w:ascii="宋体" w:hAnsi="宋体" w:cs="宋体" w:eastAsia="宋体" w:hint="default"/>
          <w:spacing w:val="-4"/>
          <w:w w:val="100"/>
        </w:rPr>
        <w:t>(</w:t>
      </w:r>
      <w:r>
        <w:rPr>
          <w:spacing w:val="-4"/>
          <w:w w:val="100"/>
        </w:rPr>
        <w:t>不包括尚未发生的</w:t>
      </w:r>
      <w:r>
        <w:rPr>
          <w:spacing w:val="-84"/>
          <w:w w:val="100"/>
        </w:rPr>
        <w:t> </w:t>
      </w:r>
      <w:r>
        <w:rPr>
          <w:spacing w:val="-84"/>
          <w:w w:val="100"/>
        </w:rPr>
      </w:r>
      <w:r>
        <w:rPr>
          <w:spacing w:val="-4"/>
        </w:rPr>
        <w:t>未来信用损失</w:t>
      </w:r>
      <w:r>
        <w:rPr>
          <w:rFonts w:ascii="宋体" w:hAnsi="宋体" w:cs="宋体" w:eastAsia="宋体" w:hint="default"/>
          <w:spacing w:val="-4"/>
        </w:rPr>
        <w:t>)</w:t>
      </w:r>
      <w:r>
        <w:rPr>
          <w:spacing w:val="-4"/>
        </w:rPr>
        <w:t>现值，减记金额计入当期损益。预计未来现金流量现值，按照该金融资产原实际利</w:t>
      </w:r>
      <w:r>
        <w:rPr>
          <w:spacing w:val="-33"/>
        </w:rPr>
        <w:t> </w:t>
      </w:r>
      <w:r>
        <w:rPr>
          <w:spacing w:val="-33"/>
        </w:rPr>
      </w:r>
      <w:r>
        <w:rPr>
          <w:spacing w:val="-2"/>
        </w:rPr>
        <w:t>率</w:t>
      </w:r>
      <w:r>
        <w:rPr>
          <w:rFonts w:ascii="宋体" w:hAnsi="宋体" w:cs="宋体" w:eastAsia="宋体" w:hint="default"/>
          <w:spacing w:val="-2"/>
        </w:rPr>
        <w:t>(</w:t>
      </w:r>
      <w:r>
        <w:rPr>
          <w:spacing w:val="-2"/>
        </w:rPr>
        <w:t>即初始确认时确定的实际利率</w:t>
      </w:r>
      <w:r>
        <w:rPr>
          <w:rFonts w:ascii="宋体" w:hAnsi="宋体" w:cs="宋体" w:eastAsia="宋体" w:hint="default"/>
          <w:spacing w:val="-2"/>
        </w:rPr>
        <w:t>)</w:t>
      </w:r>
      <w:r>
        <w:rPr>
          <w:spacing w:val="-2"/>
        </w:rPr>
        <w:t>折现确定，并考虑相关担保物的价值。减值后利息收入按照确</w:t>
      </w:r>
      <w:r>
        <w:rPr>
          <w:spacing w:val="-30"/>
        </w:rPr>
        <w:t> </w:t>
      </w:r>
      <w:r>
        <w:rPr>
          <w:spacing w:val="-30"/>
        </w:rPr>
      </w:r>
      <w:r>
        <w:rPr>
          <w:spacing w:val="-2"/>
        </w:rPr>
        <w:t>定减值损失时对未来现金流量进行折现采用的折现率作为利率计算确认。对于贷款和应收款项，</w:t>
      </w:r>
      <w:r>
        <w:rPr>
          <w:spacing w:val="-25"/>
        </w:rPr>
        <w:t> </w:t>
      </w:r>
      <w:r>
        <w:rPr>
          <w:spacing w:val="-25"/>
        </w:rPr>
      </w:r>
      <w:r>
        <w:rPr>
          <w:spacing w:val="-2"/>
        </w:rPr>
        <w:t>如果没有未来收回的现实预期且所有抵押品均已变现或已转入本集团，则转销贷款和应收款项以</w:t>
      </w:r>
      <w:r>
        <w:rPr>
          <w:spacing w:val="-25"/>
        </w:rPr>
        <w:t> </w:t>
      </w:r>
      <w:r>
        <w:rPr>
          <w:spacing w:val="-25"/>
        </w:rPr>
      </w:r>
      <w:r>
        <w:rPr/>
        <w:t>及与之相关的减值准备。</w:t>
      </w:r>
    </w:p>
    <w:p>
      <w:pPr>
        <w:spacing w:line="240" w:lineRule="auto" w:before="11"/>
        <w:rPr>
          <w:rFonts w:ascii="宋体" w:hAnsi="宋体" w:cs="宋体" w:eastAsia="宋体" w:hint="default"/>
          <w:sz w:val="20"/>
          <w:szCs w:val="20"/>
        </w:rPr>
      </w:pPr>
    </w:p>
    <w:p>
      <w:pPr>
        <w:pStyle w:val="BodyText"/>
        <w:spacing w:line="237" w:lineRule="auto"/>
        <w:ind w:left="138" w:right="102"/>
        <w:jc w:val="both"/>
      </w:pPr>
      <w:r>
        <w:rPr>
          <w:spacing w:val="-6"/>
          <w:w w:val="100"/>
        </w:rPr>
        <w:t>对单项金额重大的金融资产单独进行减值测试，如有客观证据表明其已发生减值，确认减值损失，</w:t>
      </w:r>
      <w:r>
        <w:rPr>
          <w:w w:val="100"/>
        </w:rPr>
        <w:t> </w:t>
      </w:r>
      <w:r>
        <w:rPr/>
        <w:t>计入当期损益。对单项金额不重大的金融资产，包括在具有类似信用风险特征的金融资产组合中</w:t>
      </w:r>
      <w:r>
        <w:rPr>
          <w:w w:val="100"/>
        </w:rPr>
        <w:t> </w:t>
      </w:r>
      <w:r>
        <w:rPr/>
        <w:t>进行减值测试。单独测试未发生减值的金融资产</w:t>
      </w:r>
      <w:r>
        <w:rPr>
          <w:rFonts w:ascii="宋体" w:hAnsi="宋体" w:cs="宋体" w:eastAsia="宋体" w:hint="default"/>
        </w:rPr>
        <w:t>(</w:t>
      </w:r>
      <w:r>
        <w:rPr/>
        <w:t>包括单项金额重大和不重大的金融资产</w:t>
      </w:r>
      <w:r>
        <w:rPr>
          <w:rFonts w:ascii="宋体" w:hAnsi="宋体" w:cs="宋体" w:eastAsia="宋体" w:hint="default"/>
        </w:rPr>
        <w:t>)</w:t>
      </w:r>
      <w:r>
        <w:rPr/>
        <w:t>，包括</w:t>
      </w:r>
      <w:r>
        <w:rPr>
          <w:w w:val="100"/>
        </w:rPr>
        <w:t> </w:t>
      </w:r>
      <w:r>
        <w:rPr/>
        <w:t>在具有类似信用风险特征的金融资产组合中再进行减值测试。已单项确认减值损失的金融资产，</w:t>
      </w:r>
      <w:r>
        <w:rPr>
          <w:w w:val="100"/>
        </w:rPr>
        <w:t> </w:t>
      </w:r>
      <w:r>
        <w:rPr/>
        <w:t>不包括在具有类似信用风险特征的金融资产组合中进行减值测试。</w:t>
      </w:r>
    </w:p>
    <w:p>
      <w:pPr>
        <w:spacing w:line="240" w:lineRule="auto" w:before="11"/>
        <w:rPr>
          <w:rFonts w:ascii="宋体" w:hAnsi="宋体" w:cs="宋体" w:eastAsia="宋体" w:hint="default"/>
          <w:sz w:val="20"/>
          <w:szCs w:val="20"/>
        </w:rPr>
      </w:pPr>
    </w:p>
    <w:p>
      <w:pPr>
        <w:pStyle w:val="BodyText"/>
        <w:spacing w:line="237" w:lineRule="auto"/>
        <w:ind w:left="138" w:right="102"/>
        <w:jc w:val="left"/>
      </w:pPr>
      <w:r>
        <w:rPr>
          <w:spacing w:val="-4"/>
          <w:w w:val="100"/>
        </w:rPr>
        <w:t>本集团对以摊余成本计量的金融资产确认减值损失后，如有客观证据表明该金融资产价值已恢复，</w:t>
      </w:r>
      <w:r>
        <w:rPr>
          <w:spacing w:val="-85"/>
          <w:w w:val="100"/>
        </w:rPr>
        <w:t> </w:t>
      </w:r>
      <w:r>
        <w:rPr>
          <w:spacing w:val="-85"/>
          <w:w w:val="100"/>
        </w:rPr>
      </w:r>
      <w:r>
        <w:rPr/>
        <w:t>且客观上与确认该损失后发生事项有关，原确认减值损失予以转入当期损益。但该转回后的账面</w:t>
      </w:r>
      <w:r>
        <w:rPr>
          <w:w w:val="100"/>
        </w:rPr>
        <w:t> </w:t>
      </w:r>
      <w:r>
        <w:rPr/>
        <w:t>价值不超过假定不计提减值准备情况下该金融资产在转回日的摊余成本。</w:t>
      </w:r>
    </w:p>
    <w:p>
      <w:pPr>
        <w:spacing w:line="240" w:lineRule="auto" w:before="12"/>
        <w:rPr>
          <w:rFonts w:ascii="宋体" w:hAnsi="宋体" w:cs="宋体" w:eastAsia="宋体" w:hint="default"/>
          <w:sz w:val="20"/>
          <w:szCs w:val="20"/>
        </w:rPr>
      </w:pPr>
    </w:p>
    <w:p>
      <w:pPr>
        <w:pStyle w:val="BodyText"/>
        <w:spacing w:line="237" w:lineRule="auto"/>
        <w:ind w:left="138" w:right="102"/>
        <w:jc w:val="left"/>
      </w:pPr>
      <w:r>
        <w:rPr/>
        <w:t>可供出售金融资产</w:t>
      </w:r>
      <w:r>
        <w:rPr>
          <w:w w:val="100"/>
        </w:rPr>
        <w:t> </w:t>
      </w:r>
      <w:r>
        <w:rPr>
          <w:spacing w:val="-2"/>
        </w:rPr>
        <w:t>如果有客观证据表明该金融资产发生减值，原计入其他综合收益的因公允价值下降形成的累计损</w:t>
      </w:r>
      <w:r>
        <w:rPr>
          <w:spacing w:val="-25"/>
        </w:rPr>
        <w:t> </w:t>
      </w:r>
      <w:r>
        <w:rPr>
          <w:spacing w:val="-25"/>
        </w:rPr>
      </w:r>
      <w:r>
        <w:rPr>
          <w:spacing w:val="-2"/>
        </w:rPr>
        <w:t>失，予以转出，计入当期损益。该转出的累计损失，为可供出售金融资产的初始取得成本扣除已</w:t>
      </w:r>
      <w:r>
        <w:rPr>
          <w:spacing w:val="-25"/>
        </w:rPr>
        <w:t> </w:t>
      </w:r>
      <w:r>
        <w:rPr>
          <w:spacing w:val="-25"/>
        </w:rPr>
      </w:r>
      <w:r>
        <w:rPr/>
        <w:t>收回本金和已摊销金额、当前公允价值和原已计入损益的减值损失后的余额。</w:t>
      </w:r>
    </w:p>
    <w:p>
      <w:pPr>
        <w:spacing w:line="240" w:lineRule="auto" w:before="11"/>
        <w:rPr>
          <w:rFonts w:ascii="宋体" w:hAnsi="宋体" w:cs="宋体" w:eastAsia="宋体" w:hint="default"/>
          <w:sz w:val="20"/>
          <w:szCs w:val="20"/>
        </w:rPr>
      </w:pPr>
    </w:p>
    <w:p>
      <w:pPr>
        <w:pStyle w:val="BodyText"/>
        <w:spacing w:line="237" w:lineRule="auto"/>
        <w:ind w:left="138" w:right="217"/>
        <w:jc w:val="both"/>
      </w:pPr>
      <w:r>
        <w:rPr>
          <w:spacing w:val="-2"/>
        </w:rPr>
        <w:t>可供出售权益工具投资发生减值的客观证据，包括公允价值发生严重或非暂时性下跌。“严重”</w:t>
      </w:r>
      <w:r>
        <w:rPr>
          <w:spacing w:val="-25"/>
        </w:rPr>
        <w:t> </w:t>
      </w:r>
      <w:r>
        <w:rPr>
          <w:spacing w:val="-25"/>
        </w:rPr>
      </w:r>
      <w:r>
        <w:rPr>
          <w:spacing w:val="-2"/>
        </w:rPr>
        <w:t>根据公允价值低于成本的程度进行判断，“非暂时性”根据公允价值低于成本的期间长短进行判</w:t>
      </w:r>
      <w:r>
        <w:rPr>
          <w:spacing w:val="-25"/>
        </w:rPr>
        <w:t> </w:t>
      </w:r>
      <w:r>
        <w:rPr>
          <w:spacing w:val="-25"/>
        </w:rPr>
      </w:r>
      <w:r>
        <w:rPr>
          <w:spacing w:val="-2"/>
        </w:rPr>
        <w:t>断。存在发生减值的客观证据的，转出的累计损失，为取得成本扣除当前公允价值和原已计入损</w:t>
      </w:r>
      <w:r>
        <w:rPr>
          <w:spacing w:val="-25"/>
        </w:rPr>
        <w:t> </w:t>
      </w:r>
      <w:r>
        <w:rPr>
          <w:spacing w:val="-25"/>
        </w:rPr>
      </w:r>
      <w:r>
        <w:rPr>
          <w:spacing w:val="-2"/>
        </w:rPr>
        <w:t>益的减值损失后的余额。可供出售权益工具投资发生的减值损失，不通过损益转回，减值之后发</w:t>
      </w:r>
      <w:r>
        <w:rPr>
          <w:spacing w:val="-25"/>
        </w:rPr>
        <w:t> </w:t>
      </w:r>
      <w:r>
        <w:rPr>
          <w:spacing w:val="-25"/>
        </w:rPr>
      </w:r>
      <w:r>
        <w:rPr/>
        <w:t>生的公允价值增加直接在其他综合收益中确认。</w:t>
      </w:r>
    </w:p>
    <w:p>
      <w:pPr>
        <w:spacing w:line="240" w:lineRule="auto" w:before="9"/>
        <w:rPr>
          <w:rFonts w:ascii="宋体" w:hAnsi="宋体" w:cs="宋体" w:eastAsia="宋体" w:hint="default"/>
          <w:sz w:val="20"/>
          <w:szCs w:val="20"/>
        </w:rPr>
      </w:pPr>
    </w:p>
    <w:p>
      <w:pPr>
        <w:pStyle w:val="BodyText"/>
        <w:spacing w:line="240" w:lineRule="auto"/>
        <w:ind w:left="138" w:right="102"/>
        <w:jc w:val="left"/>
      </w:pPr>
      <w:r>
        <w:rPr>
          <w:spacing w:val="-2"/>
        </w:rPr>
        <w:t>在确定何谓“严重”或“非暂时性”时，需要进行判断。本集团根据公允价值低于成本的程度或</w:t>
      </w:r>
      <w:r>
        <w:rPr>
          <w:spacing w:val="-25"/>
        </w:rPr>
        <w:t> </w:t>
      </w:r>
      <w:r>
        <w:rPr>
          <w:spacing w:val="-25"/>
        </w:rPr>
      </w:r>
      <w:r>
        <w:rPr/>
        <w:t>期间长短，结合其他因素进行判断。</w:t>
      </w:r>
    </w:p>
    <w:p>
      <w:pPr>
        <w:spacing w:after="0" w:line="240" w:lineRule="auto"/>
        <w:jc w:val="left"/>
        <w:sectPr>
          <w:pgSz w:w="11910" w:h="16840"/>
          <w:pgMar w:header="857" w:footer="1195" w:top="1320" w:bottom="1380" w:left="1660" w:right="1060"/>
        </w:sectPr>
      </w:pPr>
    </w:p>
    <w:p>
      <w:pPr>
        <w:spacing w:line="240" w:lineRule="auto" w:before="0"/>
        <w:rPr>
          <w:rFonts w:ascii="宋体" w:hAnsi="宋体" w:cs="宋体" w:eastAsia="宋体" w:hint="default"/>
          <w:sz w:val="20"/>
          <w:szCs w:val="20"/>
        </w:rPr>
      </w:pPr>
    </w:p>
    <w:p>
      <w:pPr>
        <w:pStyle w:val="BodyText"/>
        <w:spacing w:line="237" w:lineRule="auto" w:before="170"/>
        <w:ind w:right="237"/>
        <w:jc w:val="both"/>
      </w:pPr>
      <w:r>
        <w:rPr>
          <w:spacing w:val="-2"/>
        </w:rPr>
        <w:t>对于可供出售债务工具投资，其减值按照与以摊余成本计量的金融资产相同的方法评估。不过，</w:t>
      </w:r>
      <w:r>
        <w:rPr>
          <w:spacing w:val="-25"/>
        </w:rPr>
        <w:t> </w:t>
      </w:r>
      <w:r>
        <w:rPr>
          <w:spacing w:val="-25"/>
        </w:rPr>
      </w:r>
      <w:r>
        <w:rPr>
          <w:spacing w:val="-2"/>
        </w:rPr>
        <w:t>转出的累计损失，为摊余成本扣除当前公允价值和原已计入损益的减值损失后的余额。减值后利</w:t>
      </w:r>
      <w:r>
        <w:rPr>
          <w:spacing w:val="-25"/>
        </w:rPr>
        <w:t> </w:t>
      </w:r>
      <w:r>
        <w:rPr>
          <w:spacing w:val="-25"/>
        </w:rPr>
      </w:r>
      <w:r>
        <w:rPr/>
        <w:t>息收入按照确定减值损失时对未来现金流量进行折现采用的折现率作为利率计算确认。</w:t>
      </w:r>
    </w:p>
    <w:p>
      <w:pPr>
        <w:spacing w:line="240" w:lineRule="auto" w:before="10"/>
        <w:rPr>
          <w:rFonts w:ascii="宋体" w:hAnsi="宋体" w:cs="宋体" w:eastAsia="宋体" w:hint="default"/>
          <w:sz w:val="22"/>
          <w:szCs w:val="22"/>
        </w:rPr>
      </w:pPr>
    </w:p>
    <w:p>
      <w:pPr>
        <w:pStyle w:val="BodyText"/>
        <w:spacing w:line="272" w:lineRule="exact"/>
        <w:ind w:right="237"/>
        <w:jc w:val="both"/>
      </w:pPr>
      <w:r>
        <w:rPr>
          <w:spacing w:val="-2"/>
        </w:rPr>
        <w:t>对于已确认减值损失的可供出售债务工具，在随后的会计期间公允价值已上升且客观上与确认原</w:t>
      </w:r>
      <w:r>
        <w:rPr>
          <w:spacing w:val="-25"/>
        </w:rPr>
        <w:t> </w:t>
      </w:r>
      <w:r>
        <w:rPr>
          <w:spacing w:val="-25"/>
        </w:rPr>
      </w:r>
      <w:r>
        <w:rPr/>
        <w:t>减值损失确认后发生的事项有关的，原确认的减值损失予以转回，计入当期损益。</w:t>
      </w:r>
    </w:p>
    <w:p>
      <w:pPr>
        <w:spacing w:line="240" w:lineRule="auto" w:before="12"/>
        <w:rPr>
          <w:rFonts w:ascii="宋体" w:hAnsi="宋体" w:cs="宋体" w:eastAsia="宋体" w:hint="default"/>
          <w:sz w:val="18"/>
          <w:szCs w:val="18"/>
        </w:rPr>
      </w:pPr>
    </w:p>
    <w:p>
      <w:pPr>
        <w:pStyle w:val="BodyText"/>
        <w:spacing w:line="237" w:lineRule="auto"/>
        <w:ind w:right="99"/>
        <w:jc w:val="left"/>
      </w:pPr>
      <w:r>
        <w:rPr/>
        <w:t>以成本计量的金融资产</w:t>
      </w:r>
      <w:r>
        <w:rPr>
          <w:w w:val="100"/>
        </w:rPr>
        <w:t> </w:t>
      </w:r>
      <w:r>
        <w:rPr>
          <w:spacing w:val="-2"/>
        </w:rPr>
        <w:t>如果有客观证据表明该金融资产发生减值，将该金融资产的账面价值，与按照类似金融资产当时</w:t>
      </w:r>
      <w:r>
        <w:rPr>
          <w:spacing w:val="-25"/>
        </w:rPr>
        <w:t> </w:t>
      </w:r>
      <w:r>
        <w:rPr>
          <w:spacing w:val="-25"/>
        </w:rPr>
      </w:r>
      <w:r>
        <w:rPr>
          <w:spacing w:val="-2"/>
        </w:rPr>
        <w:t>市场收益率对未来现金流量折现确定的现值之间的差额，确认为减值损失，计入当期损益。发生</w:t>
      </w:r>
      <w:r>
        <w:rPr>
          <w:spacing w:val="-25"/>
        </w:rPr>
        <w:t> </w:t>
      </w:r>
      <w:r>
        <w:rPr>
          <w:spacing w:val="-25"/>
        </w:rPr>
      </w:r>
      <w:r>
        <w:rPr/>
        <w:t>的减值损失一经确认，不再转回。</w:t>
      </w:r>
    </w:p>
    <w:p>
      <w:pPr>
        <w:spacing w:line="240" w:lineRule="auto" w:before="9"/>
        <w:rPr>
          <w:rFonts w:ascii="宋体" w:hAnsi="宋体" w:cs="宋体" w:eastAsia="宋体" w:hint="default"/>
          <w:sz w:val="20"/>
          <w:szCs w:val="20"/>
        </w:rPr>
      </w:pPr>
    </w:p>
    <w:p>
      <w:pPr>
        <w:pStyle w:val="BodyText"/>
        <w:spacing w:line="240" w:lineRule="auto"/>
        <w:ind w:right="0"/>
        <w:jc w:val="both"/>
      </w:pPr>
      <w:r>
        <w:rPr/>
        <w:t>金融资产转移</w:t>
      </w:r>
    </w:p>
    <w:p>
      <w:pPr>
        <w:spacing w:line="240" w:lineRule="auto" w:before="10"/>
        <w:rPr>
          <w:rFonts w:ascii="宋体" w:hAnsi="宋体" w:cs="宋体" w:eastAsia="宋体" w:hint="default"/>
          <w:sz w:val="22"/>
          <w:szCs w:val="22"/>
        </w:rPr>
      </w:pPr>
    </w:p>
    <w:p>
      <w:pPr>
        <w:pStyle w:val="BodyText"/>
        <w:spacing w:line="272" w:lineRule="exact"/>
        <w:ind w:right="237"/>
        <w:jc w:val="both"/>
      </w:pPr>
      <w:r>
        <w:rPr>
          <w:spacing w:val="-2"/>
        </w:rPr>
        <w:t>本集团已将金融资产所有权上几乎所有的风险和报酬转移给转入方的，终止确认该金融资产；保</w:t>
      </w:r>
      <w:r>
        <w:rPr>
          <w:spacing w:val="-25"/>
        </w:rPr>
        <w:t> </w:t>
      </w:r>
      <w:r>
        <w:rPr>
          <w:spacing w:val="-25"/>
        </w:rPr>
      </w:r>
      <w:r>
        <w:rPr/>
        <w:t>留了金融资产所有权上几乎所有的风险和报酬的，不终止确认该金融资产。</w:t>
      </w:r>
    </w:p>
    <w:p>
      <w:pPr>
        <w:spacing w:line="240" w:lineRule="auto" w:before="12"/>
        <w:rPr>
          <w:rFonts w:ascii="宋体" w:hAnsi="宋体" w:cs="宋体" w:eastAsia="宋体" w:hint="default"/>
          <w:sz w:val="18"/>
          <w:szCs w:val="18"/>
        </w:rPr>
      </w:pPr>
    </w:p>
    <w:p>
      <w:pPr>
        <w:pStyle w:val="BodyText"/>
        <w:spacing w:line="237" w:lineRule="auto"/>
        <w:ind w:right="237"/>
        <w:jc w:val="both"/>
      </w:pPr>
      <w:r>
        <w:rPr>
          <w:spacing w:val="-2"/>
        </w:rPr>
        <w:t>本集团既没有转移也没有保留金融资产所有权上几乎所有的风险和报酬的，分别下列情况处理：</w:t>
      </w:r>
      <w:r>
        <w:rPr>
          <w:spacing w:val="-25"/>
        </w:rPr>
        <w:t> </w:t>
      </w:r>
      <w:r>
        <w:rPr>
          <w:spacing w:val="-25"/>
        </w:rPr>
      </w:r>
      <w:r>
        <w:rPr>
          <w:spacing w:val="-2"/>
        </w:rPr>
        <w:t>放弃了对该金融资产控制的，终止确认该金融资产并确认产生的资产和负债；未放弃对该金融资</w:t>
      </w:r>
      <w:r>
        <w:rPr>
          <w:spacing w:val="-25"/>
        </w:rPr>
        <w:t> </w:t>
      </w:r>
      <w:r>
        <w:rPr>
          <w:spacing w:val="-25"/>
        </w:rPr>
      </w:r>
      <w:r>
        <w:rPr/>
        <w:t>产控制的，按照其继续涉入所转移金融资产的程度确认有关金融资产，并相应确认有关负债。</w:t>
      </w:r>
    </w:p>
    <w:p>
      <w:pPr>
        <w:spacing w:line="240" w:lineRule="auto" w:before="11"/>
        <w:rPr>
          <w:rFonts w:ascii="宋体" w:hAnsi="宋体" w:cs="宋体" w:eastAsia="宋体" w:hint="default"/>
          <w:sz w:val="20"/>
          <w:szCs w:val="20"/>
        </w:rPr>
      </w:pPr>
    </w:p>
    <w:p>
      <w:pPr>
        <w:pStyle w:val="BodyText"/>
        <w:spacing w:line="237" w:lineRule="auto"/>
        <w:ind w:right="237"/>
        <w:jc w:val="both"/>
      </w:pPr>
      <w:r>
        <w:rPr>
          <w:spacing w:val="-2"/>
        </w:rPr>
        <w:t>通过对所转移金融资产提供财务担保方式继续涉入的，按照金融资产的账面价值和财务担保金额</w:t>
      </w:r>
      <w:r>
        <w:rPr>
          <w:spacing w:val="-25"/>
        </w:rPr>
        <w:t> </w:t>
      </w:r>
      <w:r>
        <w:rPr>
          <w:spacing w:val="-25"/>
        </w:rPr>
      </w:r>
      <w:r>
        <w:rPr>
          <w:spacing w:val="-2"/>
        </w:rPr>
        <w:t>两者之中的较低者，确认继续涉入形成的资产。财务担保金额，是指所收到的对价中，将被要求</w:t>
      </w:r>
      <w:r>
        <w:rPr>
          <w:spacing w:val="-25"/>
        </w:rPr>
        <w:t> </w:t>
      </w:r>
      <w:r>
        <w:rPr>
          <w:spacing w:val="-25"/>
        </w:rPr>
      </w:r>
      <w:r>
        <w:rPr/>
        <w:t>偿还的最高金额。</w:t>
      </w:r>
    </w:p>
    <w:p>
      <w:pPr>
        <w:spacing w:line="240" w:lineRule="auto" w:before="3"/>
        <w:rPr>
          <w:rFonts w:ascii="宋体" w:hAnsi="宋体" w:cs="宋体" w:eastAsia="宋体" w:hint="default"/>
          <w:sz w:val="25"/>
          <w:szCs w:val="25"/>
        </w:rPr>
      </w:pPr>
    </w:p>
    <w:p>
      <w:pPr>
        <w:pStyle w:val="Heading3"/>
        <w:spacing w:line="290" w:lineRule="auto"/>
        <w:ind w:right="4408"/>
        <w:jc w:val="left"/>
        <w:rPr>
          <w:b w:val="0"/>
          <w:bCs w:val="0"/>
        </w:rPr>
      </w:pPr>
      <w:r>
        <w:rPr>
          <w:rFonts w:ascii="宋体" w:hAnsi="宋体" w:cs="宋体" w:eastAsia="宋体" w:hint="default"/>
        </w:rPr>
        <w:t>11.</w:t>
      </w:r>
      <w:r>
        <w:rPr>
          <w:rFonts w:ascii="宋体" w:hAnsi="宋体" w:cs="宋体" w:eastAsia="宋体" w:hint="default"/>
          <w:spacing w:val="2"/>
        </w:rPr>
        <w:t> </w:t>
      </w:r>
      <w:r>
        <w:rPr/>
        <w:t>应收款项</w:t>
      </w:r>
      <w:r>
        <w:rPr>
          <w:w w:val="100"/>
        </w:rPr>
        <w:t> </w:t>
      </w:r>
      <w:r>
        <w:rPr>
          <w:rFonts w:ascii="宋体" w:hAnsi="宋体" w:cs="宋体" w:eastAsia="宋体" w:hint="default"/>
        </w:rPr>
        <w:t>(1).</w:t>
      </w:r>
      <w:r>
        <w:rPr/>
        <w:t>单项金额重大并单独计提坏账准备的应收款项</w:t>
      </w:r>
      <w:r>
        <w:rPr>
          <w:b w:val="0"/>
          <w:bCs w:val="0"/>
        </w:rPr>
      </w:r>
    </w:p>
    <w:p>
      <w:pPr>
        <w:pStyle w:val="BodyText"/>
        <w:spacing w:line="240" w:lineRule="auto" w:before="14"/>
        <w:ind w:right="0"/>
        <w:jc w:val="both"/>
      </w:pPr>
      <w:r>
        <w:rPr/>
        <w:t>√适用</w:t>
      </w:r>
      <w:r>
        <w:rPr>
          <w:spacing w:val="-1"/>
        </w:rPr>
        <w:t> </w:t>
      </w:r>
      <w:r>
        <w:rPr/>
        <w:t>□不适用</w:t>
      </w: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4582"/>
        <w:gridCol w:w="4467"/>
      </w:tblGrid>
      <w:tr>
        <w:trPr>
          <w:trHeight w:val="283" w:hRule="exact"/>
        </w:trPr>
        <w:tc>
          <w:tcPr>
            <w:tcW w:w="45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单项金额重大的判断依据或金额标准</w:t>
            </w:r>
          </w:p>
        </w:tc>
        <w:tc>
          <w:tcPr>
            <w:tcW w:w="44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人民币</w:t>
            </w:r>
            <w:r>
              <w:rPr>
                <w:rFonts w:ascii="宋体" w:hAnsi="宋体" w:cs="宋体" w:eastAsia="宋体" w:hint="default"/>
                <w:spacing w:val="-53"/>
                <w:sz w:val="21"/>
                <w:szCs w:val="21"/>
              </w:rPr>
              <w:t> </w:t>
            </w:r>
            <w:r>
              <w:rPr>
                <w:rFonts w:ascii="宋体" w:hAnsi="宋体" w:cs="宋体" w:eastAsia="宋体" w:hint="default"/>
                <w:sz w:val="21"/>
                <w:szCs w:val="21"/>
              </w:rPr>
              <w:t>2,000,000</w:t>
            </w:r>
            <w:r>
              <w:rPr>
                <w:rFonts w:ascii="宋体" w:hAnsi="宋体" w:cs="宋体" w:eastAsia="宋体" w:hint="default"/>
                <w:spacing w:val="-53"/>
                <w:sz w:val="21"/>
                <w:szCs w:val="21"/>
              </w:rPr>
              <w:t> </w:t>
            </w:r>
            <w:r>
              <w:rPr>
                <w:rFonts w:ascii="宋体" w:hAnsi="宋体" w:cs="宋体" w:eastAsia="宋体" w:hint="default"/>
                <w:sz w:val="21"/>
                <w:szCs w:val="21"/>
              </w:rPr>
              <w:t>元以上</w:t>
            </w:r>
          </w:p>
        </w:tc>
      </w:tr>
      <w:tr>
        <w:trPr>
          <w:trHeight w:val="1918" w:hRule="exact"/>
        </w:trPr>
        <w:tc>
          <w:tcPr>
            <w:tcW w:w="45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单项金额重大并单项计提坏账准备的计提方法</w:t>
            </w:r>
          </w:p>
        </w:tc>
        <w:tc>
          <w:tcPr>
            <w:tcW w:w="446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对单项金额重大</w:t>
            </w:r>
            <w:r>
              <w:rPr>
                <w:rFonts w:ascii="宋体" w:hAnsi="宋体" w:cs="宋体" w:eastAsia="宋体" w:hint="default"/>
                <w:sz w:val="21"/>
                <w:szCs w:val="21"/>
              </w:rPr>
              <w:t>(</w:t>
            </w:r>
            <w:r>
              <w:rPr>
                <w:rFonts w:ascii="宋体" w:hAnsi="宋体" w:cs="宋体" w:eastAsia="宋体" w:hint="default"/>
                <w:sz w:val="21"/>
                <w:szCs w:val="21"/>
              </w:rPr>
              <w:t>人民币</w:t>
            </w:r>
            <w:r>
              <w:rPr>
                <w:rFonts w:ascii="宋体" w:hAnsi="宋体" w:cs="宋体" w:eastAsia="宋体" w:hint="default"/>
                <w:spacing w:val="-55"/>
                <w:sz w:val="21"/>
                <w:szCs w:val="21"/>
              </w:rPr>
              <w:t> </w:t>
            </w:r>
            <w:r>
              <w:rPr>
                <w:rFonts w:ascii="宋体" w:hAnsi="宋体" w:cs="宋体" w:eastAsia="宋体" w:hint="default"/>
                <w:sz w:val="21"/>
                <w:szCs w:val="21"/>
              </w:rPr>
              <w:t>2,000,000</w:t>
            </w:r>
            <w:r>
              <w:rPr>
                <w:rFonts w:ascii="宋体" w:hAnsi="宋体" w:cs="宋体" w:eastAsia="宋体" w:hint="default"/>
                <w:spacing w:val="-55"/>
                <w:sz w:val="21"/>
                <w:szCs w:val="21"/>
              </w:rPr>
              <w:t> </w:t>
            </w:r>
            <w:r>
              <w:rPr>
                <w:rFonts w:ascii="宋体" w:hAnsi="宋体" w:cs="宋体" w:eastAsia="宋体" w:hint="default"/>
                <w:sz w:val="21"/>
                <w:szCs w:val="21"/>
              </w:rPr>
              <w:t>元以上</w:t>
            </w:r>
            <w:r>
              <w:rPr>
                <w:rFonts w:ascii="宋体" w:hAnsi="宋体" w:cs="宋体" w:eastAsia="宋体" w:hint="default"/>
                <w:sz w:val="21"/>
                <w:szCs w:val="21"/>
              </w:rPr>
              <w:t>)</w:t>
            </w:r>
            <w:r>
              <w:rPr>
                <w:rFonts w:ascii="宋体" w:hAnsi="宋体" w:cs="宋体" w:eastAsia="宋体" w:hint="default"/>
                <w:sz w:val="21"/>
                <w:szCs w:val="21"/>
              </w:rPr>
              <w:t>的</w:t>
            </w:r>
          </w:p>
          <w:p>
            <w:pPr>
              <w:pStyle w:val="TableParagraph"/>
              <w:spacing w:line="237" w:lineRule="auto" w:before="2"/>
              <w:ind w:left="103" w:right="146"/>
              <w:jc w:val="both"/>
              <w:rPr>
                <w:rFonts w:ascii="宋体" w:hAnsi="宋体" w:cs="宋体" w:eastAsia="宋体" w:hint="default"/>
                <w:sz w:val="21"/>
                <w:szCs w:val="21"/>
              </w:rPr>
            </w:pPr>
            <w:r>
              <w:rPr>
                <w:rFonts w:ascii="宋体" w:hAnsi="宋体" w:cs="宋体" w:eastAsia="宋体" w:hint="default"/>
                <w:spacing w:val="-2"/>
                <w:sz w:val="21"/>
                <w:szCs w:val="21"/>
              </w:rPr>
              <w:t>应收款项单独进行减值测试，如有客观证据表</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宋体" w:hAnsi="宋体" w:cs="宋体" w:eastAsia="宋体" w:hint="default"/>
                <w:spacing w:val="-2"/>
                <w:sz w:val="21"/>
                <w:szCs w:val="21"/>
              </w:rPr>
              <w:t>明其已发生减值，根据其未来现金流量现值低</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宋体" w:hAnsi="宋体" w:cs="宋体" w:eastAsia="宋体" w:hint="default"/>
                <w:spacing w:val="-2"/>
                <w:sz w:val="21"/>
                <w:szCs w:val="21"/>
              </w:rPr>
              <w:t>于其账面价值的差额确认减值损失，计入当期</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宋体" w:hAnsi="宋体" w:cs="宋体" w:eastAsia="宋体" w:hint="default"/>
                <w:spacing w:val="-2"/>
                <w:sz w:val="21"/>
                <w:szCs w:val="21"/>
              </w:rPr>
              <w:t>损益。单独测试未发生减值的单项重大的应收</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宋体" w:hAnsi="宋体" w:cs="宋体" w:eastAsia="宋体" w:hint="default"/>
                <w:spacing w:val="-2"/>
                <w:sz w:val="21"/>
                <w:szCs w:val="21"/>
              </w:rPr>
              <w:t>款项，应包括在具有类似信用风险特征的金融</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宋体" w:hAnsi="宋体" w:cs="宋体" w:eastAsia="宋体" w:hint="default"/>
                <w:sz w:val="21"/>
                <w:szCs w:val="21"/>
              </w:rPr>
              <w:t>资产组合中再进行减值测试。</w:t>
            </w:r>
          </w:p>
        </w:tc>
      </w:tr>
    </w:tbl>
    <w:p>
      <w:pPr>
        <w:spacing w:line="240" w:lineRule="auto" w:before="12"/>
        <w:rPr>
          <w:rFonts w:ascii="宋体" w:hAnsi="宋体" w:cs="宋体" w:eastAsia="宋体" w:hint="default"/>
          <w:sz w:val="19"/>
          <w:szCs w:val="19"/>
        </w:rPr>
      </w:pPr>
    </w:p>
    <w:p>
      <w:pPr>
        <w:pStyle w:val="Heading3"/>
        <w:spacing w:line="240" w:lineRule="auto" w:before="36"/>
        <w:ind w:right="99"/>
        <w:jc w:val="left"/>
        <w:rPr>
          <w:b w:val="0"/>
          <w:bCs w:val="0"/>
        </w:rPr>
      </w:pPr>
      <w:r>
        <w:rPr>
          <w:rFonts w:ascii="宋体" w:hAnsi="宋体" w:cs="宋体" w:eastAsia="宋体" w:hint="default"/>
        </w:rPr>
        <w:t>(2).</w:t>
      </w:r>
      <w:r>
        <w:rPr/>
        <w:t>按信用风险特征组合计提坏账准备的应收款项：</w:t>
      </w:r>
      <w:r>
        <w:rPr>
          <w:b w:val="0"/>
          <w:bCs w:val="0"/>
        </w:rPr>
      </w:r>
    </w:p>
    <w:p>
      <w:pPr>
        <w:pStyle w:val="BodyText"/>
        <w:spacing w:line="240" w:lineRule="auto" w:before="58"/>
        <w:ind w:right="99"/>
        <w:jc w:val="left"/>
      </w:pPr>
      <w:r>
        <w:rPr/>
        <w:t>√适用</w:t>
      </w:r>
      <w:r>
        <w:rPr>
          <w:spacing w:val="-1"/>
        </w:rPr>
        <w:t> </w:t>
      </w:r>
      <w:r>
        <w:rPr/>
        <w:t>□不适用</w:t>
      </w:r>
    </w:p>
    <w:p>
      <w:pPr>
        <w:spacing w:line="240" w:lineRule="auto" w:before="6"/>
        <w:rPr>
          <w:rFonts w:ascii="宋体" w:hAnsi="宋体" w:cs="宋体" w:eastAsia="宋体" w:hint="default"/>
          <w:sz w:val="20"/>
          <w:szCs w:val="20"/>
        </w:rPr>
      </w:pPr>
    </w:p>
    <w:p>
      <w:pPr>
        <w:pStyle w:val="BodyText"/>
        <w:spacing w:line="274" w:lineRule="exact"/>
        <w:ind w:right="99"/>
        <w:jc w:val="left"/>
      </w:pPr>
      <w:r>
        <w:rPr/>
        <w:t>组合中，采用账龄分析法计提坏账准备的</w:t>
      </w:r>
    </w:p>
    <w:p>
      <w:pPr>
        <w:pStyle w:val="BodyText"/>
        <w:spacing w:line="274" w:lineRule="exact"/>
        <w:ind w:right="99"/>
        <w:jc w:val="left"/>
      </w:pPr>
      <w:r>
        <w:rPr/>
        <w:t>√适用</w:t>
      </w:r>
      <w:r>
        <w:rPr>
          <w:spacing w:val="-1"/>
        </w:rPr>
        <w:t> </w:t>
      </w:r>
      <w:r>
        <w:rPr/>
        <w:t>□不适用</w:t>
      </w: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123"/>
        <w:gridCol w:w="2962"/>
        <w:gridCol w:w="2965"/>
      </w:tblGrid>
      <w:tr>
        <w:trPr>
          <w:trHeight w:val="283" w:hRule="exact"/>
        </w:trPr>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296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80" w:right="0"/>
              <w:jc w:val="left"/>
              <w:rPr>
                <w:rFonts w:ascii="宋体" w:hAnsi="宋体" w:cs="宋体" w:eastAsia="宋体" w:hint="default"/>
                <w:sz w:val="21"/>
                <w:szCs w:val="21"/>
              </w:rPr>
            </w:pPr>
            <w:r>
              <w:rPr>
                <w:rFonts w:ascii="宋体" w:hAnsi="宋体" w:cs="宋体" w:eastAsia="宋体" w:hint="default"/>
                <w:sz w:val="21"/>
                <w:szCs w:val="21"/>
              </w:rPr>
              <w:t>应收账款计提比例</w:t>
            </w:r>
            <w:r>
              <w:rPr>
                <w:rFonts w:ascii="宋体" w:hAnsi="宋体" w:cs="宋体" w:eastAsia="宋体" w:hint="default"/>
                <w:sz w:val="21"/>
                <w:szCs w:val="21"/>
              </w:rPr>
              <w:t>(%)</w:t>
            </w:r>
          </w:p>
        </w:tc>
        <w:tc>
          <w:tcPr>
            <w:tcW w:w="29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74" w:right="0"/>
              <w:jc w:val="left"/>
              <w:rPr>
                <w:rFonts w:ascii="宋体" w:hAnsi="宋体" w:cs="宋体" w:eastAsia="宋体" w:hint="default"/>
                <w:sz w:val="21"/>
                <w:szCs w:val="21"/>
              </w:rPr>
            </w:pPr>
            <w:r>
              <w:rPr>
                <w:rFonts w:ascii="宋体" w:hAnsi="宋体" w:cs="宋体" w:eastAsia="宋体" w:hint="default"/>
                <w:sz w:val="21"/>
                <w:szCs w:val="21"/>
              </w:rPr>
              <w:t>其他应收款计提比例</w:t>
            </w:r>
            <w:r>
              <w:rPr>
                <w:rFonts w:ascii="宋体" w:hAnsi="宋体" w:cs="宋体" w:eastAsia="宋体" w:hint="default"/>
                <w:sz w:val="21"/>
                <w:szCs w:val="21"/>
              </w:rPr>
              <w:t>(%)</w:t>
            </w:r>
          </w:p>
        </w:tc>
      </w:tr>
      <w:tr>
        <w:trPr>
          <w:trHeight w:val="283" w:hRule="exact"/>
        </w:trPr>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年以内（含</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29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29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r>
      <w:tr>
        <w:trPr>
          <w:trHeight w:val="281" w:hRule="exact"/>
        </w:trPr>
        <w:tc>
          <w:tcPr>
            <w:tcW w:w="905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年以内分项，可添加行</w:t>
            </w:r>
          </w:p>
        </w:tc>
      </w:tr>
      <w:tr>
        <w:trPr>
          <w:trHeight w:val="284" w:hRule="exact"/>
        </w:trPr>
        <w:tc>
          <w:tcPr>
            <w:tcW w:w="3123" w:type="dxa"/>
            <w:tcBorders>
              <w:top w:val="single" w:sz="4" w:space="0" w:color="000000"/>
              <w:left w:val="single" w:sz="4" w:space="0" w:color="000000"/>
              <w:bottom w:val="single" w:sz="4" w:space="0" w:color="000000"/>
              <w:right w:val="single" w:sz="4" w:space="0" w:color="000000"/>
            </w:tcBorders>
          </w:tcPr>
          <w:p>
            <w:pPr/>
          </w:p>
        </w:tc>
        <w:tc>
          <w:tcPr>
            <w:tcW w:w="2962" w:type="dxa"/>
            <w:tcBorders>
              <w:top w:val="single" w:sz="4" w:space="0" w:color="000000"/>
              <w:left w:val="single" w:sz="4" w:space="0" w:color="000000"/>
              <w:bottom w:val="single" w:sz="4" w:space="0" w:color="000000"/>
              <w:right w:val="single" w:sz="4" w:space="0" w:color="000000"/>
            </w:tcBorders>
          </w:tcPr>
          <w:p>
            <w:pPr/>
          </w:p>
        </w:tc>
        <w:tc>
          <w:tcPr>
            <w:tcW w:w="296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123" w:type="dxa"/>
            <w:tcBorders>
              <w:top w:val="single" w:sz="4" w:space="0" w:color="000000"/>
              <w:left w:val="single" w:sz="4" w:space="0" w:color="000000"/>
              <w:bottom w:val="single" w:sz="4" w:space="0" w:color="000000"/>
              <w:right w:val="single" w:sz="4" w:space="0" w:color="000000"/>
            </w:tcBorders>
          </w:tcPr>
          <w:p>
            <w:pPr/>
          </w:p>
        </w:tc>
        <w:tc>
          <w:tcPr>
            <w:tcW w:w="2962" w:type="dxa"/>
            <w:tcBorders>
              <w:top w:val="single" w:sz="4" w:space="0" w:color="000000"/>
              <w:left w:val="single" w:sz="4" w:space="0" w:color="000000"/>
              <w:bottom w:val="single" w:sz="4" w:space="0" w:color="000000"/>
              <w:right w:val="single" w:sz="4" w:space="0" w:color="000000"/>
            </w:tcBorders>
          </w:tcPr>
          <w:p>
            <w:pPr/>
          </w:p>
        </w:tc>
        <w:tc>
          <w:tcPr>
            <w:tcW w:w="2965"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9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10</w:t>
            </w:r>
          </w:p>
        </w:tc>
        <w:tc>
          <w:tcPr>
            <w:tcW w:w="29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10</w:t>
            </w:r>
          </w:p>
        </w:tc>
      </w:tr>
    </w:tbl>
    <w:p>
      <w:pPr>
        <w:spacing w:after="0" w:line="241" w:lineRule="exact"/>
        <w:jc w:val="right"/>
        <w:rPr>
          <w:rFonts w:ascii="宋体" w:hAnsi="宋体" w:cs="宋体" w:eastAsia="宋体" w:hint="default"/>
          <w:sz w:val="21"/>
          <w:szCs w:val="21"/>
        </w:rPr>
        <w:sectPr>
          <w:pgSz w:w="11910" w:h="16840"/>
          <w:pgMar w:header="857" w:footer="1195" w:top="1320" w:bottom="1380" w:left="1580" w:right="1040"/>
        </w:sectPr>
      </w:pPr>
    </w:p>
    <w:p>
      <w:pPr>
        <w:spacing w:line="240" w:lineRule="auto" w:before="6"/>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3123"/>
        <w:gridCol w:w="2962"/>
        <w:gridCol w:w="2965"/>
      </w:tblGrid>
      <w:tr>
        <w:trPr>
          <w:trHeight w:val="284" w:hRule="exact"/>
        </w:trPr>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962"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8"/>
              <w:jc w:val="right"/>
              <w:rPr>
                <w:rFonts w:ascii="宋体" w:hAnsi="宋体" w:cs="宋体" w:eastAsia="宋体" w:hint="default"/>
                <w:sz w:val="21"/>
                <w:szCs w:val="21"/>
              </w:rPr>
            </w:pPr>
            <w:r>
              <w:rPr>
                <w:rFonts w:ascii="宋体"/>
                <w:sz w:val="21"/>
              </w:rPr>
              <w:t>20</w:t>
            </w:r>
          </w:p>
        </w:tc>
        <w:tc>
          <w:tcPr>
            <w:tcW w:w="2965"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01"/>
              <w:jc w:val="right"/>
              <w:rPr>
                <w:rFonts w:ascii="宋体" w:hAnsi="宋体" w:cs="宋体" w:eastAsia="宋体" w:hint="default"/>
                <w:sz w:val="21"/>
                <w:szCs w:val="21"/>
              </w:rPr>
            </w:pPr>
            <w:r>
              <w:rPr>
                <w:rFonts w:ascii="宋体"/>
                <w:sz w:val="21"/>
              </w:rPr>
              <w:t>20</w:t>
            </w:r>
          </w:p>
        </w:tc>
      </w:tr>
      <w:tr>
        <w:trPr>
          <w:trHeight w:val="283" w:hRule="exact"/>
        </w:trPr>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962" w:type="dxa"/>
            <w:tcBorders>
              <w:top w:val="single" w:sz="4" w:space="0" w:color="000000"/>
              <w:left w:val="single" w:sz="4" w:space="0" w:color="000000"/>
              <w:bottom w:val="single" w:sz="4" w:space="0" w:color="000000"/>
              <w:right w:val="single" w:sz="4" w:space="0" w:color="000000"/>
            </w:tcBorders>
          </w:tcPr>
          <w:p>
            <w:pPr/>
          </w:p>
        </w:tc>
        <w:tc>
          <w:tcPr>
            <w:tcW w:w="2965"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9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40</w:t>
            </w:r>
          </w:p>
        </w:tc>
        <w:tc>
          <w:tcPr>
            <w:tcW w:w="29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40</w:t>
            </w:r>
          </w:p>
        </w:tc>
      </w:tr>
      <w:tr>
        <w:trPr>
          <w:trHeight w:val="283" w:hRule="exact"/>
        </w:trPr>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96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50</w:t>
            </w:r>
          </w:p>
        </w:tc>
        <w:tc>
          <w:tcPr>
            <w:tcW w:w="29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z w:val="21"/>
              </w:rPr>
              <w:t>50</w:t>
            </w:r>
          </w:p>
        </w:tc>
      </w:tr>
      <w:tr>
        <w:trPr>
          <w:trHeight w:val="283" w:hRule="exact"/>
        </w:trPr>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9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100</w:t>
            </w:r>
          </w:p>
        </w:tc>
        <w:tc>
          <w:tcPr>
            <w:tcW w:w="29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100</w:t>
            </w:r>
          </w:p>
        </w:tc>
      </w:tr>
      <w:tr>
        <w:trPr>
          <w:trHeight w:val="281" w:hRule="exact"/>
        </w:trPr>
        <w:tc>
          <w:tcPr>
            <w:tcW w:w="3123" w:type="dxa"/>
            <w:tcBorders>
              <w:top w:val="single" w:sz="4" w:space="0" w:color="000000"/>
              <w:left w:val="single" w:sz="4" w:space="0" w:color="000000"/>
              <w:bottom w:val="single" w:sz="4" w:space="0" w:color="000000"/>
              <w:right w:val="single" w:sz="4" w:space="0" w:color="000000"/>
            </w:tcBorders>
          </w:tcPr>
          <w:p>
            <w:pPr/>
          </w:p>
        </w:tc>
        <w:tc>
          <w:tcPr>
            <w:tcW w:w="2962" w:type="dxa"/>
            <w:tcBorders>
              <w:top w:val="single" w:sz="4" w:space="0" w:color="000000"/>
              <w:left w:val="single" w:sz="4" w:space="0" w:color="000000"/>
              <w:bottom w:val="single" w:sz="4" w:space="0" w:color="000000"/>
              <w:right w:val="single" w:sz="4" w:space="0" w:color="000000"/>
            </w:tcBorders>
          </w:tcPr>
          <w:p>
            <w:pPr/>
          </w:p>
        </w:tc>
        <w:tc>
          <w:tcPr>
            <w:tcW w:w="296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123" w:type="dxa"/>
            <w:tcBorders>
              <w:top w:val="single" w:sz="4" w:space="0" w:color="000000"/>
              <w:left w:val="single" w:sz="4" w:space="0" w:color="000000"/>
              <w:bottom w:val="single" w:sz="4" w:space="0" w:color="000000"/>
              <w:right w:val="single" w:sz="4" w:space="0" w:color="000000"/>
            </w:tcBorders>
          </w:tcPr>
          <w:p>
            <w:pPr/>
          </w:p>
        </w:tc>
        <w:tc>
          <w:tcPr>
            <w:tcW w:w="2962" w:type="dxa"/>
            <w:tcBorders>
              <w:top w:val="single" w:sz="4" w:space="0" w:color="000000"/>
              <w:left w:val="single" w:sz="4" w:space="0" w:color="000000"/>
              <w:bottom w:val="single" w:sz="4" w:space="0" w:color="000000"/>
              <w:right w:val="single" w:sz="4" w:space="0" w:color="000000"/>
            </w:tcBorders>
          </w:tcPr>
          <w:p>
            <w:pPr/>
          </w:p>
        </w:tc>
        <w:tc>
          <w:tcPr>
            <w:tcW w:w="296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BodyText"/>
        <w:spacing w:line="274" w:lineRule="exact" w:before="36"/>
        <w:ind w:right="99"/>
        <w:jc w:val="left"/>
      </w:pPr>
      <w:r>
        <w:rPr/>
        <w:t>组合中，采用余额百分比法计提坏账准备的</w:t>
      </w:r>
    </w:p>
    <w:p>
      <w:pPr>
        <w:pStyle w:val="BodyText"/>
        <w:spacing w:line="272" w:lineRule="exact" w:before="27"/>
        <w:ind w:right="5042"/>
        <w:jc w:val="left"/>
      </w:pPr>
      <w:r>
        <w:rPr/>
        <w:t>□适用</w:t>
      </w:r>
      <w:r>
        <w:rPr>
          <w:spacing w:val="-2"/>
        </w:rPr>
        <w:t> </w:t>
      </w:r>
      <w:r>
        <w:rPr/>
        <w:t>√不适用</w:t>
      </w:r>
      <w:r>
        <w:rPr>
          <w:w w:val="100"/>
        </w:rPr>
        <w:t> </w:t>
      </w:r>
      <w:r>
        <w:rPr>
          <w:spacing w:val="-2"/>
        </w:rPr>
        <w:t>组合中，采用其他方法计提坏账准备的</w:t>
      </w:r>
    </w:p>
    <w:p>
      <w:pPr>
        <w:pStyle w:val="BodyText"/>
        <w:spacing w:line="247" w:lineRule="exact"/>
        <w:ind w:right="99"/>
        <w:jc w:val="left"/>
      </w:pPr>
      <w:r>
        <w:rPr/>
        <w:t>□适用</w:t>
      </w:r>
      <w:r>
        <w:rPr>
          <w:spacing w:val="-1"/>
        </w:rPr>
        <w:t> </w:t>
      </w:r>
      <w:r>
        <w:rPr/>
        <w:t>√不适用</w:t>
      </w:r>
    </w:p>
    <w:p>
      <w:pPr>
        <w:pStyle w:val="Heading3"/>
        <w:spacing w:line="240" w:lineRule="auto" w:before="58"/>
        <w:ind w:right="99"/>
        <w:jc w:val="left"/>
        <w:rPr>
          <w:b w:val="0"/>
          <w:bCs w:val="0"/>
        </w:rPr>
      </w:pPr>
      <w:r>
        <w:rPr>
          <w:rFonts w:ascii="宋体" w:hAnsi="宋体" w:cs="宋体" w:eastAsia="宋体" w:hint="default"/>
        </w:rPr>
        <w:t>(3).</w:t>
      </w:r>
      <w:r>
        <w:rPr/>
        <w:t>单项金额不重大但单独计提坏账准备的应收款项：</w:t>
      </w:r>
      <w:r>
        <w:rPr>
          <w:b w:val="0"/>
          <w:bCs w:val="0"/>
        </w:rPr>
      </w:r>
    </w:p>
    <w:p>
      <w:pPr>
        <w:pStyle w:val="BodyText"/>
        <w:spacing w:line="240" w:lineRule="auto" w:before="56"/>
        <w:ind w:right="99"/>
        <w:jc w:val="left"/>
      </w:pPr>
      <w:r>
        <w:rPr/>
        <w:t>√适用</w:t>
      </w:r>
      <w:r>
        <w:rPr>
          <w:spacing w:val="-1"/>
        </w:rPr>
        <w:t> </w:t>
      </w:r>
      <w:r>
        <w:rPr/>
        <w:t>□不适用</w:t>
      </w: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4340"/>
        <w:gridCol w:w="4710"/>
      </w:tblGrid>
      <w:tr>
        <w:trPr>
          <w:trHeight w:val="826" w:hRule="exact"/>
        </w:trPr>
        <w:tc>
          <w:tcPr>
            <w:tcW w:w="43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单项计提坏账准备的理由</w:t>
            </w:r>
          </w:p>
        </w:tc>
        <w:tc>
          <w:tcPr>
            <w:tcW w:w="471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与对方存在争议或涉及诉讼、仲裁的应收款项；</w:t>
            </w:r>
          </w:p>
          <w:p>
            <w:pPr>
              <w:pStyle w:val="TableParagraph"/>
              <w:spacing w:line="272" w:lineRule="exact" w:before="27"/>
              <w:ind w:left="100" w:right="183"/>
              <w:jc w:val="left"/>
              <w:rPr>
                <w:rFonts w:ascii="宋体" w:hAnsi="宋体" w:cs="宋体" w:eastAsia="宋体" w:hint="default"/>
                <w:sz w:val="21"/>
                <w:szCs w:val="21"/>
              </w:rPr>
            </w:pPr>
            <w:r>
              <w:rPr>
                <w:rFonts w:ascii="宋体" w:hAnsi="宋体" w:cs="宋体" w:eastAsia="宋体" w:hint="default"/>
                <w:spacing w:val="-2"/>
                <w:sz w:val="21"/>
                <w:szCs w:val="21"/>
              </w:rPr>
              <w:t>已有明显迹象表明债务人很可能无法履行还款义</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宋体" w:hAnsi="宋体" w:cs="宋体" w:eastAsia="宋体" w:hint="default"/>
                <w:sz w:val="21"/>
                <w:szCs w:val="21"/>
              </w:rPr>
              <w:t>务的应收款项等。</w:t>
            </w:r>
          </w:p>
        </w:tc>
      </w:tr>
      <w:tr>
        <w:trPr>
          <w:trHeight w:val="1102" w:hRule="exact"/>
        </w:trPr>
        <w:tc>
          <w:tcPr>
            <w:tcW w:w="434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坏账准备的计提方法</w:t>
            </w:r>
          </w:p>
        </w:tc>
        <w:tc>
          <w:tcPr>
            <w:tcW w:w="47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公司对于单项金额不重大但具备以下特征的应收</w:t>
            </w:r>
          </w:p>
          <w:p>
            <w:pPr>
              <w:pStyle w:val="TableParagraph"/>
              <w:spacing w:line="237" w:lineRule="auto"/>
              <w:ind w:left="100" w:right="-5"/>
              <w:jc w:val="left"/>
              <w:rPr>
                <w:rFonts w:ascii="宋体" w:hAnsi="宋体" w:cs="宋体" w:eastAsia="宋体" w:hint="default"/>
                <w:sz w:val="21"/>
                <w:szCs w:val="21"/>
              </w:rPr>
            </w:pPr>
            <w:r>
              <w:rPr>
                <w:rFonts w:ascii="宋体" w:hAnsi="宋体" w:cs="宋体" w:eastAsia="宋体" w:hint="default"/>
                <w:sz w:val="21"/>
                <w:szCs w:val="21"/>
              </w:rPr>
              <w:t>款项，单独进行减值测试，如有客观证据表明其</w:t>
            </w:r>
            <w:r>
              <w:rPr>
                <w:rFonts w:ascii="宋体" w:hAnsi="宋体" w:cs="宋体" w:eastAsia="宋体" w:hint="default"/>
                <w:w w:val="100"/>
                <w:sz w:val="21"/>
                <w:szCs w:val="21"/>
              </w:rPr>
              <w:t> </w:t>
            </w:r>
            <w:r>
              <w:rPr>
                <w:rFonts w:ascii="宋体" w:hAnsi="宋体" w:cs="宋体" w:eastAsia="宋体" w:hint="default"/>
                <w:sz w:val="21"/>
                <w:szCs w:val="21"/>
              </w:rPr>
              <w:t>发生了减值的，根据其未来现金流量现值低于其</w:t>
            </w:r>
            <w:r>
              <w:rPr>
                <w:rFonts w:ascii="宋体" w:hAnsi="宋体" w:cs="宋体" w:eastAsia="宋体" w:hint="default"/>
                <w:w w:val="100"/>
                <w:sz w:val="21"/>
                <w:szCs w:val="21"/>
              </w:rPr>
              <w:t> </w:t>
            </w:r>
            <w:r>
              <w:rPr>
                <w:rFonts w:ascii="宋体" w:hAnsi="宋体" w:cs="宋体" w:eastAsia="宋体" w:hint="default"/>
                <w:spacing w:val="-3"/>
                <w:sz w:val="21"/>
                <w:szCs w:val="21"/>
              </w:rPr>
              <w:t>账面价值的差额，确认减值损失，计提坏账准备。</w:t>
            </w:r>
          </w:p>
        </w:tc>
      </w:tr>
    </w:tbl>
    <w:p>
      <w:pPr>
        <w:spacing w:line="240" w:lineRule="auto" w:before="13"/>
        <w:rPr>
          <w:rFonts w:ascii="宋体" w:hAnsi="宋体" w:cs="宋体" w:eastAsia="宋体" w:hint="default"/>
          <w:sz w:val="19"/>
          <w:szCs w:val="19"/>
        </w:rPr>
      </w:pPr>
    </w:p>
    <w:p>
      <w:pPr>
        <w:pStyle w:val="Heading3"/>
        <w:spacing w:line="240" w:lineRule="auto" w:before="36"/>
        <w:ind w:right="0"/>
        <w:jc w:val="both"/>
        <w:rPr>
          <w:b w:val="0"/>
          <w:bCs w:val="0"/>
        </w:rPr>
      </w:pPr>
      <w:r>
        <w:rPr>
          <w:rFonts w:ascii="宋体" w:hAnsi="宋体" w:cs="宋体" w:eastAsia="宋体" w:hint="default"/>
        </w:rPr>
        <w:t>12.</w:t>
      </w:r>
      <w:r>
        <w:rPr>
          <w:rFonts w:ascii="宋体" w:hAnsi="宋体" w:cs="宋体" w:eastAsia="宋体" w:hint="default"/>
          <w:spacing w:val="2"/>
        </w:rPr>
        <w:t> </w:t>
      </w:r>
      <w:r>
        <w:rPr/>
        <w:t>存货</w:t>
      </w:r>
      <w:r>
        <w:rPr>
          <w:b w:val="0"/>
          <w:bCs w:val="0"/>
        </w:rPr>
      </w:r>
    </w:p>
    <w:p>
      <w:pPr>
        <w:pStyle w:val="BodyText"/>
        <w:tabs>
          <w:tab w:pos="1060" w:val="left" w:leader="none"/>
        </w:tabs>
        <w:spacing w:line="272" w:lineRule="exact" w:before="86"/>
        <w:ind w:right="6332"/>
        <w:jc w:val="left"/>
      </w:pPr>
      <w:r>
        <w:rPr>
          <w:spacing w:val="-1"/>
        </w:rPr>
        <w:t>√适用</w:t>
        <w:tab/>
      </w:r>
      <w:r>
        <w:rPr>
          <w:spacing w:val="-2"/>
        </w:rPr>
        <w:t>□不适用</w:t>
      </w:r>
      <w:r>
        <w:rPr>
          <w:spacing w:val="-99"/>
        </w:rPr>
        <w:t> </w:t>
      </w:r>
      <w:r>
        <w:rPr>
          <w:spacing w:val="-99"/>
        </w:rPr>
      </w:r>
      <w:r>
        <w:rPr>
          <w:spacing w:val="-2"/>
        </w:rPr>
        <w:t>存货包括原材料和库存商品。</w:t>
      </w:r>
    </w:p>
    <w:p>
      <w:pPr>
        <w:spacing w:line="240" w:lineRule="auto" w:before="12"/>
        <w:rPr>
          <w:rFonts w:ascii="宋体" w:hAnsi="宋体" w:cs="宋体" w:eastAsia="宋体" w:hint="default"/>
          <w:sz w:val="18"/>
          <w:szCs w:val="18"/>
        </w:rPr>
      </w:pPr>
    </w:p>
    <w:p>
      <w:pPr>
        <w:pStyle w:val="BodyText"/>
        <w:spacing w:line="237" w:lineRule="auto"/>
        <w:ind w:right="237"/>
        <w:jc w:val="both"/>
      </w:pPr>
      <w:r>
        <w:rPr>
          <w:spacing w:val="-2"/>
        </w:rPr>
        <w:t>存货按照成本进行初始计量。存货成本包括采购成本、加工成本和其他成本。发出存货，采用加</w:t>
      </w:r>
      <w:r>
        <w:rPr>
          <w:spacing w:val="-25"/>
        </w:rPr>
        <w:t> </w:t>
      </w:r>
      <w:r>
        <w:rPr>
          <w:spacing w:val="-25"/>
        </w:rPr>
      </w:r>
      <w:r>
        <w:rPr>
          <w:spacing w:val="-2"/>
        </w:rPr>
        <w:t>权平均法确定其实际成本。周转材料包括低值易耗品和包装物等，低值易耗品和包装物釆用一次</w:t>
      </w:r>
      <w:r>
        <w:rPr>
          <w:spacing w:val="-25"/>
        </w:rPr>
        <w:t> </w:t>
      </w:r>
      <w:r>
        <w:rPr>
          <w:spacing w:val="-25"/>
        </w:rPr>
      </w:r>
      <w:r>
        <w:rPr/>
        <w:t>转销法进行摊销。</w:t>
      </w:r>
    </w:p>
    <w:p>
      <w:pPr>
        <w:spacing w:line="240" w:lineRule="auto" w:before="9"/>
        <w:rPr>
          <w:rFonts w:ascii="宋体" w:hAnsi="宋体" w:cs="宋体" w:eastAsia="宋体" w:hint="default"/>
          <w:sz w:val="20"/>
          <w:szCs w:val="20"/>
        </w:rPr>
      </w:pPr>
    </w:p>
    <w:p>
      <w:pPr>
        <w:pStyle w:val="BodyText"/>
        <w:spacing w:line="240" w:lineRule="auto"/>
        <w:ind w:right="0"/>
        <w:jc w:val="both"/>
      </w:pPr>
      <w:r>
        <w:rPr/>
        <w:t>存货的盘存制度采用永续盘存制。</w:t>
      </w:r>
    </w:p>
    <w:p>
      <w:pPr>
        <w:spacing w:line="240" w:lineRule="auto" w:before="11"/>
        <w:rPr>
          <w:rFonts w:ascii="宋体" w:hAnsi="宋体" w:cs="宋体" w:eastAsia="宋体" w:hint="default"/>
          <w:sz w:val="20"/>
          <w:szCs w:val="20"/>
        </w:rPr>
      </w:pPr>
    </w:p>
    <w:p>
      <w:pPr>
        <w:pStyle w:val="BodyText"/>
        <w:spacing w:line="237" w:lineRule="auto"/>
        <w:ind w:right="237"/>
        <w:jc w:val="both"/>
      </w:pPr>
      <w:r>
        <w:rPr>
          <w:spacing w:val="-2"/>
        </w:rPr>
        <w:t>于资产负债表日，存货按照成本与可变现净值孰低计量，对成本高于可变现净值的，计提存货跌</w:t>
      </w:r>
      <w:r>
        <w:rPr>
          <w:spacing w:val="-25"/>
        </w:rPr>
        <w:t> </w:t>
      </w:r>
      <w:r>
        <w:rPr>
          <w:spacing w:val="-25"/>
        </w:rPr>
      </w:r>
      <w:r>
        <w:rPr>
          <w:spacing w:val="-2"/>
        </w:rPr>
        <w:t>价准备，计入当期损益。如果以前计提存货跌价准备的影响因素已经消失，使得存货的可变现净</w:t>
      </w:r>
      <w:r>
        <w:rPr>
          <w:spacing w:val="-25"/>
        </w:rPr>
        <w:t> </w:t>
      </w:r>
      <w:r>
        <w:rPr>
          <w:spacing w:val="-25"/>
        </w:rPr>
      </w:r>
      <w:r>
        <w:rPr>
          <w:spacing w:val="-2"/>
        </w:rPr>
        <w:t>值高于其账面价值，则在原已计提的存货跌价准备金额内，将以前减记的金额予以恢复，转回的</w:t>
      </w:r>
      <w:r>
        <w:rPr>
          <w:spacing w:val="-25"/>
        </w:rPr>
        <w:t> </w:t>
      </w:r>
      <w:r>
        <w:rPr>
          <w:spacing w:val="-25"/>
        </w:rPr>
      </w:r>
      <w:r>
        <w:rPr/>
        <w:t>金额计入当期损益。</w:t>
      </w:r>
    </w:p>
    <w:p>
      <w:pPr>
        <w:spacing w:line="240" w:lineRule="auto" w:before="11"/>
        <w:rPr>
          <w:rFonts w:ascii="宋体" w:hAnsi="宋体" w:cs="宋体" w:eastAsia="宋体" w:hint="default"/>
          <w:sz w:val="20"/>
          <w:szCs w:val="20"/>
        </w:rPr>
      </w:pPr>
    </w:p>
    <w:p>
      <w:pPr>
        <w:pStyle w:val="BodyText"/>
        <w:spacing w:line="237" w:lineRule="auto"/>
        <w:ind w:right="237"/>
        <w:jc w:val="both"/>
      </w:pPr>
      <w:r>
        <w:rPr>
          <w:spacing w:val="-2"/>
        </w:rPr>
        <w:t>可变现净值，是指在日常活动中，存货的估计售价减去至完工时估计将要发生的成本、估计的销</w:t>
      </w:r>
      <w:r>
        <w:rPr>
          <w:spacing w:val="-26"/>
        </w:rPr>
        <w:t> </w:t>
      </w:r>
      <w:r>
        <w:rPr>
          <w:spacing w:val="-26"/>
        </w:rPr>
      </w:r>
      <w:r>
        <w:rPr>
          <w:spacing w:val="-2"/>
        </w:rPr>
        <w:t>售费用以及相关税费后的金额。计提存货跌价准备时，原材料按类别计提，产成品按单个存货项</w:t>
      </w:r>
      <w:r>
        <w:rPr>
          <w:spacing w:val="-25"/>
        </w:rPr>
        <w:t> </w:t>
      </w:r>
      <w:r>
        <w:rPr>
          <w:spacing w:val="-25"/>
        </w:rPr>
      </w:r>
      <w:r>
        <w:rPr/>
        <w:t>目计提。</w:t>
      </w:r>
    </w:p>
    <w:p>
      <w:pPr>
        <w:spacing w:line="240" w:lineRule="auto" w:before="3"/>
        <w:rPr>
          <w:rFonts w:ascii="宋体" w:hAnsi="宋体" w:cs="宋体" w:eastAsia="宋体" w:hint="default"/>
          <w:sz w:val="25"/>
          <w:szCs w:val="25"/>
        </w:rPr>
      </w:pPr>
    </w:p>
    <w:p>
      <w:pPr>
        <w:pStyle w:val="Heading3"/>
        <w:spacing w:line="240" w:lineRule="auto"/>
        <w:ind w:right="0"/>
        <w:jc w:val="both"/>
        <w:rPr>
          <w:b w:val="0"/>
          <w:bCs w:val="0"/>
        </w:rPr>
      </w:pPr>
      <w:r>
        <w:rPr>
          <w:rFonts w:ascii="宋体" w:hAnsi="宋体" w:cs="宋体" w:eastAsia="宋体" w:hint="default"/>
        </w:rPr>
        <w:t>13.</w:t>
      </w:r>
      <w:r>
        <w:rPr>
          <w:rFonts w:ascii="宋体" w:hAnsi="宋体" w:cs="宋体" w:eastAsia="宋体" w:hint="default"/>
          <w:spacing w:val="3"/>
        </w:rPr>
        <w:t> </w:t>
      </w:r>
      <w:r>
        <w:rPr/>
        <w:t>持有待售资产</w:t>
      </w:r>
      <w:r>
        <w:rPr>
          <w:b w:val="0"/>
          <w:bCs w:val="0"/>
        </w:rPr>
      </w:r>
    </w:p>
    <w:p>
      <w:pPr>
        <w:pStyle w:val="BodyText"/>
        <w:spacing w:line="240" w:lineRule="auto" w:before="58"/>
        <w:ind w:right="0"/>
        <w:jc w:val="both"/>
      </w:pPr>
      <w:r>
        <w:rPr/>
        <w:t>□适用</w:t>
      </w:r>
      <w:r>
        <w:rPr>
          <w:spacing w:val="104"/>
        </w:rPr>
        <w:t> </w:t>
      </w:r>
      <w:r>
        <w:rPr/>
        <w:t>√不适用</w:t>
      </w:r>
    </w:p>
    <w:p>
      <w:pPr>
        <w:spacing w:line="240" w:lineRule="auto" w:before="3"/>
        <w:rPr>
          <w:rFonts w:ascii="宋体" w:hAnsi="宋体" w:cs="宋体" w:eastAsia="宋体" w:hint="default"/>
          <w:sz w:val="25"/>
          <w:szCs w:val="25"/>
        </w:rPr>
      </w:pPr>
    </w:p>
    <w:p>
      <w:pPr>
        <w:pStyle w:val="Heading3"/>
        <w:spacing w:line="240" w:lineRule="auto"/>
        <w:ind w:right="0"/>
        <w:jc w:val="both"/>
        <w:rPr>
          <w:b w:val="0"/>
          <w:bCs w:val="0"/>
        </w:rPr>
      </w:pPr>
      <w:r>
        <w:rPr>
          <w:rFonts w:ascii="宋体" w:hAnsi="宋体" w:cs="宋体" w:eastAsia="宋体" w:hint="default"/>
        </w:rPr>
        <w:t>14.</w:t>
      </w:r>
      <w:r>
        <w:rPr>
          <w:rFonts w:ascii="宋体" w:hAnsi="宋体" w:cs="宋体" w:eastAsia="宋体" w:hint="default"/>
          <w:spacing w:val="3"/>
        </w:rPr>
        <w:t> </w:t>
      </w:r>
      <w:r>
        <w:rPr/>
        <w:t>长期股权投资</w:t>
      </w:r>
      <w:r>
        <w:rPr>
          <w:b w:val="0"/>
          <w:bCs w:val="0"/>
        </w:rPr>
      </w:r>
    </w:p>
    <w:p>
      <w:pPr>
        <w:pStyle w:val="BodyText"/>
        <w:tabs>
          <w:tab w:pos="1060" w:val="left" w:leader="none"/>
        </w:tabs>
        <w:spacing w:line="240" w:lineRule="auto" w:before="56"/>
        <w:ind w:right="4020"/>
        <w:jc w:val="left"/>
      </w:pPr>
      <w:r>
        <w:rPr>
          <w:spacing w:val="-1"/>
        </w:rPr>
        <w:t>√适用</w:t>
        <w:tab/>
      </w:r>
      <w:r>
        <w:rPr>
          <w:spacing w:val="-2"/>
        </w:rPr>
        <w:t>□不适用</w:t>
      </w:r>
      <w:r>
        <w:rPr>
          <w:spacing w:val="-99"/>
        </w:rPr>
        <w:t> </w:t>
      </w:r>
      <w:r>
        <w:rPr>
          <w:spacing w:val="-99"/>
        </w:rPr>
      </w:r>
      <w:r>
        <w:rPr>
          <w:spacing w:val="-2"/>
        </w:rPr>
        <w:t>长期股权投资包括对子公司和联营企业的权益性投资。</w:t>
      </w:r>
    </w:p>
    <w:p>
      <w:pPr>
        <w:spacing w:after="0" w:line="240" w:lineRule="auto"/>
        <w:jc w:val="left"/>
        <w:sectPr>
          <w:pgSz w:w="11910" w:h="16840"/>
          <w:pgMar w:header="857" w:footer="1195" w:top="1320" w:bottom="1380" w:left="1580" w:right="1040"/>
        </w:sectPr>
      </w:pPr>
    </w:p>
    <w:p>
      <w:pPr>
        <w:spacing w:line="240" w:lineRule="auto" w:before="0"/>
        <w:rPr>
          <w:rFonts w:ascii="宋体" w:hAnsi="宋体" w:cs="宋体" w:eastAsia="宋体" w:hint="default"/>
          <w:sz w:val="20"/>
          <w:szCs w:val="20"/>
        </w:rPr>
      </w:pPr>
    </w:p>
    <w:p>
      <w:pPr>
        <w:pStyle w:val="BodyText"/>
        <w:spacing w:line="237" w:lineRule="auto" w:before="170"/>
        <w:ind w:left="138" w:right="207"/>
        <w:jc w:val="both"/>
      </w:pPr>
      <w:r>
        <w:rPr>
          <w:spacing w:val="-2"/>
        </w:rPr>
        <w:t>长期股权投资在取得时以初始投资成本进行初始计量。通过同一控制下的企业合并取得的长期股</w:t>
      </w:r>
      <w:r>
        <w:rPr>
          <w:spacing w:val="-25"/>
        </w:rPr>
        <w:t> </w:t>
      </w:r>
      <w:r>
        <w:rPr>
          <w:spacing w:val="-25"/>
        </w:rPr>
      </w:r>
      <w:r>
        <w:rPr>
          <w:spacing w:val="-2"/>
        </w:rPr>
        <w:t>权投资，以合并日取得被合并方所有者权益在最终控制方合并财务报表中的账面价值的份额作为</w:t>
      </w:r>
      <w:r>
        <w:rPr>
          <w:spacing w:val="-25"/>
        </w:rPr>
        <w:t> </w:t>
      </w:r>
      <w:r>
        <w:rPr>
          <w:spacing w:val="-25"/>
        </w:rPr>
      </w:r>
      <w:r>
        <w:rPr>
          <w:spacing w:val="-4"/>
        </w:rPr>
        <w:t>初始投资成本；初始投资成本与合并对价账面价值之间差额，调整资本公积</w:t>
      </w:r>
      <w:r>
        <w:rPr>
          <w:rFonts w:ascii="宋体" w:hAnsi="宋体" w:cs="宋体" w:eastAsia="宋体" w:hint="default"/>
          <w:spacing w:val="-4"/>
        </w:rPr>
        <w:t>(</w:t>
      </w:r>
      <w:r>
        <w:rPr>
          <w:spacing w:val="-4"/>
        </w:rPr>
        <w:t>不足冲减的，冲减留</w:t>
      </w:r>
      <w:r>
        <w:rPr>
          <w:spacing w:val="-34"/>
        </w:rPr>
        <w:t> </w:t>
      </w:r>
      <w:r>
        <w:rPr>
          <w:spacing w:val="-34"/>
        </w:rPr>
      </w:r>
      <w:r>
        <w:rPr>
          <w:spacing w:val="-4"/>
        </w:rPr>
        <w:t>存收益</w:t>
      </w:r>
      <w:r>
        <w:rPr>
          <w:rFonts w:ascii="宋体" w:hAnsi="宋体" w:cs="宋体" w:eastAsia="宋体" w:hint="default"/>
          <w:spacing w:val="-4"/>
        </w:rPr>
        <w:t>)</w:t>
      </w:r>
      <w:r>
        <w:rPr>
          <w:spacing w:val="-4"/>
        </w:rPr>
        <w:t>；合并日之前的其他综合收益，在处置该项投资时采用与被投资单位直接处置相关资产或</w:t>
      </w:r>
      <w:r>
        <w:rPr>
          <w:spacing w:val="-32"/>
        </w:rPr>
        <w:t> </w:t>
      </w:r>
      <w:r>
        <w:rPr>
          <w:spacing w:val="-32"/>
        </w:rPr>
      </w:r>
      <w:r>
        <w:rPr>
          <w:spacing w:val="-2"/>
        </w:rPr>
        <w:t>负债相同的基础进行会计处理，因被投资方除净损益、其他综合收益和利润分配以外的其他股东</w:t>
      </w:r>
      <w:r>
        <w:rPr>
          <w:spacing w:val="-25"/>
        </w:rPr>
        <w:t> </w:t>
      </w:r>
      <w:r>
        <w:rPr>
          <w:spacing w:val="-25"/>
        </w:rPr>
      </w:r>
      <w:r>
        <w:rPr>
          <w:spacing w:val="-2"/>
        </w:rPr>
        <w:t>权益变动而确认的股东权益，在处置该项投资时转入当期损益；其中，处置后仍为长期股权投资</w:t>
      </w:r>
      <w:r>
        <w:rPr>
          <w:spacing w:val="-25"/>
        </w:rPr>
        <w:t> </w:t>
      </w:r>
      <w:r>
        <w:rPr>
          <w:spacing w:val="-25"/>
        </w:rPr>
      </w:r>
      <w:r>
        <w:rPr/>
        <w:t>的按比例结转，处置后转换为金融工具的则全额结转。</w:t>
      </w:r>
    </w:p>
    <w:p>
      <w:pPr>
        <w:spacing w:line="240" w:lineRule="auto" w:before="11"/>
        <w:rPr>
          <w:rFonts w:ascii="宋体" w:hAnsi="宋体" w:cs="宋体" w:eastAsia="宋体" w:hint="default"/>
          <w:sz w:val="20"/>
          <w:szCs w:val="20"/>
        </w:rPr>
      </w:pPr>
    </w:p>
    <w:p>
      <w:pPr>
        <w:pStyle w:val="BodyText"/>
        <w:spacing w:line="237" w:lineRule="auto"/>
        <w:ind w:left="138" w:right="102"/>
        <w:jc w:val="left"/>
      </w:pPr>
      <w:r>
        <w:rPr>
          <w:spacing w:val="-4"/>
          <w:w w:val="100"/>
        </w:rPr>
        <w:t>通过非同一控制下的企业合并取得的长期股权投资，以合并成本作为初始投资成本</w:t>
      </w:r>
      <w:r>
        <w:rPr>
          <w:rFonts w:ascii="宋体" w:hAnsi="宋体" w:cs="宋体" w:eastAsia="宋体" w:hint="default"/>
          <w:spacing w:val="-4"/>
          <w:w w:val="100"/>
        </w:rPr>
        <w:t>(</w:t>
      </w:r>
      <w:r>
        <w:rPr>
          <w:spacing w:val="-4"/>
          <w:w w:val="100"/>
        </w:rPr>
        <w:t>通过多次交易</w:t>
      </w:r>
      <w:r>
        <w:rPr>
          <w:spacing w:val="-85"/>
          <w:w w:val="100"/>
        </w:rPr>
        <w:t> </w:t>
      </w:r>
      <w:r>
        <w:rPr>
          <w:spacing w:val="-85"/>
          <w:w w:val="100"/>
        </w:rPr>
      </w:r>
      <w:r>
        <w:rPr/>
        <w:t>分步实现非同一控制下的企业合并的，以购买日之前所持被购买方的股权投资的账面价值与购买</w:t>
      </w:r>
      <w:r>
        <w:rPr>
          <w:w w:val="100"/>
        </w:rPr>
        <w:t> </w:t>
      </w:r>
      <w:r>
        <w:rPr>
          <w:spacing w:val="-2"/>
        </w:rPr>
        <w:t>日新增投资成本之和作为初始投资成本</w:t>
      </w:r>
      <w:r>
        <w:rPr>
          <w:rFonts w:ascii="宋体" w:hAnsi="宋体" w:cs="宋体" w:eastAsia="宋体" w:hint="default"/>
          <w:spacing w:val="-2"/>
        </w:rPr>
        <w:t>)</w:t>
      </w:r>
      <w:r>
        <w:rPr>
          <w:spacing w:val="-2"/>
        </w:rPr>
        <w:t>，合并成本包括购买方付出的资产、发生或承担的负债、</w:t>
      </w:r>
      <w:r>
        <w:rPr>
          <w:spacing w:val="-18"/>
        </w:rPr>
        <w:t> </w:t>
      </w:r>
      <w:r>
        <w:rPr>
          <w:spacing w:val="-18"/>
        </w:rPr>
      </w:r>
      <w:r>
        <w:rPr>
          <w:spacing w:val="-4"/>
          <w:w w:val="100"/>
        </w:rPr>
        <w:t>发行的权益性证券的公允价值之和；购买日之前持有的因采用权益法核算而确认的其他综合收益，</w:t>
      </w:r>
      <w:r>
        <w:rPr>
          <w:spacing w:val="-86"/>
          <w:w w:val="100"/>
        </w:rPr>
        <w:t> </w:t>
      </w:r>
      <w:r>
        <w:rPr>
          <w:spacing w:val="-86"/>
          <w:w w:val="100"/>
        </w:rPr>
      </w:r>
      <w:r>
        <w:rPr/>
        <w:t>在处置该项投资时采用与被投资单位直接处置相关资产或负债相同的基础进行会计处理，因被投</w:t>
      </w:r>
      <w:r>
        <w:rPr>
          <w:w w:val="100"/>
        </w:rPr>
        <w:t> </w:t>
      </w:r>
      <w:r>
        <w:rPr/>
        <w:t>资方除净损益、其他综合收益和利润分配以外的其他股东权益变动而确认的股东权益，在处置该</w:t>
      </w:r>
      <w:r>
        <w:rPr>
          <w:w w:val="100"/>
        </w:rPr>
        <w:t> </w:t>
      </w:r>
      <w:r>
        <w:rPr/>
        <w:t>项投资时转入当期损益；其中，处置后仍为长期股权投资的按比例结转，处置后转换为金融工具</w:t>
      </w:r>
      <w:r>
        <w:rPr>
          <w:w w:val="100"/>
        </w:rPr>
        <w:t> </w:t>
      </w:r>
      <w:r>
        <w:rPr/>
        <w:t>的则全额结转；购买日之前持有的股权投资作为金融工具计入其他综合收益的累计公允价值变动</w:t>
      </w:r>
      <w:r>
        <w:rPr>
          <w:w w:val="100"/>
        </w:rPr>
        <w:t> </w:t>
      </w:r>
      <w:r>
        <w:rPr/>
        <w:t>在改按成本法核算时全部转入当期损益。</w:t>
      </w:r>
    </w:p>
    <w:p>
      <w:pPr>
        <w:spacing w:line="240" w:lineRule="auto" w:before="9"/>
        <w:rPr>
          <w:rFonts w:ascii="宋体" w:hAnsi="宋体" w:cs="宋体" w:eastAsia="宋体" w:hint="default"/>
          <w:sz w:val="20"/>
          <w:szCs w:val="20"/>
        </w:rPr>
      </w:pPr>
    </w:p>
    <w:p>
      <w:pPr>
        <w:pStyle w:val="BodyText"/>
        <w:spacing w:line="237" w:lineRule="auto"/>
        <w:ind w:left="138" w:right="102"/>
        <w:jc w:val="left"/>
      </w:pPr>
      <w:r>
        <w:rPr>
          <w:spacing w:val="-4"/>
          <w:w w:val="100"/>
        </w:rPr>
        <w:t>除企业合并形成的长期股权投资以外方式取得的长期股权投资，按照下列方法确定初始投资成本：</w:t>
      </w:r>
      <w:r>
        <w:rPr>
          <w:spacing w:val="-85"/>
          <w:w w:val="100"/>
        </w:rPr>
        <w:t> </w:t>
      </w:r>
      <w:r>
        <w:rPr>
          <w:spacing w:val="-85"/>
          <w:w w:val="100"/>
        </w:rPr>
      </w:r>
      <w:r>
        <w:rPr/>
        <w:t>支付现金取得的，以实际支付的购买价款及与取得长期股权投资直接相关的费用、税金及其他必</w:t>
      </w:r>
      <w:r>
        <w:rPr>
          <w:w w:val="100"/>
        </w:rPr>
        <w:t> </w:t>
      </w:r>
      <w:r>
        <w:rPr/>
        <w:t>要支出作为初始投资成本；发行权益性证券取得的，以发行权益性证券的公允价值作为初始投资</w:t>
      </w:r>
      <w:r>
        <w:rPr>
          <w:w w:val="100"/>
        </w:rPr>
        <w:t> </w:t>
      </w:r>
      <w:r>
        <w:rPr/>
        <w:t>成本；通过非货币性资产交换取得的，按照《企业会计准则第</w:t>
      </w:r>
      <w:r>
        <w:rPr>
          <w:spacing w:val="-55"/>
        </w:rPr>
        <w:t> </w:t>
      </w:r>
      <w:r>
        <w:rPr>
          <w:rFonts w:ascii="宋体" w:hAnsi="宋体" w:cs="宋体" w:eastAsia="宋体" w:hint="default"/>
        </w:rPr>
        <w:t>7</w:t>
      </w:r>
      <w:r>
        <w:rPr>
          <w:rFonts w:ascii="宋体" w:hAnsi="宋体" w:cs="宋体" w:eastAsia="宋体" w:hint="default"/>
          <w:spacing w:val="-55"/>
        </w:rPr>
        <w:t> </w:t>
      </w:r>
      <w:r>
        <w:rPr/>
        <w:t>号——非货币性资产交换》确定</w:t>
      </w:r>
    </w:p>
    <w:p>
      <w:pPr>
        <w:pStyle w:val="BodyText"/>
        <w:spacing w:line="274" w:lineRule="exact" w:before="22"/>
        <w:ind w:left="138" w:right="210"/>
        <w:jc w:val="both"/>
      </w:pPr>
      <w:r>
        <w:rPr>
          <w:spacing w:val="-5"/>
        </w:rPr>
        <w:t>初始投资成本；通过债务重组取得的，按照《企业会计准则第</w:t>
      </w:r>
      <w:r>
        <w:rPr>
          <w:spacing w:val="-20"/>
        </w:rPr>
        <w:t> </w:t>
      </w:r>
      <w:r>
        <w:rPr>
          <w:rFonts w:ascii="宋体" w:hAnsi="宋体" w:cs="宋体" w:eastAsia="宋体" w:hint="default"/>
        </w:rPr>
        <w:t>12</w:t>
      </w:r>
      <w:r>
        <w:rPr>
          <w:rFonts w:ascii="宋体" w:hAnsi="宋体" w:cs="宋体" w:eastAsia="宋体" w:hint="default"/>
          <w:spacing w:val="-25"/>
        </w:rPr>
        <w:t> </w:t>
      </w:r>
      <w:r>
        <w:rPr>
          <w:spacing w:val="-3"/>
        </w:rPr>
        <w:t>号——债务重组》确定初始投资</w:t>
      </w:r>
      <w:r>
        <w:rPr>
          <w:spacing w:val="-93"/>
        </w:rPr>
        <w:t> </w:t>
      </w:r>
      <w:r>
        <w:rPr>
          <w:spacing w:val="-93"/>
        </w:rPr>
      </w:r>
      <w:r>
        <w:rPr/>
        <w:t>成本。</w:t>
      </w:r>
    </w:p>
    <w:p>
      <w:pPr>
        <w:spacing w:line="240" w:lineRule="auto" w:before="12"/>
        <w:rPr>
          <w:rFonts w:ascii="宋体" w:hAnsi="宋体" w:cs="宋体" w:eastAsia="宋体" w:hint="default"/>
          <w:sz w:val="18"/>
          <w:szCs w:val="18"/>
        </w:rPr>
      </w:pPr>
    </w:p>
    <w:p>
      <w:pPr>
        <w:pStyle w:val="BodyText"/>
        <w:spacing w:line="237" w:lineRule="auto"/>
        <w:ind w:left="138" w:right="217"/>
        <w:jc w:val="both"/>
      </w:pPr>
      <w:r>
        <w:rPr>
          <w:spacing w:val="-2"/>
        </w:rPr>
        <w:t>本公司能够对被投资单位实施控制的长期股权投资，在本公司个别财务报表中采用成本法核算。</w:t>
      </w:r>
      <w:r>
        <w:rPr>
          <w:spacing w:val="-25"/>
        </w:rPr>
        <w:t> </w:t>
      </w:r>
      <w:r>
        <w:rPr>
          <w:spacing w:val="-25"/>
        </w:rPr>
      </w:r>
      <w:r>
        <w:rPr>
          <w:spacing w:val="-2"/>
        </w:rPr>
        <w:t>控制，是指拥有对被投资方的权力，通过参与被投资方的相关活动而享有可变回报，并且有能力</w:t>
      </w:r>
      <w:r>
        <w:rPr>
          <w:spacing w:val="-25"/>
        </w:rPr>
        <w:t> </w:t>
      </w:r>
      <w:r>
        <w:rPr>
          <w:spacing w:val="-25"/>
        </w:rPr>
      </w:r>
      <w:r>
        <w:rPr/>
        <w:t>运用对被投资方的权力影响回报金额。</w:t>
      </w:r>
    </w:p>
    <w:p>
      <w:pPr>
        <w:spacing w:line="240" w:lineRule="auto" w:before="10"/>
        <w:rPr>
          <w:rFonts w:ascii="宋体" w:hAnsi="宋体" w:cs="宋体" w:eastAsia="宋体" w:hint="default"/>
          <w:sz w:val="22"/>
          <w:szCs w:val="22"/>
        </w:rPr>
      </w:pPr>
    </w:p>
    <w:p>
      <w:pPr>
        <w:pStyle w:val="BodyText"/>
        <w:spacing w:line="272" w:lineRule="exact"/>
        <w:ind w:left="138" w:right="217"/>
        <w:jc w:val="both"/>
      </w:pPr>
      <w:r>
        <w:rPr>
          <w:spacing w:val="-2"/>
        </w:rPr>
        <w:t>采用成本法时，长期股权投资按初始投资成本计价。追加或收回投资的，调整长期股权投资的成</w:t>
      </w:r>
      <w:r>
        <w:rPr>
          <w:spacing w:val="-25"/>
        </w:rPr>
        <w:t> </w:t>
      </w:r>
      <w:r>
        <w:rPr>
          <w:spacing w:val="-25"/>
        </w:rPr>
      </w:r>
      <w:r>
        <w:rPr/>
        <w:t>本。被投资单位宣告分派的现金股利或利润，确认为当期投资收益。</w:t>
      </w:r>
    </w:p>
    <w:p>
      <w:pPr>
        <w:spacing w:line="240" w:lineRule="auto" w:before="12"/>
        <w:rPr>
          <w:rFonts w:ascii="宋体" w:hAnsi="宋体" w:cs="宋体" w:eastAsia="宋体" w:hint="default"/>
          <w:sz w:val="18"/>
          <w:szCs w:val="18"/>
        </w:rPr>
      </w:pPr>
    </w:p>
    <w:p>
      <w:pPr>
        <w:pStyle w:val="BodyText"/>
        <w:spacing w:line="237" w:lineRule="auto"/>
        <w:ind w:left="138" w:right="217"/>
        <w:jc w:val="both"/>
      </w:pPr>
      <w:r>
        <w:rPr>
          <w:spacing w:val="-2"/>
        </w:rPr>
        <w:t>本集团对被投资单位具有共同控制或重大影响的，长期股权投资采用权益法核算。共同控制，是</w:t>
      </w:r>
      <w:r>
        <w:rPr>
          <w:spacing w:val="-25"/>
        </w:rPr>
        <w:t> </w:t>
      </w:r>
      <w:r>
        <w:rPr>
          <w:spacing w:val="-25"/>
        </w:rPr>
      </w:r>
      <w:r>
        <w:rPr>
          <w:spacing w:val="-2"/>
        </w:rPr>
        <w:t>指按照相关约定对某项安排所共有的控制，并且该安排的相关活动必须经过分享控制权的参与方</w:t>
      </w:r>
      <w:r>
        <w:rPr>
          <w:spacing w:val="-25"/>
        </w:rPr>
        <w:t> </w:t>
      </w:r>
      <w:r>
        <w:rPr>
          <w:spacing w:val="-25"/>
        </w:rPr>
      </w:r>
      <w:r>
        <w:rPr>
          <w:spacing w:val="-2"/>
        </w:rPr>
        <w:t>一致同意后才能决策。重大影响，是指对被投资单位的财务和经营政策有参与决策的权力，但并</w:t>
      </w:r>
      <w:r>
        <w:rPr>
          <w:spacing w:val="-25"/>
        </w:rPr>
        <w:t> </w:t>
      </w:r>
      <w:r>
        <w:rPr>
          <w:spacing w:val="-25"/>
        </w:rPr>
      </w:r>
      <w:r>
        <w:rPr/>
        <w:t>不能够控制或者与其他方一起共同控制这些政策的制定。</w:t>
      </w:r>
    </w:p>
    <w:p>
      <w:pPr>
        <w:spacing w:line="240" w:lineRule="auto" w:before="10"/>
        <w:rPr>
          <w:rFonts w:ascii="宋体" w:hAnsi="宋体" w:cs="宋体" w:eastAsia="宋体" w:hint="default"/>
          <w:sz w:val="22"/>
          <w:szCs w:val="22"/>
        </w:rPr>
      </w:pPr>
    </w:p>
    <w:p>
      <w:pPr>
        <w:pStyle w:val="BodyText"/>
        <w:spacing w:line="272" w:lineRule="exact"/>
        <w:ind w:left="138" w:right="210"/>
        <w:jc w:val="both"/>
      </w:pPr>
      <w:r>
        <w:rPr>
          <w:spacing w:val="-2"/>
        </w:rPr>
        <w:t>采用权益法时，长期股权投资的初始投资成本大于投资时应享有被投资单位可辨认净资产公允价</w:t>
      </w:r>
      <w:r>
        <w:rPr>
          <w:spacing w:val="-25"/>
        </w:rPr>
        <w:t> </w:t>
      </w:r>
      <w:r>
        <w:rPr>
          <w:spacing w:val="-25"/>
        </w:rPr>
      </w:r>
      <w:r>
        <w:rPr>
          <w:spacing w:val="-2"/>
        </w:rPr>
        <w:t>值份额的，归入长期股权投资的初始投资成本；长期股权投资的初始投资成本小于投资时应享有</w:t>
      </w:r>
      <w:r>
        <w:rPr>
          <w:spacing w:val="-25"/>
        </w:rPr>
        <w:t> </w:t>
      </w:r>
      <w:r>
        <w:rPr>
          <w:spacing w:val="-25"/>
        </w:rPr>
      </w:r>
      <w:r>
        <w:rPr>
          <w:spacing w:val="-7"/>
          <w:w w:val="100"/>
        </w:rPr>
        <w:t>被投资单位可辨认净资产公允价值份额的，其差额计入当期损益，同时调整长期股权投资的成本。</w:t>
      </w:r>
    </w:p>
    <w:p>
      <w:pPr>
        <w:spacing w:line="240" w:lineRule="auto" w:before="12"/>
        <w:rPr>
          <w:rFonts w:ascii="宋体" w:hAnsi="宋体" w:cs="宋体" w:eastAsia="宋体" w:hint="default"/>
          <w:sz w:val="18"/>
          <w:szCs w:val="18"/>
        </w:rPr>
      </w:pPr>
    </w:p>
    <w:p>
      <w:pPr>
        <w:pStyle w:val="BodyText"/>
        <w:spacing w:line="237" w:lineRule="auto"/>
        <w:ind w:left="138" w:right="217"/>
        <w:jc w:val="both"/>
      </w:pPr>
      <w:r>
        <w:rPr>
          <w:spacing w:val="-2"/>
        </w:rPr>
        <w:t>采用权益法时，取得长期股权投资后，按照应享有或应分担的被投资单位实现的净损益和其他综</w:t>
      </w:r>
      <w:r>
        <w:rPr>
          <w:spacing w:val="-25"/>
        </w:rPr>
        <w:t> </w:t>
      </w:r>
      <w:r>
        <w:rPr>
          <w:spacing w:val="-25"/>
        </w:rPr>
      </w:r>
      <w:r>
        <w:rPr>
          <w:spacing w:val="-2"/>
        </w:rPr>
        <w:t>合收益的份额，分别确认投资损益和其他综合收益并调整长期股权投资的账面价值。在确认应享</w:t>
      </w:r>
      <w:r>
        <w:rPr>
          <w:spacing w:val="-25"/>
        </w:rPr>
        <w:t> </w:t>
      </w:r>
      <w:r>
        <w:rPr>
          <w:spacing w:val="-25"/>
        </w:rPr>
      </w:r>
      <w:r>
        <w:rPr>
          <w:spacing w:val="-2"/>
        </w:rPr>
        <w:t>有被投资单位净损益的份额时，以取得投资时被投资单位可辨认资产等的公允价值为基础，按照</w:t>
      </w:r>
      <w:r>
        <w:rPr>
          <w:spacing w:val="-25"/>
        </w:rPr>
        <w:t> </w:t>
      </w:r>
      <w:r>
        <w:rPr>
          <w:spacing w:val="-25"/>
        </w:rPr>
      </w:r>
      <w:r>
        <w:rPr>
          <w:spacing w:val="-2"/>
        </w:rPr>
        <w:t>本集团的会计政策及会计期间，并抵销与联营企业及合营企业之间发生的内部交易损益按照应享</w:t>
      </w:r>
      <w:r>
        <w:rPr>
          <w:spacing w:val="-25"/>
        </w:rPr>
        <w:t> </w:t>
      </w:r>
      <w:r>
        <w:rPr>
          <w:spacing w:val="-25"/>
        </w:rPr>
      </w:r>
      <w:r>
        <w:rPr>
          <w:spacing w:val="-2"/>
        </w:rPr>
        <w:t>有的比例计算归属于投资方的部分</w:t>
      </w:r>
      <w:r>
        <w:rPr>
          <w:rFonts w:ascii="宋体" w:hAnsi="宋体" w:cs="宋体" w:eastAsia="宋体" w:hint="default"/>
          <w:spacing w:val="-2"/>
        </w:rPr>
        <w:t>(</w:t>
      </w:r>
      <w:r>
        <w:rPr>
          <w:spacing w:val="-2"/>
        </w:rPr>
        <w:t>但内部交易损失属于资产减值损失的，应全额确认</w:t>
      </w:r>
      <w:r>
        <w:rPr>
          <w:rFonts w:ascii="宋体" w:hAnsi="宋体" w:cs="宋体" w:eastAsia="宋体" w:hint="default"/>
          <w:spacing w:val="-2"/>
        </w:rPr>
        <w:t>)</w:t>
      </w:r>
      <w:r>
        <w:rPr>
          <w:spacing w:val="-2"/>
        </w:rPr>
        <w:t>，对被投</w:t>
      </w:r>
      <w:r>
        <w:rPr>
          <w:spacing w:val="-26"/>
        </w:rPr>
        <w:t> </w:t>
      </w:r>
      <w:r>
        <w:rPr>
          <w:spacing w:val="-26"/>
        </w:rPr>
      </w:r>
      <w:r>
        <w:rPr>
          <w:spacing w:val="-2"/>
        </w:rPr>
        <w:t>资单位的净利润进行调整后确认，但投出或出售的资产构成业务的除外。按照被投资单位宣告分</w:t>
      </w:r>
      <w:r>
        <w:rPr>
          <w:spacing w:val="-25"/>
        </w:rPr>
        <w:t> </w:t>
      </w:r>
      <w:r>
        <w:rPr>
          <w:spacing w:val="-25"/>
        </w:rPr>
      </w:r>
      <w:r>
        <w:rPr>
          <w:spacing w:val="-2"/>
        </w:rPr>
        <w:t>派的利润或现金股利计算应享有的部分，相应减少长期股权投资的账面价值。本集团确认被投资</w:t>
      </w:r>
      <w:r>
        <w:rPr>
          <w:spacing w:val="-25"/>
        </w:rPr>
        <w:t> </w:t>
      </w:r>
      <w:r>
        <w:rPr>
          <w:spacing w:val="-25"/>
        </w:rPr>
      </w:r>
      <w:r>
        <w:rPr>
          <w:spacing w:val="-2"/>
        </w:rPr>
        <w:t>单位发生的净亏损，以长期股权投资的账面价值以及其他实质上构成对被投资单位净投资的长期</w:t>
      </w:r>
    </w:p>
    <w:p>
      <w:pPr>
        <w:spacing w:after="0" w:line="237" w:lineRule="auto"/>
        <w:jc w:val="both"/>
        <w:sectPr>
          <w:pgSz w:w="11910" w:h="16840"/>
          <w:pgMar w:header="857" w:footer="1195" w:top="1320" w:bottom="1380" w:left="1660" w:right="1060"/>
        </w:sectPr>
      </w:pPr>
    </w:p>
    <w:p>
      <w:pPr>
        <w:spacing w:line="240" w:lineRule="auto" w:before="2"/>
        <w:rPr>
          <w:rFonts w:ascii="宋体" w:hAnsi="宋体" w:cs="宋体" w:eastAsia="宋体" w:hint="default"/>
          <w:sz w:val="9"/>
          <w:szCs w:val="9"/>
        </w:rPr>
      </w:pPr>
    </w:p>
    <w:p>
      <w:pPr>
        <w:pStyle w:val="BodyText"/>
        <w:spacing w:line="240" w:lineRule="auto" w:before="36"/>
        <w:ind w:right="99"/>
        <w:jc w:val="left"/>
      </w:pPr>
      <w:r>
        <w:rPr>
          <w:spacing w:val="-2"/>
        </w:rPr>
        <w:t>权益减记至零为限，本集团负有承担额外损失义务的除外。对于被投资单位除净损益、其他综合</w:t>
      </w:r>
      <w:r>
        <w:rPr>
          <w:spacing w:val="-25"/>
        </w:rPr>
        <w:t> </w:t>
      </w:r>
      <w:r>
        <w:rPr>
          <w:spacing w:val="-25"/>
        </w:rPr>
      </w:r>
      <w:r>
        <w:rPr/>
        <w:t>收益和利润分配以外股东权益的其他变动，调整长期股权投资的账面价值并计入股东权益。</w:t>
      </w:r>
    </w:p>
    <w:p>
      <w:pPr>
        <w:spacing w:line="240" w:lineRule="auto" w:before="11"/>
        <w:rPr>
          <w:rFonts w:ascii="宋体" w:hAnsi="宋体" w:cs="宋体" w:eastAsia="宋体" w:hint="default"/>
          <w:sz w:val="20"/>
          <w:szCs w:val="20"/>
        </w:rPr>
      </w:pPr>
    </w:p>
    <w:p>
      <w:pPr>
        <w:pStyle w:val="BodyText"/>
        <w:spacing w:line="237" w:lineRule="auto"/>
        <w:ind w:right="237"/>
        <w:jc w:val="both"/>
      </w:pPr>
      <w:r>
        <w:rPr>
          <w:spacing w:val="-2"/>
        </w:rPr>
        <w:t>处置长期股权投资，其账面价值与实际取得价款的差额，计入当期损益。采用权益法核算的长期</w:t>
      </w:r>
      <w:r>
        <w:rPr>
          <w:spacing w:val="-25"/>
        </w:rPr>
        <w:t> </w:t>
      </w:r>
      <w:r>
        <w:rPr>
          <w:spacing w:val="-25"/>
        </w:rPr>
      </w:r>
      <w:r>
        <w:rPr>
          <w:spacing w:val="-2"/>
        </w:rPr>
        <w:t>股权投资，终止采用权益法的，原权益法核算的相关其他综合收益采用与被投资单位直接处置相</w:t>
      </w:r>
      <w:r>
        <w:rPr>
          <w:spacing w:val="-25"/>
        </w:rPr>
        <w:t> </w:t>
      </w:r>
      <w:r>
        <w:rPr>
          <w:spacing w:val="-25"/>
        </w:rPr>
      </w:r>
      <w:r>
        <w:rPr>
          <w:spacing w:val="-2"/>
        </w:rPr>
        <w:t>关资产或负债相同的基础进行会计处理，因被投资方除净损益、其他综合收益和利润分配以外的</w:t>
      </w:r>
      <w:r>
        <w:rPr>
          <w:spacing w:val="-25"/>
        </w:rPr>
        <w:t> </w:t>
      </w:r>
      <w:r>
        <w:rPr>
          <w:spacing w:val="-25"/>
        </w:rPr>
      </w:r>
      <w:r>
        <w:rPr>
          <w:spacing w:val="-2"/>
        </w:rPr>
        <w:t>其他股东权益变动而确认的股东权益，全部转入当期损益；仍采用权益法的，原权益法核算的相</w:t>
      </w:r>
      <w:r>
        <w:rPr>
          <w:spacing w:val="-25"/>
        </w:rPr>
        <w:t> </w:t>
      </w:r>
      <w:r>
        <w:rPr>
          <w:spacing w:val="-25"/>
        </w:rPr>
      </w:r>
      <w:r>
        <w:rPr>
          <w:spacing w:val="-2"/>
        </w:rPr>
        <w:t>关其他综合收益采用与被投资单位直接处置相关资产或负债相同的基础进行会计处理并按比例转</w:t>
      </w:r>
      <w:r>
        <w:rPr>
          <w:spacing w:val="-25"/>
        </w:rPr>
        <w:t> </w:t>
      </w:r>
      <w:r>
        <w:rPr>
          <w:spacing w:val="-25"/>
        </w:rPr>
      </w:r>
      <w:r>
        <w:rPr>
          <w:spacing w:val="-2"/>
        </w:rPr>
        <w:t>入当期损益，因被投资方除净损益、其他综合收益和利润分配以外的其他股东权益变动而确认的</w:t>
      </w:r>
      <w:r>
        <w:rPr>
          <w:spacing w:val="-25"/>
        </w:rPr>
        <w:t> </w:t>
      </w:r>
      <w:r>
        <w:rPr>
          <w:spacing w:val="-25"/>
        </w:rPr>
      </w:r>
      <w:r>
        <w:rPr/>
        <w:t>股东权益，按相应的比例转入当期损益。</w:t>
      </w:r>
    </w:p>
    <w:p>
      <w:pPr>
        <w:spacing w:line="240" w:lineRule="auto" w:before="3"/>
        <w:rPr>
          <w:rFonts w:ascii="宋体" w:hAnsi="宋体" w:cs="宋体" w:eastAsia="宋体" w:hint="default"/>
          <w:sz w:val="25"/>
          <w:szCs w:val="25"/>
        </w:rPr>
      </w:pPr>
    </w:p>
    <w:p>
      <w:pPr>
        <w:spacing w:line="290" w:lineRule="auto" w:before="0"/>
        <w:ind w:left="218" w:right="7357" w:firstLine="0"/>
        <w:jc w:val="left"/>
        <w:rPr>
          <w:rFonts w:ascii="宋体" w:hAnsi="宋体" w:cs="宋体" w:eastAsia="宋体" w:hint="default"/>
          <w:sz w:val="21"/>
          <w:szCs w:val="21"/>
        </w:rPr>
      </w:pPr>
      <w:r>
        <w:rPr>
          <w:rFonts w:ascii="宋体" w:hAnsi="宋体" w:cs="宋体" w:eastAsia="宋体" w:hint="default"/>
          <w:b/>
          <w:bCs/>
          <w:sz w:val="21"/>
          <w:szCs w:val="21"/>
        </w:rPr>
        <w:t>15.</w:t>
      </w:r>
      <w:r>
        <w:rPr>
          <w:rFonts w:ascii="宋体" w:hAnsi="宋体" w:cs="宋体" w:eastAsia="宋体" w:hint="default"/>
          <w:b/>
          <w:bCs/>
          <w:spacing w:val="3"/>
          <w:sz w:val="21"/>
          <w:szCs w:val="21"/>
        </w:rPr>
        <w:t> </w:t>
      </w:r>
      <w:r>
        <w:rPr>
          <w:rFonts w:ascii="宋体" w:hAnsi="宋体" w:cs="宋体" w:eastAsia="宋体" w:hint="default"/>
          <w:b/>
          <w:bCs/>
          <w:sz w:val="21"/>
          <w:szCs w:val="21"/>
        </w:rPr>
        <w:t>投资性房地产</w:t>
      </w:r>
      <w:r>
        <w:rPr>
          <w:rFonts w:ascii="宋体" w:hAnsi="宋体" w:cs="宋体" w:eastAsia="宋体" w:hint="default"/>
          <w:b/>
          <w:bCs/>
          <w:w w:val="100"/>
          <w:sz w:val="21"/>
          <w:szCs w:val="21"/>
        </w:rPr>
        <w:t> </w:t>
      </w:r>
      <w:r>
        <w:rPr>
          <w:rFonts w:ascii="宋体" w:hAnsi="宋体" w:cs="宋体" w:eastAsia="宋体" w:hint="default"/>
          <w:sz w:val="21"/>
          <w:szCs w:val="21"/>
        </w:rPr>
        <w:t>不适用</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2"/>
          <w:szCs w:val="22"/>
        </w:rPr>
      </w:pPr>
    </w:p>
    <w:p>
      <w:pPr>
        <w:pStyle w:val="Heading3"/>
        <w:spacing w:line="290" w:lineRule="auto"/>
        <w:ind w:right="7779"/>
        <w:jc w:val="left"/>
        <w:rPr>
          <w:b w:val="0"/>
          <w:bCs w:val="0"/>
        </w:rPr>
      </w:pPr>
      <w:r>
        <w:rPr>
          <w:rFonts w:ascii="宋体" w:hAnsi="宋体" w:cs="宋体" w:eastAsia="宋体" w:hint="default"/>
        </w:rPr>
        <w:t>16.</w:t>
      </w:r>
      <w:r>
        <w:rPr>
          <w:rFonts w:ascii="宋体" w:hAnsi="宋体" w:cs="宋体" w:eastAsia="宋体" w:hint="default"/>
          <w:spacing w:val="2"/>
        </w:rPr>
        <w:t> </w:t>
      </w:r>
      <w:r>
        <w:rPr/>
        <w:t>固定资产</w:t>
      </w:r>
      <w:r>
        <w:rPr>
          <w:w w:val="100"/>
        </w:rPr>
        <w:t> </w:t>
      </w:r>
      <w:r>
        <w:rPr>
          <w:rFonts w:ascii="宋体" w:hAnsi="宋体" w:cs="宋体" w:eastAsia="宋体" w:hint="default"/>
        </w:rPr>
        <w:t>(1).</w:t>
      </w:r>
      <w:r>
        <w:rPr/>
        <w:t>确认条件</w:t>
      </w:r>
      <w:r>
        <w:rPr>
          <w:b w:val="0"/>
          <w:bCs w:val="0"/>
        </w:rPr>
      </w:r>
    </w:p>
    <w:p>
      <w:pPr>
        <w:pStyle w:val="BodyText"/>
        <w:spacing w:line="237" w:lineRule="auto" w:before="17"/>
        <w:ind w:right="99"/>
        <w:jc w:val="left"/>
      </w:pPr>
      <w:r>
        <w:rPr/>
        <w:t>√适用</w:t>
      </w:r>
      <w:r>
        <w:rPr>
          <w:spacing w:val="-2"/>
        </w:rPr>
        <w:t> </w:t>
      </w:r>
      <w:r>
        <w:rPr/>
        <w:t>□不适用</w:t>
      </w:r>
      <w:r>
        <w:rPr>
          <w:w w:val="100"/>
        </w:rPr>
        <w:t> </w:t>
      </w:r>
      <w:r>
        <w:rPr>
          <w:spacing w:val="-2"/>
        </w:rPr>
        <w:t>固定资产仅在与其有关的经济利益很可能流入本集团，且其成本能够可靠地计量时才予以确认。</w:t>
      </w:r>
      <w:r>
        <w:rPr>
          <w:spacing w:val="-25"/>
        </w:rPr>
        <w:t> </w:t>
      </w:r>
      <w:r>
        <w:rPr>
          <w:spacing w:val="-25"/>
        </w:rPr>
      </w:r>
      <w:r>
        <w:rPr>
          <w:spacing w:val="-2"/>
        </w:rPr>
        <w:t>与固定资产有关的后续支出，符合该确认条件的，计入固定资产成本，并终止确认被替换部分的</w:t>
      </w:r>
      <w:r>
        <w:rPr>
          <w:spacing w:val="-25"/>
        </w:rPr>
        <w:t> </w:t>
      </w:r>
      <w:r>
        <w:rPr>
          <w:spacing w:val="-25"/>
        </w:rPr>
      </w:r>
      <w:r>
        <w:rPr/>
        <w:t>账面价值；否则，在发生时计入当期损益。</w:t>
      </w:r>
    </w:p>
    <w:p>
      <w:pPr>
        <w:spacing w:line="240" w:lineRule="auto" w:before="10"/>
        <w:rPr>
          <w:rFonts w:ascii="宋体" w:hAnsi="宋体" w:cs="宋体" w:eastAsia="宋体" w:hint="default"/>
          <w:sz w:val="22"/>
          <w:szCs w:val="22"/>
        </w:rPr>
      </w:pPr>
    </w:p>
    <w:p>
      <w:pPr>
        <w:pStyle w:val="BodyText"/>
        <w:spacing w:line="272" w:lineRule="exact"/>
        <w:ind w:right="99"/>
        <w:jc w:val="left"/>
      </w:pPr>
      <w:r>
        <w:rPr>
          <w:spacing w:val="-2"/>
        </w:rPr>
        <w:t>固定资产按照成本进行初始计量。购置固定资产的成本包括购买价款、相关税费、使固定资产达</w:t>
      </w:r>
      <w:r>
        <w:rPr>
          <w:spacing w:val="-25"/>
        </w:rPr>
        <w:t> </w:t>
      </w:r>
      <w:r>
        <w:rPr>
          <w:spacing w:val="-25"/>
        </w:rPr>
      </w:r>
      <w:r>
        <w:rPr/>
        <w:t>到预定可使用状态前所发生的可直接归属于该项资产的其他支出。</w:t>
      </w:r>
    </w:p>
    <w:p>
      <w:pPr>
        <w:spacing w:line="240" w:lineRule="auto" w:before="4"/>
        <w:rPr>
          <w:rFonts w:ascii="宋体" w:hAnsi="宋体" w:cs="宋体" w:eastAsia="宋体" w:hint="default"/>
          <w:sz w:val="23"/>
          <w:szCs w:val="23"/>
        </w:rPr>
      </w:pPr>
    </w:p>
    <w:p>
      <w:pPr>
        <w:pStyle w:val="Heading3"/>
        <w:spacing w:line="240" w:lineRule="auto"/>
        <w:ind w:right="99"/>
        <w:jc w:val="left"/>
        <w:rPr>
          <w:b w:val="0"/>
          <w:bCs w:val="0"/>
        </w:rPr>
      </w:pPr>
      <w:r>
        <w:rPr>
          <w:rFonts w:ascii="宋体" w:hAnsi="宋体" w:cs="宋体" w:eastAsia="宋体" w:hint="default"/>
        </w:rPr>
        <w:t>(2).</w:t>
      </w:r>
      <w:r>
        <w:rPr/>
        <w:t>折旧方法</w:t>
      </w:r>
      <w:r>
        <w:rPr>
          <w:b w:val="0"/>
          <w:bCs w:val="0"/>
        </w:rPr>
      </w:r>
    </w:p>
    <w:p>
      <w:pPr>
        <w:pStyle w:val="BodyText"/>
        <w:spacing w:line="240" w:lineRule="auto" w:before="58"/>
        <w:ind w:right="99"/>
        <w:jc w:val="left"/>
      </w:pPr>
      <w:r>
        <w:rPr/>
        <w:t>√适用</w:t>
      </w:r>
      <w:r>
        <w:rPr>
          <w:spacing w:val="-1"/>
        </w:rPr>
        <w:t> </w:t>
      </w:r>
      <w:r>
        <w:rPr/>
        <w:t>□不适用</w:t>
      </w: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718"/>
        <w:gridCol w:w="1832"/>
        <w:gridCol w:w="1834"/>
        <w:gridCol w:w="1834"/>
        <w:gridCol w:w="1831"/>
      </w:tblGrid>
      <w:tr>
        <w:trPr>
          <w:trHeight w:val="283" w:hRule="exact"/>
        </w:trPr>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90" w:right="0"/>
              <w:jc w:val="left"/>
              <w:rPr>
                <w:rFonts w:ascii="宋体" w:hAnsi="宋体" w:cs="宋体" w:eastAsia="宋体" w:hint="default"/>
                <w:sz w:val="21"/>
                <w:szCs w:val="21"/>
              </w:rPr>
            </w:pPr>
            <w:r>
              <w:rPr>
                <w:rFonts w:ascii="宋体" w:hAnsi="宋体" w:cs="宋体" w:eastAsia="宋体" w:hint="default"/>
                <w:sz w:val="21"/>
                <w:szCs w:val="21"/>
              </w:rPr>
              <w:t>折旧方法</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75" w:right="0"/>
              <w:jc w:val="left"/>
              <w:rPr>
                <w:rFonts w:ascii="宋体" w:hAnsi="宋体" w:cs="宋体" w:eastAsia="宋体" w:hint="default"/>
                <w:sz w:val="21"/>
                <w:szCs w:val="21"/>
              </w:rPr>
            </w:pPr>
            <w:r>
              <w:rPr>
                <w:rFonts w:ascii="宋体" w:hAnsi="宋体" w:cs="宋体" w:eastAsia="宋体" w:hint="default"/>
                <w:sz w:val="21"/>
                <w:szCs w:val="21"/>
              </w:rPr>
              <w:t>折旧年限（年）</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95" w:right="0"/>
              <w:jc w:val="left"/>
              <w:rPr>
                <w:rFonts w:ascii="宋体" w:hAnsi="宋体" w:cs="宋体" w:eastAsia="宋体" w:hint="default"/>
                <w:sz w:val="21"/>
                <w:szCs w:val="21"/>
              </w:rPr>
            </w:pPr>
            <w:r>
              <w:rPr>
                <w:rFonts w:ascii="宋体" w:hAnsi="宋体" w:cs="宋体" w:eastAsia="宋体" w:hint="default"/>
                <w:sz w:val="21"/>
                <w:szCs w:val="21"/>
              </w:rPr>
              <w:t>残值率</w:t>
            </w:r>
          </w:p>
        </w:tc>
        <w:tc>
          <w:tcPr>
            <w:tcW w:w="18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89" w:right="0"/>
              <w:jc w:val="left"/>
              <w:rPr>
                <w:rFonts w:ascii="宋体" w:hAnsi="宋体" w:cs="宋体" w:eastAsia="宋体" w:hint="default"/>
                <w:sz w:val="21"/>
                <w:szCs w:val="21"/>
              </w:rPr>
            </w:pPr>
            <w:r>
              <w:rPr>
                <w:rFonts w:ascii="宋体" w:hAnsi="宋体" w:cs="宋体" w:eastAsia="宋体" w:hint="default"/>
                <w:sz w:val="21"/>
                <w:szCs w:val="21"/>
              </w:rPr>
              <w:t>年折旧率</w:t>
            </w:r>
          </w:p>
        </w:tc>
      </w:tr>
      <w:tr>
        <w:trPr>
          <w:trHeight w:val="283" w:hRule="exact"/>
        </w:trPr>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年限平均法</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40</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3%</w:t>
            </w:r>
          </w:p>
        </w:tc>
        <w:tc>
          <w:tcPr>
            <w:tcW w:w="18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2.4%</w:t>
            </w:r>
          </w:p>
        </w:tc>
      </w:tr>
      <w:tr>
        <w:trPr>
          <w:trHeight w:val="281" w:hRule="exact"/>
        </w:trPr>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年限平均法</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6</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3%</w:t>
            </w:r>
          </w:p>
        </w:tc>
        <w:tc>
          <w:tcPr>
            <w:tcW w:w="18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16.2%</w:t>
            </w:r>
          </w:p>
        </w:tc>
      </w:tr>
      <w:tr>
        <w:trPr>
          <w:trHeight w:val="283" w:hRule="exact"/>
        </w:trPr>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办公及电子设备</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年限平均法</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3-5</w:t>
            </w:r>
            <w:r>
              <w:rPr>
                <w:rFonts w:ascii="宋体" w:hAnsi="宋体" w:cs="宋体" w:eastAsia="宋体" w:hint="default"/>
                <w:spacing w:val="-50"/>
                <w:sz w:val="21"/>
                <w:szCs w:val="21"/>
              </w:rPr>
              <w:t> </w:t>
            </w:r>
            <w:r>
              <w:rPr>
                <w:rFonts w:ascii="宋体" w:hAnsi="宋体" w:cs="宋体" w:eastAsia="宋体" w:hint="default"/>
                <w:sz w:val="21"/>
                <w:szCs w:val="21"/>
              </w:rPr>
              <w:t>年</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0%</w:t>
            </w:r>
          </w:p>
        </w:tc>
        <w:tc>
          <w:tcPr>
            <w:tcW w:w="18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20.0-33.3%</w:t>
            </w:r>
          </w:p>
        </w:tc>
      </w:tr>
      <w:tr>
        <w:trPr>
          <w:trHeight w:val="283" w:hRule="exact"/>
        </w:trPr>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年限平均法</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8-20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3%</w:t>
            </w:r>
          </w:p>
        </w:tc>
        <w:tc>
          <w:tcPr>
            <w:tcW w:w="18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4.9-12.1%</w:t>
            </w:r>
          </w:p>
        </w:tc>
      </w:tr>
    </w:tbl>
    <w:p>
      <w:pPr>
        <w:spacing w:line="240" w:lineRule="auto" w:before="5"/>
        <w:rPr>
          <w:rFonts w:ascii="宋体" w:hAnsi="宋体" w:cs="宋体" w:eastAsia="宋体" w:hint="default"/>
          <w:sz w:val="15"/>
          <w:szCs w:val="15"/>
        </w:rPr>
      </w:pPr>
    </w:p>
    <w:p>
      <w:pPr>
        <w:pStyle w:val="BodyText"/>
        <w:spacing w:line="240" w:lineRule="auto" w:before="36"/>
        <w:ind w:right="99"/>
        <w:jc w:val="left"/>
      </w:pPr>
      <w:r>
        <w:rPr>
          <w:w w:val="100"/>
        </w:rPr>
        <w:t>固定</w:t>
      </w:r>
      <w:r>
        <w:rPr>
          <w:spacing w:val="-3"/>
          <w:w w:val="100"/>
        </w:rPr>
        <w:t>资</w:t>
      </w:r>
      <w:r>
        <w:rPr>
          <w:w w:val="100"/>
        </w:rPr>
        <w:t>产</w:t>
      </w:r>
      <w:r>
        <w:rPr>
          <w:spacing w:val="-3"/>
          <w:w w:val="100"/>
        </w:rPr>
        <w:t>的</w:t>
      </w:r>
      <w:r>
        <w:rPr>
          <w:w w:val="100"/>
        </w:rPr>
        <w:t>各</w:t>
      </w:r>
      <w:r>
        <w:rPr>
          <w:spacing w:val="-3"/>
          <w:w w:val="100"/>
        </w:rPr>
        <w:t>组</w:t>
      </w:r>
      <w:r>
        <w:rPr>
          <w:w w:val="100"/>
        </w:rPr>
        <w:t>成</w:t>
      </w:r>
      <w:r>
        <w:rPr>
          <w:spacing w:val="-3"/>
          <w:w w:val="100"/>
        </w:rPr>
        <w:t>部</w:t>
      </w:r>
      <w:r>
        <w:rPr>
          <w:w w:val="100"/>
        </w:rPr>
        <w:t>分</w:t>
      </w:r>
      <w:r>
        <w:rPr>
          <w:spacing w:val="-3"/>
          <w:w w:val="100"/>
        </w:rPr>
        <w:t>具</w:t>
      </w:r>
      <w:r>
        <w:rPr>
          <w:w w:val="100"/>
        </w:rPr>
        <w:t>有不</w:t>
      </w:r>
      <w:r>
        <w:rPr>
          <w:spacing w:val="-3"/>
          <w:w w:val="100"/>
        </w:rPr>
        <w:t>同</w:t>
      </w:r>
      <w:r>
        <w:rPr>
          <w:w w:val="100"/>
        </w:rPr>
        <w:t>使</w:t>
      </w:r>
      <w:r>
        <w:rPr>
          <w:spacing w:val="-3"/>
          <w:w w:val="100"/>
        </w:rPr>
        <w:t>用</w:t>
      </w:r>
      <w:r>
        <w:rPr>
          <w:w w:val="100"/>
        </w:rPr>
        <w:t>寿</w:t>
      </w:r>
      <w:r>
        <w:rPr>
          <w:spacing w:val="-3"/>
          <w:w w:val="100"/>
        </w:rPr>
        <w:t>命</w:t>
      </w:r>
      <w:r>
        <w:rPr>
          <w:w w:val="100"/>
        </w:rPr>
        <w:t>或</w:t>
      </w:r>
      <w:r>
        <w:rPr>
          <w:spacing w:val="-3"/>
          <w:w w:val="100"/>
        </w:rPr>
        <w:t>以</w:t>
      </w:r>
      <w:r>
        <w:rPr>
          <w:w w:val="100"/>
        </w:rPr>
        <w:t>不</w:t>
      </w:r>
      <w:r>
        <w:rPr>
          <w:spacing w:val="-3"/>
          <w:w w:val="100"/>
        </w:rPr>
        <w:t>同</w:t>
      </w:r>
      <w:r>
        <w:rPr>
          <w:w w:val="100"/>
        </w:rPr>
        <w:t>方式</w:t>
      </w:r>
      <w:r>
        <w:rPr>
          <w:spacing w:val="-3"/>
          <w:w w:val="100"/>
        </w:rPr>
        <w:t>为</w:t>
      </w:r>
      <w:r>
        <w:rPr>
          <w:w w:val="100"/>
        </w:rPr>
        <w:t>企</w:t>
      </w:r>
      <w:r>
        <w:rPr>
          <w:spacing w:val="-3"/>
          <w:w w:val="100"/>
        </w:rPr>
        <w:t>业</w:t>
      </w:r>
      <w:r>
        <w:rPr>
          <w:w w:val="100"/>
        </w:rPr>
        <w:t>提</w:t>
      </w:r>
      <w:r>
        <w:rPr>
          <w:spacing w:val="-3"/>
          <w:w w:val="100"/>
        </w:rPr>
        <w:t>供</w:t>
      </w:r>
      <w:r>
        <w:rPr>
          <w:w w:val="100"/>
        </w:rPr>
        <w:t>经</w:t>
      </w:r>
      <w:r>
        <w:rPr>
          <w:spacing w:val="-3"/>
          <w:w w:val="100"/>
        </w:rPr>
        <w:t>济</w:t>
      </w:r>
      <w:r>
        <w:rPr>
          <w:w w:val="100"/>
        </w:rPr>
        <w:t>利</w:t>
      </w:r>
      <w:r>
        <w:rPr>
          <w:spacing w:val="-3"/>
          <w:w w:val="100"/>
        </w:rPr>
        <w:t>益</w:t>
      </w:r>
      <w:r>
        <w:rPr>
          <w:w w:val="100"/>
        </w:rPr>
        <w:t>的</w:t>
      </w:r>
      <w:r>
        <w:rPr>
          <w:spacing w:val="-94"/>
          <w:w w:val="100"/>
        </w:rPr>
        <w:t>，</w:t>
      </w:r>
      <w:r>
        <w:rPr>
          <w:w w:val="100"/>
        </w:rPr>
        <w:t>适</w:t>
      </w:r>
      <w:r>
        <w:rPr>
          <w:spacing w:val="-3"/>
          <w:w w:val="100"/>
        </w:rPr>
        <w:t>用</w:t>
      </w:r>
      <w:r>
        <w:rPr>
          <w:w w:val="100"/>
        </w:rPr>
        <w:t>不</w:t>
      </w:r>
      <w:r>
        <w:rPr>
          <w:spacing w:val="-3"/>
          <w:w w:val="100"/>
        </w:rPr>
        <w:t>同折旧率</w:t>
      </w:r>
      <w:r>
        <w:rPr>
          <w:w w:val="100"/>
        </w:rPr>
        <w:t>。</w:t>
      </w:r>
    </w:p>
    <w:p>
      <w:pPr>
        <w:spacing w:line="240" w:lineRule="auto" w:before="9"/>
        <w:rPr>
          <w:rFonts w:ascii="宋体" w:hAnsi="宋体" w:cs="宋体" w:eastAsia="宋体" w:hint="default"/>
          <w:sz w:val="20"/>
          <w:szCs w:val="20"/>
        </w:rPr>
      </w:pPr>
    </w:p>
    <w:p>
      <w:pPr>
        <w:pStyle w:val="BodyText"/>
        <w:spacing w:line="240" w:lineRule="auto"/>
        <w:ind w:right="99"/>
        <w:jc w:val="left"/>
      </w:pPr>
      <w:r>
        <w:rPr>
          <w:spacing w:val="-2"/>
        </w:rPr>
        <w:t>本集团至少于每年年度终了，对固定资产的使用寿命、预计净残值和折旧方法进行复核，必要时</w:t>
      </w:r>
      <w:r>
        <w:rPr>
          <w:spacing w:val="-25"/>
        </w:rPr>
        <w:t> </w:t>
      </w:r>
      <w:r>
        <w:rPr>
          <w:spacing w:val="-25"/>
        </w:rPr>
      </w:r>
      <w:r>
        <w:rPr/>
        <w:t>进行调整。</w:t>
      </w:r>
    </w:p>
    <w:p>
      <w:pPr>
        <w:spacing w:line="240" w:lineRule="auto" w:before="3"/>
        <w:rPr>
          <w:rFonts w:ascii="宋体" w:hAnsi="宋体" w:cs="宋体" w:eastAsia="宋体" w:hint="default"/>
          <w:sz w:val="25"/>
          <w:szCs w:val="25"/>
        </w:rPr>
      </w:pPr>
    </w:p>
    <w:p>
      <w:pPr>
        <w:pStyle w:val="Heading3"/>
        <w:spacing w:line="240" w:lineRule="auto"/>
        <w:ind w:right="99"/>
        <w:jc w:val="left"/>
        <w:rPr>
          <w:b w:val="0"/>
          <w:bCs w:val="0"/>
        </w:rPr>
      </w:pPr>
      <w:r>
        <w:rPr>
          <w:rFonts w:ascii="宋体" w:hAnsi="宋体" w:cs="宋体" w:eastAsia="宋体" w:hint="default"/>
        </w:rPr>
        <w:t>(3).</w:t>
      </w:r>
      <w:r>
        <w:rPr/>
        <w:t>融资租入固定资产的认定依据、计价和折旧方法</w:t>
      </w:r>
      <w:r>
        <w:rPr>
          <w:b w:val="0"/>
          <w:bCs w:val="0"/>
        </w:rPr>
      </w:r>
    </w:p>
    <w:p>
      <w:pPr>
        <w:pStyle w:val="BodyText"/>
        <w:tabs>
          <w:tab w:pos="1060" w:val="left" w:leader="none"/>
        </w:tabs>
        <w:spacing w:line="240" w:lineRule="auto" w:before="56"/>
        <w:ind w:right="99"/>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right="99"/>
        <w:jc w:val="left"/>
        <w:rPr>
          <w:b w:val="0"/>
          <w:bCs w:val="0"/>
        </w:rPr>
      </w:pPr>
      <w:r>
        <w:rPr>
          <w:rFonts w:ascii="宋体" w:hAnsi="宋体" w:cs="宋体" w:eastAsia="宋体" w:hint="default"/>
        </w:rPr>
        <w:t>17.</w:t>
      </w:r>
      <w:r>
        <w:rPr>
          <w:rFonts w:ascii="宋体" w:hAnsi="宋体" w:cs="宋体" w:eastAsia="宋体" w:hint="default"/>
          <w:spacing w:val="2"/>
        </w:rPr>
        <w:t> </w:t>
      </w:r>
      <w:r>
        <w:rPr/>
        <w:t>在建工程</w:t>
      </w:r>
      <w:r>
        <w:rPr>
          <w:b w:val="0"/>
          <w:bCs w:val="0"/>
        </w:rPr>
      </w:r>
    </w:p>
    <w:p>
      <w:pPr>
        <w:pStyle w:val="BodyText"/>
        <w:tabs>
          <w:tab w:pos="1060" w:val="left" w:leader="none"/>
        </w:tabs>
        <w:spacing w:line="237" w:lineRule="auto" w:before="59"/>
        <w:ind w:right="240"/>
        <w:jc w:val="left"/>
      </w:pPr>
      <w:r>
        <w:rPr>
          <w:spacing w:val="-1"/>
        </w:rPr>
        <w:t>√适用</w:t>
        <w:tab/>
      </w:r>
      <w:r>
        <w:rPr>
          <w:spacing w:val="-2"/>
        </w:rPr>
        <w:t>□不适用</w:t>
      </w:r>
      <w:r>
        <w:rPr>
          <w:spacing w:val="-99"/>
        </w:rPr>
        <w:t> </w:t>
      </w:r>
      <w:r>
        <w:rPr>
          <w:spacing w:val="-99"/>
        </w:rPr>
      </w:r>
      <w:r>
        <w:rPr>
          <w:spacing w:val="-2"/>
        </w:rPr>
        <w:t>在建工程成本按实际工程支出确定，包括在建期间发生的各项必要工程支出、工程达到预定可使</w:t>
      </w:r>
      <w:r>
        <w:rPr>
          <w:spacing w:val="-25"/>
        </w:rPr>
        <w:t> </w:t>
      </w:r>
      <w:r>
        <w:rPr>
          <w:spacing w:val="-25"/>
        </w:rPr>
      </w:r>
      <w:r>
        <w:rPr/>
        <w:t>用状态前的应予资本化的借款费用以及其他相关费用等。</w:t>
      </w:r>
    </w:p>
    <w:p>
      <w:pPr>
        <w:spacing w:line="240" w:lineRule="auto" w:before="9"/>
        <w:rPr>
          <w:rFonts w:ascii="宋体" w:hAnsi="宋体" w:cs="宋体" w:eastAsia="宋体" w:hint="default"/>
          <w:sz w:val="20"/>
          <w:szCs w:val="20"/>
        </w:rPr>
      </w:pPr>
    </w:p>
    <w:p>
      <w:pPr>
        <w:pStyle w:val="BodyText"/>
        <w:spacing w:line="240" w:lineRule="auto"/>
        <w:ind w:right="99"/>
        <w:jc w:val="left"/>
      </w:pPr>
      <w:r>
        <w:rPr/>
        <w:t>在建工程在达到预定可使用状态时转入固定资产。</w:t>
      </w:r>
    </w:p>
    <w:p>
      <w:pPr>
        <w:spacing w:after="0" w:line="240" w:lineRule="auto"/>
        <w:jc w:val="left"/>
        <w:sectPr>
          <w:pgSz w:w="11910" w:h="16840"/>
          <w:pgMar w:header="857" w:footer="1195" w:top="1320" w:bottom="1380" w:left="1580" w:right="1040"/>
        </w:sectPr>
      </w:pPr>
    </w:p>
    <w:p>
      <w:pPr>
        <w:spacing w:line="240" w:lineRule="auto" w:before="2"/>
        <w:rPr>
          <w:rFonts w:ascii="宋体" w:hAnsi="宋体" w:cs="宋体" w:eastAsia="宋体" w:hint="default"/>
          <w:sz w:val="9"/>
          <w:szCs w:val="9"/>
        </w:rPr>
      </w:pPr>
    </w:p>
    <w:p>
      <w:pPr>
        <w:pStyle w:val="Heading3"/>
        <w:spacing w:line="240" w:lineRule="auto" w:before="36"/>
        <w:ind w:left="138" w:right="102"/>
        <w:jc w:val="left"/>
        <w:rPr>
          <w:b w:val="0"/>
          <w:bCs w:val="0"/>
        </w:rPr>
      </w:pPr>
      <w:r>
        <w:rPr>
          <w:rFonts w:ascii="宋体" w:hAnsi="宋体" w:cs="宋体" w:eastAsia="宋体" w:hint="default"/>
        </w:rPr>
        <w:t>18.</w:t>
      </w:r>
      <w:r>
        <w:rPr>
          <w:rFonts w:ascii="宋体" w:hAnsi="宋体" w:cs="宋体" w:eastAsia="宋体" w:hint="default"/>
          <w:spacing w:val="2"/>
        </w:rPr>
        <w:t> </w:t>
      </w:r>
      <w:r>
        <w:rPr/>
        <w:t>借款费用</w:t>
      </w:r>
      <w:r>
        <w:rPr>
          <w:b w:val="0"/>
          <w:bCs w:val="0"/>
        </w:rPr>
      </w:r>
    </w:p>
    <w:p>
      <w:pPr>
        <w:pStyle w:val="BodyText"/>
        <w:tabs>
          <w:tab w:pos="980" w:val="left" w:leader="none"/>
        </w:tabs>
        <w:spacing w:line="237" w:lineRule="auto" w:before="61"/>
        <w:ind w:left="138" w:right="217"/>
        <w:jc w:val="left"/>
      </w:pPr>
      <w:r>
        <w:rPr>
          <w:spacing w:val="-1"/>
        </w:rPr>
        <w:t>√适用</w:t>
        <w:tab/>
      </w:r>
      <w:r>
        <w:rPr>
          <w:spacing w:val="-2"/>
        </w:rPr>
        <w:t>□不适用</w:t>
      </w:r>
      <w:r>
        <w:rPr>
          <w:spacing w:val="-99"/>
        </w:rPr>
        <w:t> </w:t>
      </w:r>
      <w:r>
        <w:rPr>
          <w:spacing w:val="-99"/>
        </w:rPr>
      </w:r>
      <w:r>
        <w:rPr>
          <w:spacing w:val="-2"/>
        </w:rPr>
        <w:t>借款费用，是指本集团因借款而发生的利息及其他相关成本，包括借款利息、折价或者溢价的摊</w:t>
      </w:r>
      <w:r>
        <w:rPr>
          <w:spacing w:val="-25"/>
        </w:rPr>
        <w:t> </w:t>
      </w:r>
      <w:r>
        <w:rPr>
          <w:spacing w:val="-25"/>
        </w:rPr>
      </w:r>
      <w:r>
        <w:rPr/>
        <w:t>销、辅助费用以及因外币借款而发生的汇兑差额等。</w:t>
      </w:r>
    </w:p>
    <w:p>
      <w:pPr>
        <w:spacing w:line="240" w:lineRule="auto" w:before="11"/>
        <w:rPr>
          <w:rFonts w:ascii="宋体" w:hAnsi="宋体" w:cs="宋体" w:eastAsia="宋体" w:hint="default"/>
          <w:sz w:val="20"/>
          <w:szCs w:val="20"/>
        </w:rPr>
      </w:pPr>
    </w:p>
    <w:p>
      <w:pPr>
        <w:pStyle w:val="BodyText"/>
        <w:spacing w:line="237" w:lineRule="auto"/>
        <w:ind w:left="138" w:right="217"/>
        <w:jc w:val="both"/>
      </w:pPr>
      <w:r>
        <w:rPr>
          <w:spacing w:val="-2"/>
        </w:rPr>
        <w:t>可直接归属于符合资本化条件的资产的购建或者生产的借款费用，予以资本化，其他借款费用计</w:t>
      </w:r>
      <w:r>
        <w:rPr>
          <w:spacing w:val="-25"/>
        </w:rPr>
        <w:t> </w:t>
      </w:r>
      <w:r>
        <w:rPr>
          <w:spacing w:val="-25"/>
        </w:rPr>
      </w:r>
      <w:r>
        <w:rPr>
          <w:spacing w:val="-2"/>
        </w:rPr>
        <w:t>入当期损益。符合资本化条件的资产，是指需要经过相当长时间的购建或者生产活动才能达到预</w:t>
      </w:r>
      <w:r>
        <w:rPr>
          <w:spacing w:val="-25"/>
        </w:rPr>
        <w:t> </w:t>
      </w:r>
      <w:r>
        <w:rPr>
          <w:spacing w:val="-25"/>
        </w:rPr>
      </w:r>
      <w:r>
        <w:rPr/>
        <w:t>定可使用或者可销售状态的固定资产、投资性房地产和存货等资产。</w:t>
      </w:r>
    </w:p>
    <w:p>
      <w:pPr>
        <w:pStyle w:val="BodyText"/>
        <w:spacing w:line="540" w:lineRule="atLeast" w:before="5"/>
        <w:ind w:left="138" w:right="4177"/>
        <w:jc w:val="left"/>
      </w:pPr>
      <w:r>
        <w:rPr>
          <w:spacing w:val="-2"/>
        </w:rPr>
        <w:t>借款费用同时满足下列条件的，才能开始资本化：</w:t>
      </w:r>
      <w:r>
        <w:rPr>
          <w:spacing w:val="-62"/>
        </w:rPr>
        <w:t> </w:t>
      </w:r>
      <w:r>
        <w:rPr>
          <w:spacing w:val="-62"/>
        </w:rPr>
      </w:r>
      <w:r>
        <w:rPr>
          <w:rFonts w:ascii="宋体" w:hAnsi="宋体" w:cs="宋体" w:eastAsia="宋体" w:hint="default"/>
        </w:rPr>
        <w:t>(1)</w:t>
      </w:r>
      <w:r>
        <w:rPr>
          <w:rFonts w:ascii="宋体" w:hAnsi="宋体" w:cs="宋体" w:eastAsia="宋体" w:hint="default"/>
          <w:spacing w:val="1"/>
        </w:rPr>
        <w:t> </w:t>
      </w:r>
      <w:r>
        <w:rPr/>
        <w:t>资产支出已经发生；</w:t>
      </w:r>
    </w:p>
    <w:p>
      <w:pPr>
        <w:pStyle w:val="BodyText"/>
        <w:spacing w:line="271" w:lineRule="exact"/>
        <w:ind w:left="138" w:right="102"/>
        <w:jc w:val="left"/>
      </w:pPr>
      <w:r>
        <w:rPr>
          <w:rFonts w:ascii="宋体" w:hAnsi="宋体" w:cs="宋体" w:eastAsia="宋体" w:hint="default"/>
        </w:rPr>
        <w:t>(2)</w:t>
      </w:r>
      <w:r>
        <w:rPr>
          <w:rFonts w:ascii="宋体" w:hAnsi="宋体" w:cs="宋体" w:eastAsia="宋体" w:hint="default"/>
          <w:spacing w:val="1"/>
        </w:rPr>
        <w:t> </w:t>
      </w:r>
      <w:r>
        <w:rPr/>
        <w:t>借款费用已经发生；</w:t>
      </w:r>
    </w:p>
    <w:p>
      <w:pPr>
        <w:pStyle w:val="BodyText"/>
        <w:spacing w:line="274" w:lineRule="exact"/>
        <w:ind w:left="138" w:right="102"/>
        <w:jc w:val="left"/>
      </w:pPr>
      <w:r>
        <w:rPr>
          <w:rFonts w:ascii="宋体" w:hAnsi="宋体" w:cs="宋体" w:eastAsia="宋体" w:hint="default"/>
        </w:rPr>
        <w:t>(3)</w:t>
      </w:r>
      <w:r>
        <w:rPr>
          <w:rFonts w:ascii="宋体" w:hAnsi="宋体" w:cs="宋体" w:eastAsia="宋体" w:hint="default"/>
          <w:spacing w:val="-4"/>
        </w:rPr>
        <w:t> </w:t>
      </w:r>
      <w:r>
        <w:rPr/>
        <w:t>为使资产达到预定可使用或者可销售状态所必要的购建或者生产活动已经开始。</w:t>
      </w:r>
    </w:p>
    <w:p>
      <w:pPr>
        <w:spacing w:line="240" w:lineRule="auto" w:before="10"/>
        <w:rPr>
          <w:rFonts w:ascii="宋体" w:hAnsi="宋体" w:cs="宋体" w:eastAsia="宋体" w:hint="default"/>
          <w:sz w:val="22"/>
          <w:szCs w:val="22"/>
        </w:rPr>
      </w:pPr>
    </w:p>
    <w:p>
      <w:pPr>
        <w:pStyle w:val="BodyText"/>
        <w:spacing w:line="272" w:lineRule="exact"/>
        <w:ind w:left="138" w:right="102"/>
        <w:jc w:val="left"/>
      </w:pPr>
      <w:r>
        <w:rPr>
          <w:spacing w:val="-2"/>
        </w:rPr>
        <w:t>购建或者生产符合资本化条件的资产达到预定可使用或者可销售状态时，借款费用停止资本化。</w:t>
      </w:r>
      <w:r>
        <w:rPr>
          <w:spacing w:val="-25"/>
        </w:rPr>
        <w:t> </w:t>
      </w:r>
      <w:r>
        <w:rPr>
          <w:spacing w:val="-25"/>
        </w:rPr>
      </w:r>
      <w:r>
        <w:rPr/>
        <w:t>之后发生的借款费用计入当期损益。</w:t>
      </w:r>
    </w:p>
    <w:p>
      <w:pPr>
        <w:spacing w:line="240" w:lineRule="auto" w:before="10"/>
        <w:rPr>
          <w:rFonts w:ascii="宋体" w:hAnsi="宋体" w:cs="宋体" w:eastAsia="宋体" w:hint="default"/>
          <w:sz w:val="18"/>
          <w:szCs w:val="18"/>
        </w:rPr>
      </w:pPr>
    </w:p>
    <w:p>
      <w:pPr>
        <w:pStyle w:val="BodyText"/>
        <w:spacing w:line="240" w:lineRule="auto"/>
        <w:ind w:left="138" w:right="102"/>
        <w:jc w:val="left"/>
      </w:pPr>
      <w:r>
        <w:rPr/>
        <w:t>在资本化期间内，每一会计期间的利息资本化金额，按照下列方法确定：</w:t>
      </w:r>
    </w:p>
    <w:p>
      <w:pPr>
        <w:spacing w:line="240" w:lineRule="auto" w:before="8"/>
        <w:rPr>
          <w:rFonts w:ascii="宋体" w:hAnsi="宋体" w:cs="宋体" w:eastAsia="宋体" w:hint="default"/>
          <w:sz w:val="20"/>
          <w:szCs w:val="20"/>
        </w:rPr>
      </w:pPr>
    </w:p>
    <w:p>
      <w:pPr>
        <w:pStyle w:val="BodyText"/>
        <w:spacing w:line="273" w:lineRule="exact"/>
        <w:ind w:left="138" w:right="0"/>
        <w:jc w:val="left"/>
      </w:pPr>
      <w:r>
        <w:rPr>
          <w:rFonts w:ascii="宋体" w:hAnsi="宋体" w:cs="宋体" w:eastAsia="宋体" w:hint="default"/>
          <w:w w:val="100"/>
        </w:rPr>
        <w:t>(1)</w:t>
      </w:r>
      <w:r>
        <w:rPr>
          <w:rFonts w:ascii="宋体" w:hAnsi="宋体" w:cs="宋体" w:eastAsia="宋体" w:hint="default"/>
          <w:spacing w:val="-2"/>
        </w:rPr>
        <w:t> </w:t>
      </w:r>
      <w:r>
        <w:rPr>
          <w:w w:val="100"/>
        </w:rPr>
        <w:t>专门</w:t>
      </w:r>
      <w:r>
        <w:rPr>
          <w:spacing w:val="-3"/>
          <w:w w:val="100"/>
        </w:rPr>
        <w:t>借</w:t>
      </w:r>
      <w:r>
        <w:rPr>
          <w:w w:val="100"/>
        </w:rPr>
        <w:t>款</w:t>
      </w:r>
      <w:r>
        <w:rPr>
          <w:spacing w:val="-3"/>
          <w:w w:val="100"/>
        </w:rPr>
        <w:t>以</w:t>
      </w:r>
      <w:r>
        <w:rPr>
          <w:w w:val="100"/>
        </w:rPr>
        <w:t>当</w:t>
      </w:r>
      <w:r>
        <w:rPr>
          <w:spacing w:val="-3"/>
          <w:w w:val="100"/>
        </w:rPr>
        <w:t>期</w:t>
      </w:r>
      <w:r>
        <w:rPr>
          <w:w w:val="100"/>
        </w:rPr>
        <w:t>实</w:t>
      </w:r>
      <w:r>
        <w:rPr>
          <w:spacing w:val="-3"/>
          <w:w w:val="100"/>
        </w:rPr>
        <w:t>际</w:t>
      </w:r>
      <w:r>
        <w:rPr>
          <w:w w:val="100"/>
        </w:rPr>
        <w:t>发</w:t>
      </w:r>
      <w:r>
        <w:rPr>
          <w:spacing w:val="-3"/>
          <w:w w:val="100"/>
        </w:rPr>
        <w:t>生</w:t>
      </w:r>
      <w:r>
        <w:rPr>
          <w:w w:val="100"/>
        </w:rPr>
        <w:t>的利</w:t>
      </w:r>
      <w:r>
        <w:rPr>
          <w:spacing w:val="-3"/>
          <w:w w:val="100"/>
        </w:rPr>
        <w:t>息</w:t>
      </w:r>
      <w:r>
        <w:rPr>
          <w:w w:val="100"/>
        </w:rPr>
        <w:t>费</w:t>
      </w:r>
      <w:r>
        <w:rPr>
          <w:spacing w:val="-3"/>
          <w:w w:val="100"/>
        </w:rPr>
        <w:t>用</w:t>
      </w:r>
      <w:r>
        <w:rPr>
          <w:spacing w:val="-94"/>
          <w:w w:val="100"/>
        </w:rPr>
        <w:t>，</w:t>
      </w:r>
      <w:r>
        <w:rPr>
          <w:w w:val="100"/>
        </w:rPr>
        <w:t>减</w:t>
      </w:r>
      <w:r>
        <w:rPr>
          <w:spacing w:val="-3"/>
          <w:w w:val="100"/>
        </w:rPr>
        <w:t>去</w:t>
      </w:r>
      <w:r>
        <w:rPr>
          <w:w w:val="100"/>
        </w:rPr>
        <w:t>暂</w:t>
      </w:r>
      <w:r>
        <w:rPr>
          <w:spacing w:val="-3"/>
          <w:w w:val="100"/>
        </w:rPr>
        <w:t>时</w:t>
      </w:r>
      <w:r>
        <w:rPr>
          <w:w w:val="100"/>
        </w:rPr>
        <w:t>性</w:t>
      </w:r>
      <w:r>
        <w:rPr>
          <w:spacing w:val="-3"/>
          <w:w w:val="100"/>
        </w:rPr>
        <w:t>的</w:t>
      </w:r>
      <w:r>
        <w:rPr>
          <w:w w:val="100"/>
        </w:rPr>
        <w:t>存款</w:t>
      </w:r>
      <w:r>
        <w:rPr>
          <w:spacing w:val="-3"/>
          <w:w w:val="100"/>
        </w:rPr>
        <w:t>利</w:t>
      </w:r>
      <w:r>
        <w:rPr>
          <w:w w:val="100"/>
        </w:rPr>
        <w:t>息</w:t>
      </w:r>
      <w:r>
        <w:rPr>
          <w:spacing w:val="-3"/>
          <w:w w:val="100"/>
        </w:rPr>
        <w:t>收</w:t>
      </w:r>
      <w:r>
        <w:rPr>
          <w:w w:val="100"/>
        </w:rPr>
        <w:t>入</w:t>
      </w:r>
      <w:r>
        <w:rPr>
          <w:spacing w:val="-3"/>
          <w:w w:val="100"/>
        </w:rPr>
        <w:t>或</w:t>
      </w:r>
      <w:r>
        <w:rPr>
          <w:w w:val="100"/>
        </w:rPr>
        <w:t>投</w:t>
      </w:r>
      <w:r>
        <w:rPr>
          <w:spacing w:val="-3"/>
          <w:w w:val="100"/>
        </w:rPr>
        <w:t>资</w:t>
      </w:r>
      <w:r>
        <w:rPr>
          <w:w w:val="100"/>
        </w:rPr>
        <w:t>收</w:t>
      </w:r>
      <w:r>
        <w:rPr>
          <w:spacing w:val="-3"/>
          <w:w w:val="100"/>
        </w:rPr>
        <w:t>益</w:t>
      </w:r>
      <w:r>
        <w:rPr>
          <w:w w:val="100"/>
        </w:rPr>
        <w:t>后的</w:t>
      </w:r>
      <w:r>
        <w:rPr>
          <w:spacing w:val="-3"/>
          <w:w w:val="100"/>
        </w:rPr>
        <w:t>金额确定</w:t>
      </w:r>
      <w:r>
        <w:rPr>
          <w:w w:val="100"/>
        </w:rPr>
        <w:t>。</w:t>
      </w:r>
    </w:p>
    <w:p>
      <w:pPr>
        <w:pStyle w:val="BodyText"/>
        <w:spacing w:line="240" w:lineRule="auto"/>
        <w:ind w:left="138" w:right="211"/>
        <w:jc w:val="left"/>
      </w:pPr>
      <w:r>
        <w:rPr>
          <w:rFonts w:ascii="宋体" w:hAnsi="宋体" w:cs="宋体" w:eastAsia="宋体" w:hint="default"/>
        </w:rPr>
        <w:t>(2)</w:t>
      </w:r>
      <w:r>
        <w:rPr>
          <w:rFonts w:ascii="宋体" w:hAnsi="宋体" w:cs="宋体" w:eastAsia="宋体" w:hint="default"/>
          <w:spacing w:val="-3"/>
        </w:rPr>
        <w:t> </w:t>
      </w:r>
      <w:r>
        <w:rPr/>
        <w:t>占用的一般借款，根据累计资产支出超过专门借款部分的资产支出加权平均数乘以所占用一</w:t>
      </w:r>
      <w:r>
        <w:rPr>
          <w:w w:val="100"/>
        </w:rPr>
        <w:t> </w:t>
      </w:r>
      <w:r>
        <w:rPr/>
        <w:t>般借款的加权平均利率计算确定。</w:t>
      </w:r>
    </w:p>
    <w:p>
      <w:pPr>
        <w:spacing w:line="240" w:lineRule="auto" w:before="11"/>
        <w:rPr>
          <w:rFonts w:ascii="宋体" w:hAnsi="宋体" w:cs="宋体" w:eastAsia="宋体" w:hint="default"/>
          <w:sz w:val="20"/>
          <w:szCs w:val="20"/>
        </w:rPr>
      </w:pPr>
    </w:p>
    <w:p>
      <w:pPr>
        <w:pStyle w:val="BodyText"/>
        <w:spacing w:line="237" w:lineRule="auto"/>
        <w:ind w:left="138" w:right="217"/>
        <w:jc w:val="both"/>
      </w:pPr>
      <w:r>
        <w:rPr>
          <w:spacing w:val="-2"/>
        </w:rPr>
        <w:t>符合资本化条件的资产在购建或者生产过程中，发生除达到预定可使用或者可销售状态必要的程</w:t>
      </w:r>
      <w:r>
        <w:rPr>
          <w:spacing w:val="-25"/>
        </w:rPr>
        <w:t> </w:t>
      </w:r>
      <w:r>
        <w:rPr>
          <w:spacing w:val="-25"/>
        </w:rPr>
      </w:r>
      <w:r>
        <w:rPr/>
        <w:t>序之外的非正常中断、且中断时间连续超过</w:t>
      </w:r>
      <w:r>
        <w:rPr>
          <w:spacing w:val="-54"/>
        </w:rPr>
        <w:t> </w:t>
      </w:r>
      <w:r>
        <w:rPr>
          <w:rFonts w:ascii="宋体" w:hAnsi="宋体" w:cs="宋体" w:eastAsia="宋体" w:hint="default"/>
        </w:rPr>
        <w:t>3</w:t>
      </w:r>
      <w:r>
        <w:rPr>
          <w:rFonts w:ascii="宋体" w:hAnsi="宋体" w:cs="宋体" w:eastAsia="宋体" w:hint="default"/>
          <w:spacing w:val="-56"/>
        </w:rPr>
        <w:t> </w:t>
      </w:r>
      <w:r>
        <w:rPr/>
        <w:t>个月的，暂停借款费用的资本化。在中断期间发生</w:t>
      </w:r>
      <w:r>
        <w:rPr>
          <w:w w:val="100"/>
        </w:rPr>
        <w:t> </w:t>
      </w:r>
      <w:r>
        <w:rPr/>
        <w:t>的借款费用确认为费用，计入当期损益，直至资产的购建或者生产活动重新开始。</w:t>
      </w:r>
    </w:p>
    <w:p>
      <w:pPr>
        <w:spacing w:line="240" w:lineRule="auto" w:before="3"/>
        <w:rPr>
          <w:rFonts w:ascii="宋体" w:hAnsi="宋体" w:cs="宋体" w:eastAsia="宋体" w:hint="default"/>
          <w:sz w:val="25"/>
          <w:szCs w:val="25"/>
        </w:rPr>
      </w:pPr>
    </w:p>
    <w:p>
      <w:pPr>
        <w:pStyle w:val="Heading3"/>
        <w:spacing w:line="240" w:lineRule="auto"/>
        <w:ind w:left="138" w:right="102"/>
        <w:jc w:val="left"/>
        <w:rPr>
          <w:b w:val="0"/>
          <w:bCs w:val="0"/>
        </w:rPr>
      </w:pPr>
      <w:r>
        <w:rPr>
          <w:rFonts w:ascii="宋体" w:hAnsi="宋体" w:cs="宋体" w:eastAsia="宋体" w:hint="default"/>
        </w:rPr>
        <w:t>19.</w:t>
      </w:r>
      <w:r>
        <w:rPr>
          <w:rFonts w:ascii="宋体" w:hAnsi="宋体" w:cs="宋体" w:eastAsia="宋体" w:hint="default"/>
          <w:spacing w:val="2"/>
        </w:rPr>
        <w:t> </w:t>
      </w:r>
      <w:r>
        <w:rPr/>
        <w:t>生物资产</w:t>
      </w:r>
      <w:r>
        <w:rPr>
          <w:b w:val="0"/>
          <w:bCs w:val="0"/>
        </w:rPr>
      </w:r>
    </w:p>
    <w:p>
      <w:pPr>
        <w:pStyle w:val="BodyText"/>
        <w:tabs>
          <w:tab w:pos="980" w:val="left" w:leader="none"/>
        </w:tabs>
        <w:spacing w:line="240" w:lineRule="auto" w:before="56"/>
        <w:ind w:left="138" w:right="102"/>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left="138" w:right="102"/>
        <w:jc w:val="left"/>
        <w:rPr>
          <w:b w:val="0"/>
          <w:bCs w:val="0"/>
        </w:rPr>
      </w:pPr>
      <w:r>
        <w:rPr>
          <w:rFonts w:ascii="宋体" w:hAnsi="宋体" w:cs="宋体" w:eastAsia="宋体" w:hint="default"/>
        </w:rPr>
        <w:t>20.</w:t>
      </w:r>
      <w:r>
        <w:rPr>
          <w:rFonts w:ascii="宋体" w:hAnsi="宋体" w:cs="宋体" w:eastAsia="宋体" w:hint="default"/>
          <w:spacing w:val="2"/>
        </w:rPr>
        <w:t> </w:t>
      </w:r>
      <w:r>
        <w:rPr/>
        <w:t>油气资产</w:t>
      </w:r>
      <w:r>
        <w:rPr>
          <w:b w:val="0"/>
          <w:bCs w:val="0"/>
        </w:rPr>
      </w:r>
    </w:p>
    <w:p>
      <w:pPr>
        <w:pStyle w:val="BodyText"/>
        <w:tabs>
          <w:tab w:pos="980" w:val="left" w:leader="none"/>
        </w:tabs>
        <w:spacing w:line="240" w:lineRule="auto" w:before="58"/>
        <w:ind w:left="138" w:right="102"/>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left="138" w:right="102"/>
        <w:jc w:val="left"/>
        <w:rPr>
          <w:b w:val="0"/>
          <w:bCs w:val="0"/>
        </w:rPr>
      </w:pPr>
      <w:r>
        <w:rPr>
          <w:rFonts w:ascii="宋体" w:hAnsi="宋体" w:cs="宋体" w:eastAsia="宋体" w:hint="default"/>
        </w:rPr>
        <w:t>21.</w:t>
      </w:r>
      <w:r>
        <w:rPr>
          <w:rFonts w:ascii="宋体" w:hAnsi="宋体" w:cs="宋体" w:eastAsia="宋体" w:hint="default"/>
          <w:spacing w:val="2"/>
        </w:rPr>
        <w:t> </w:t>
      </w:r>
      <w:r>
        <w:rPr/>
        <w:t>无形资产</w:t>
      </w:r>
      <w:r>
        <w:rPr>
          <w:b w:val="0"/>
          <w:bCs w:val="0"/>
        </w:rPr>
      </w:r>
    </w:p>
    <w:p>
      <w:pPr>
        <w:pStyle w:val="Heading3"/>
        <w:spacing w:line="240" w:lineRule="auto" w:before="57"/>
        <w:ind w:left="138" w:right="102"/>
        <w:jc w:val="left"/>
        <w:rPr>
          <w:b w:val="0"/>
          <w:bCs w:val="0"/>
        </w:rPr>
      </w:pPr>
      <w:r>
        <w:rPr>
          <w:rFonts w:ascii="宋体" w:hAnsi="宋体" w:cs="宋体" w:eastAsia="宋体" w:hint="default"/>
        </w:rPr>
        <w:t>(1).</w:t>
      </w:r>
      <w:r>
        <w:rPr>
          <w:rFonts w:ascii="宋体" w:hAnsi="宋体" w:cs="宋体" w:eastAsia="宋体" w:hint="default"/>
          <w:spacing w:val="-82"/>
        </w:rPr>
        <w:t> </w:t>
      </w:r>
      <w:r>
        <w:rPr/>
        <w:t>计价方法、使用寿命、减值测试</w:t>
      </w:r>
      <w:r>
        <w:rPr>
          <w:b w:val="0"/>
          <w:bCs w:val="0"/>
        </w:rPr>
      </w:r>
    </w:p>
    <w:p>
      <w:pPr>
        <w:pStyle w:val="BodyText"/>
        <w:spacing w:line="237" w:lineRule="auto" w:before="61"/>
        <w:ind w:left="138" w:right="102"/>
        <w:jc w:val="left"/>
      </w:pPr>
      <w:r>
        <w:rPr/>
        <w:t>√适用</w:t>
      </w:r>
      <w:r>
        <w:rPr>
          <w:spacing w:val="-2"/>
        </w:rPr>
        <w:t> </w:t>
      </w:r>
      <w:r>
        <w:rPr/>
        <w:t>□不适用</w:t>
      </w:r>
      <w:r>
        <w:rPr>
          <w:w w:val="100"/>
        </w:rPr>
        <w:t> </w:t>
      </w:r>
      <w:r>
        <w:rPr>
          <w:spacing w:val="-2"/>
        </w:rPr>
        <w:t>无形资产仅在与其有关的经济利益很可能流入本集团，且其成本能够可靠地计量时才予以确认，</w:t>
      </w:r>
      <w:r>
        <w:rPr>
          <w:spacing w:val="-25"/>
        </w:rPr>
        <w:t> </w:t>
      </w:r>
      <w:r>
        <w:rPr>
          <w:spacing w:val="-25"/>
        </w:rPr>
      </w:r>
      <w:r>
        <w:rPr>
          <w:spacing w:val="-2"/>
        </w:rPr>
        <w:t>并以成本进行初始计量。但非同一控制下企业合并中取得的无形资产，其公允价值能够可靠地计</w:t>
      </w:r>
      <w:r>
        <w:rPr>
          <w:spacing w:val="-25"/>
        </w:rPr>
        <w:t> </w:t>
      </w:r>
      <w:r>
        <w:rPr>
          <w:spacing w:val="-25"/>
        </w:rPr>
      </w:r>
      <w:r>
        <w:rPr/>
        <w:t>量的，即单独确认为无形资产并按照公允价值计量。</w:t>
      </w:r>
    </w:p>
    <w:p>
      <w:pPr>
        <w:spacing w:line="240" w:lineRule="auto" w:before="10"/>
        <w:rPr>
          <w:rFonts w:ascii="宋体" w:hAnsi="宋体" w:cs="宋体" w:eastAsia="宋体" w:hint="default"/>
          <w:sz w:val="22"/>
          <w:szCs w:val="22"/>
        </w:rPr>
      </w:pPr>
    </w:p>
    <w:p>
      <w:pPr>
        <w:pStyle w:val="BodyText"/>
        <w:spacing w:line="272" w:lineRule="exact"/>
        <w:ind w:left="138" w:right="102"/>
        <w:jc w:val="left"/>
      </w:pPr>
      <w:r>
        <w:rPr>
          <w:spacing w:val="-2"/>
        </w:rPr>
        <w:t>无形资产按照其能为本集团带来经济利益的期限确定使用寿命，无法预见其为本集团带来经济利</w:t>
      </w:r>
      <w:r>
        <w:rPr>
          <w:spacing w:val="-25"/>
        </w:rPr>
        <w:t> </w:t>
      </w:r>
      <w:r>
        <w:rPr>
          <w:spacing w:val="-25"/>
        </w:rPr>
      </w:r>
      <w:r>
        <w:rPr/>
        <w:t>益期限的作为使用寿命不确定的无形资产。</w:t>
      </w:r>
    </w:p>
    <w:p>
      <w:pPr>
        <w:spacing w:line="240" w:lineRule="auto" w:before="13"/>
        <w:rPr>
          <w:rFonts w:ascii="宋体" w:hAnsi="宋体" w:cs="宋体" w:eastAsia="宋体" w:hint="default"/>
          <w:sz w:val="15"/>
          <w:szCs w:val="15"/>
        </w:rPr>
      </w:pPr>
    </w:p>
    <w:p>
      <w:pPr>
        <w:pStyle w:val="BodyText"/>
        <w:spacing w:line="273" w:lineRule="exact" w:before="36"/>
        <w:ind w:left="138" w:right="102"/>
        <w:jc w:val="left"/>
      </w:pPr>
      <w:r>
        <w:rPr/>
        <w:t>各项无形资产的使用寿命如下：</w:t>
      </w:r>
    </w:p>
    <w:p>
      <w:pPr>
        <w:pStyle w:val="BodyText"/>
        <w:spacing w:line="273" w:lineRule="exact"/>
        <w:ind w:left="0" w:right="627"/>
        <w:jc w:val="right"/>
      </w:pPr>
      <w:r>
        <w:rPr>
          <w:spacing w:val="-1"/>
        </w:rPr>
        <w:t>使用寿命</w:t>
      </w:r>
    </w:p>
    <w:p>
      <w:pPr>
        <w:pStyle w:val="BodyText"/>
        <w:tabs>
          <w:tab w:pos="8225" w:val="left" w:leader="none"/>
        </w:tabs>
        <w:spacing w:line="253" w:lineRule="exact"/>
        <w:ind w:left="138" w:right="102"/>
        <w:jc w:val="left"/>
      </w:pPr>
      <w:r>
        <w:rPr>
          <w:spacing w:val="-1"/>
        </w:rPr>
        <w:t>土地使用权</w:t>
        <w:tab/>
      </w:r>
      <w:r>
        <w:rPr>
          <w:rFonts w:ascii="宋体" w:hAnsi="宋体" w:cs="宋体" w:eastAsia="宋体" w:hint="default"/>
        </w:rPr>
        <w:t>50</w:t>
      </w:r>
      <w:r>
        <w:rPr/>
        <w:t>年</w:t>
      </w:r>
    </w:p>
    <w:p>
      <w:pPr>
        <w:pStyle w:val="BodyText"/>
        <w:tabs>
          <w:tab w:pos="8013" w:val="left" w:leader="none"/>
        </w:tabs>
        <w:spacing w:line="260" w:lineRule="exact"/>
        <w:ind w:left="138" w:right="102"/>
        <w:jc w:val="left"/>
      </w:pPr>
      <w:r>
        <w:rPr>
          <w:spacing w:val="-1"/>
        </w:rPr>
        <w:t>软件著作权</w:t>
        <w:tab/>
      </w:r>
      <w:r>
        <w:rPr>
          <w:rFonts w:ascii="宋体" w:hAnsi="宋体" w:cs="宋体" w:eastAsia="宋体" w:hint="default"/>
        </w:rPr>
        <w:t>5-10</w:t>
      </w:r>
      <w:r>
        <w:rPr/>
        <w:t>年</w:t>
      </w:r>
    </w:p>
    <w:p>
      <w:pPr>
        <w:pStyle w:val="BodyText"/>
        <w:tabs>
          <w:tab w:pos="6438" w:val="left" w:leader="none"/>
        </w:tabs>
        <w:spacing w:line="267" w:lineRule="exact"/>
        <w:ind w:left="138" w:right="102"/>
        <w:jc w:val="left"/>
      </w:pPr>
      <w:r>
        <w:rPr>
          <w:spacing w:val="-1"/>
        </w:rPr>
        <w:t>软件使用权</w:t>
        <w:tab/>
      </w:r>
      <w:r>
        <w:rPr>
          <w:rFonts w:ascii="宋体" w:hAnsi="宋体" w:cs="宋体" w:eastAsia="宋体" w:hint="default"/>
          <w:spacing w:val="-1"/>
        </w:rPr>
        <w:t>10</w:t>
      </w:r>
      <w:r>
        <w:rPr>
          <w:spacing w:val="-1"/>
        </w:rPr>
        <w:t>年</w:t>
      </w:r>
      <w:r>
        <w:rPr>
          <w:rFonts w:ascii="宋体" w:hAnsi="宋体" w:cs="宋体" w:eastAsia="宋体" w:hint="default"/>
          <w:spacing w:val="-1"/>
        </w:rPr>
        <w:t>/</w:t>
      </w:r>
      <w:r>
        <w:rPr>
          <w:spacing w:val="-1"/>
        </w:rPr>
        <w:t>按合同规定的年限</w:t>
      </w:r>
    </w:p>
    <w:p>
      <w:pPr>
        <w:spacing w:after="0" w:line="267" w:lineRule="exact"/>
        <w:jc w:val="left"/>
        <w:sectPr>
          <w:pgSz w:w="11910" w:h="16840"/>
          <w:pgMar w:header="857" w:footer="1195" w:top="1320" w:bottom="1380" w:left="1660" w:right="1060"/>
        </w:sectPr>
      </w:pPr>
    </w:p>
    <w:p>
      <w:pPr>
        <w:spacing w:line="240" w:lineRule="auto" w:before="13"/>
        <w:rPr>
          <w:rFonts w:ascii="宋体" w:hAnsi="宋体" w:cs="宋体" w:eastAsia="宋体" w:hint="default"/>
          <w:sz w:val="8"/>
          <w:szCs w:val="8"/>
        </w:rPr>
      </w:pPr>
    </w:p>
    <w:p>
      <w:pPr>
        <w:pStyle w:val="BodyText"/>
        <w:tabs>
          <w:tab w:pos="8330" w:val="left" w:leader="none"/>
        </w:tabs>
        <w:spacing w:line="268" w:lineRule="exact" w:before="36"/>
        <w:ind w:left="138" w:right="0"/>
        <w:jc w:val="both"/>
      </w:pPr>
      <w:r>
        <w:rPr>
          <w:spacing w:val="-1"/>
        </w:rPr>
        <w:t>云应用系统平台</w:t>
        <w:tab/>
      </w:r>
      <w:r>
        <w:rPr>
          <w:rFonts w:ascii="宋体" w:hAnsi="宋体" w:cs="宋体" w:eastAsia="宋体" w:hint="default"/>
        </w:rPr>
        <w:t>5</w:t>
      </w:r>
      <w:r>
        <w:rPr/>
        <w:t>年</w:t>
      </w:r>
    </w:p>
    <w:p>
      <w:pPr>
        <w:pStyle w:val="BodyText"/>
        <w:tabs>
          <w:tab w:pos="6964" w:val="left" w:leader="none"/>
        </w:tabs>
        <w:spacing w:line="268" w:lineRule="exact"/>
        <w:ind w:left="138" w:right="0"/>
        <w:jc w:val="both"/>
      </w:pPr>
      <w:r>
        <w:rPr/>
        <w:t>其他</w:t>
        <w:tab/>
        <w:t>权属企业受益年限</w:t>
      </w:r>
    </w:p>
    <w:p>
      <w:pPr>
        <w:spacing w:line="240" w:lineRule="auto" w:before="1"/>
        <w:rPr>
          <w:rFonts w:ascii="宋体" w:hAnsi="宋体" w:cs="宋体" w:eastAsia="宋体" w:hint="default"/>
          <w:sz w:val="20"/>
          <w:szCs w:val="20"/>
        </w:rPr>
      </w:pPr>
    </w:p>
    <w:p>
      <w:pPr>
        <w:pStyle w:val="BodyText"/>
        <w:spacing w:line="237" w:lineRule="auto"/>
        <w:ind w:left="138" w:right="157"/>
        <w:jc w:val="both"/>
      </w:pPr>
      <w:r>
        <w:rPr>
          <w:spacing w:val="-2"/>
        </w:rPr>
        <w:t>本集团取得的土地使用权，通常作为无形资产核算。自行开发建造厂房等建筑物，相关的土地使</w:t>
      </w:r>
      <w:r>
        <w:rPr>
          <w:spacing w:val="-25"/>
        </w:rPr>
        <w:t> </w:t>
      </w:r>
      <w:r>
        <w:rPr>
          <w:spacing w:val="-25"/>
        </w:rPr>
      </w:r>
      <w:r>
        <w:rPr>
          <w:spacing w:val="-2"/>
        </w:rPr>
        <w:t>用权和建筑物分别作为无形资产和固定资产核算。外购土地及建筑物支付的价款在土地使用权和</w:t>
      </w:r>
      <w:r>
        <w:rPr>
          <w:spacing w:val="-25"/>
        </w:rPr>
        <w:t> </w:t>
      </w:r>
      <w:r>
        <w:rPr>
          <w:spacing w:val="-25"/>
        </w:rPr>
      </w:r>
      <w:r>
        <w:rPr/>
        <w:t>建筑物之间进行分配，难以合理分配的，全部作为固定资产处理。</w:t>
      </w:r>
    </w:p>
    <w:p>
      <w:pPr>
        <w:spacing w:line="240" w:lineRule="auto" w:before="9"/>
        <w:rPr>
          <w:rFonts w:ascii="宋体" w:hAnsi="宋体" w:cs="宋体" w:eastAsia="宋体" w:hint="default"/>
          <w:sz w:val="20"/>
          <w:szCs w:val="20"/>
        </w:rPr>
      </w:pPr>
    </w:p>
    <w:p>
      <w:pPr>
        <w:pStyle w:val="BodyText"/>
        <w:spacing w:line="237" w:lineRule="auto"/>
        <w:ind w:left="138" w:right="157"/>
        <w:jc w:val="both"/>
      </w:pPr>
      <w:r>
        <w:rPr>
          <w:spacing w:val="-2"/>
        </w:rPr>
        <w:t>使用寿命有限的无形资产，在其使用寿命内采用直线法摊销。本集团至少于每年年度终了，对使</w:t>
      </w:r>
      <w:r>
        <w:rPr>
          <w:spacing w:val="-25"/>
        </w:rPr>
        <w:t> </w:t>
      </w:r>
      <w:r>
        <w:rPr>
          <w:spacing w:val="-25"/>
        </w:rPr>
      </w:r>
      <w:r>
        <w:rPr>
          <w:spacing w:val="-2"/>
        </w:rPr>
        <w:t>用寿命有限的无形资产的使用寿命及摊销方法进行复核，必要时进行调整。其中，其他无形资产</w:t>
      </w:r>
      <w:r>
        <w:rPr>
          <w:spacing w:val="-25"/>
        </w:rPr>
        <w:t> </w:t>
      </w:r>
      <w:r>
        <w:rPr>
          <w:spacing w:val="-25"/>
        </w:rPr>
      </w:r>
      <w:r>
        <w:rPr/>
        <w:t>包括客户关系、营销网络、非竞争性协议和已签合同等。</w:t>
      </w:r>
    </w:p>
    <w:p>
      <w:pPr>
        <w:spacing w:line="240" w:lineRule="auto" w:before="11"/>
        <w:rPr>
          <w:rFonts w:ascii="宋体" w:hAnsi="宋体" w:cs="宋体" w:eastAsia="宋体" w:hint="default"/>
          <w:sz w:val="20"/>
          <w:szCs w:val="20"/>
        </w:rPr>
      </w:pPr>
    </w:p>
    <w:p>
      <w:pPr>
        <w:pStyle w:val="BodyText"/>
        <w:spacing w:line="237" w:lineRule="auto"/>
        <w:ind w:left="138" w:right="157"/>
        <w:jc w:val="both"/>
      </w:pPr>
      <w:r>
        <w:rPr>
          <w:spacing w:val="-2"/>
        </w:rPr>
        <w:t>对使用寿命不确定的无形资产，无论是否存在减值迹象，每年均进行减值测试。此类无形资产不</w:t>
      </w:r>
      <w:r>
        <w:rPr>
          <w:spacing w:val="-25"/>
        </w:rPr>
        <w:t> </w:t>
      </w:r>
      <w:r>
        <w:rPr>
          <w:spacing w:val="-25"/>
        </w:rPr>
      </w:r>
      <w:r>
        <w:rPr>
          <w:spacing w:val="-2"/>
        </w:rPr>
        <w:t>予摊销，在每个会计期间对其使用寿命进行复核。如果有证据表明使用寿命是有限的，则按上述</w:t>
      </w:r>
      <w:r>
        <w:rPr>
          <w:spacing w:val="-25"/>
        </w:rPr>
        <w:t> </w:t>
      </w:r>
      <w:r>
        <w:rPr>
          <w:spacing w:val="-25"/>
        </w:rPr>
      </w:r>
      <w:r>
        <w:rPr/>
        <w:t>使用寿命有限的无形资产的政策进行会计处理。</w:t>
      </w:r>
    </w:p>
    <w:p>
      <w:pPr>
        <w:spacing w:line="240" w:lineRule="auto" w:before="3"/>
        <w:rPr>
          <w:rFonts w:ascii="宋体" w:hAnsi="宋体" w:cs="宋体" w:eastAsia="宋体" w:hint="default"/>
          <w:sz w:val="25"/>
          <w:szCs w:val="25"/>
        </w:rPr>
      </w:pPr>
    </w:p>
    <w:p>
      <w:pPr>
        <w:pStyle w:val="Heading3"/>
        <w:spacing w:line="240" w:lineRule="auto"/>
        <w:ind w:left="138" w:right="0"/>
        <w:jc w:val="both"/>
        <w:rPr>
          <w:b w:val="0"/>
          <w:bCs w:val="0"/>
        </w:rPr>
      </w:pPr>
      <w:r>
        <w:rPr>
          <w:rFonts w:ascii="宋体" w:hAnsi="宋体" w:cs="宋体" w:eastAsia="宋体" w:hint="default"/>
        </w:rPr>
        <w:t>(2).</w:t>
      </w:r>
      <w:r>
        <w:rPr>
          <w:rFonts w:ascii="宋体" w:hAnsi="宋体" w:cs="宋体" w:eastAsia="宋体" w:hint="default"/>
          <w:spacing w:val="-83"/>
        </w:rPr>
        <w:t> </w:t>
      </w:r>
      <w:r>
        <w:rPr/>
        <w:t>内部研究开发支出会计政策</w:t>
      </w:r>
      <w:r>
        <w:rPr>
          <w:b w:val="0"/>
          <w:bCs w:val="0"/>
        </w:rPr>
      </w:r>
    </w:p>
    <w:p>
      <w:pPr>
        <w:pStyle w:val="BodyText"/>
        <w:spacing w:line="237" w:lineRule="auto" w:before="61"/>
        <w:ind w:left="138" w:right="0"/>
        <w:jc w:val="left"/>
      </w:pPr>
      <w:r>
        <w:rPr/>
        <w:t>√适用</w:t>
      </w:r>
      <w:r>
        <w:rPr>
          <w:spacing w:val="-2"/>
        </w:rPr>
        <w:t> </w:t>
      </w:r>
      <w:r>
        <w:rPr/>
        <w:t>□不适用</w:t>
      </w:r>
      <w:r>
        <w:rPr>
          <w:w w:val="100"/>
        </w:rPr>
        <w:t> </w:t>
      </w:r>
      <w:r>
        <w:rPr>
          <w:spacing w:val="-2"/>
        </w:rPr>
        <w:t>本集团将内部研究开发项目的支出，区分为研究阶段支出和开发阶段支出。研究阶段的支出，于</w:t>
      </w:r>
      <w:r>
        <w:rPr>
          <w:spacing w:val="-25"/>
        </w:rPr>
        <w:t> </w:t>
      </w:r>
      <w:r>
        <w:rPr>
          <w:spacing w:val="-25"/>
        </w:rPr>
      </w:r>
      <w:r>
        <w:rPr>
          <w:spacing w:val="-2"/>
        </w:rPr>
        <w:t>发生时计入当期损益。开发阶段的支出，只有在同时满足下列条件时，才能予以资本化，即：完</w:t>
      </w:r>
      <w:r>
        <w:rPr>
          <w:spacing w:val="-25"/>
        </w:rPr>
        <w:t> </w:t>
      </w:r>
      <w:r>
        <w:rPr>
          <w:spacing w:val="-25"/>
        </w:rPr>
      </w:r>
      <w:r>
        <w:rPr>
          <w:spacing w:val="-2"/>
        </w:rPr>
        <w:t>成该无形资产以使其能够使用或出售在技术上具有可行性；具有完成该无形资产并使用或出售的</w:t>
      </w:r>
      <w:r>
        <w:rPr>
          <w:spacing w:val="-25"/>
        </w:rPr>
        <w:t> </w:t>
      </w:r>
      <w:r>
        <w:rPr>
          <w:spacing w:val="-25"/>
        </w:rPr>
      </w:r>
      <w:r>
        <w:rPr>
          <w:spacing w:val="-2"/>
        </w:rPr>
        <w:t>意图；无形资产产生经济利益的方式，包括能够证明运用该无形资产生产的产品存在市场或无形</w:t>
      </w:r>
      <w:r>
        <w:rPr>
          <w:spacing w:val="-25"/>
        </w:rPr>
        <w:t> </w:t>
      </w:r>
      <w:r>
        <w:rPr>
          <w:spacing w:val="-25"/>
        </w:rPr>
      </w:r>
      <w:r>
        <w:rPr>
          <w:spacing w:val="-2"/>
        </w:rPr>
        <w:t>资产自身存在市场，无形资产将在内部使用的，能够证明其有用性；有足够的技术、财务资源和</w:t>
      </w:r>
      <w:r>
        <w:rPr>
          <w:spacing w:val="-25"/>
        </w:rPr>
        <w:t> </w:t>
      </w:r>
      <w:r>
        <w:rPr>
          <w:spacing w:val="-25"/>
        </w:rPr>
      </w:r>
      <w:r>
        <w:rPr>
          <w:spacing w:val="-2"/>
        </w:rPr>
        <w:t>其他资源支持，以完成该无形资产的开发，并有能力使用或出售该无形资产；归属于该无形资产</w:t>
      </w:r>
      <w:r>
        <w:rPr>
          <w:spacing w:val="-25"/>
        </w:rPr>
        <w:t> </w:t>
      </w:r>
      <w:r>
        <w:rPr>
          <w:spacing w:val="-25"/>
        </w:rPr>
      </w:r>
      <w:r>
        <w:rPr/>
        <w:t>开发阶段的支出能够可靠地计量。不满足上述条件的开发支出，于发生时计入当期损益。</w:t>
      </w:r>
    </w:p>
    <w:p>
      <w:pPr>
        <w:spacing w:line="240" w:lineRule="auto" w:before="4"/>
        <w:rPr>
          <w:rFonts w:ascii="宋体" w:hAnsi="宋体" w:cs="宋体" w:eastAsia="宋体" w:hint="default"/>
          <w:sz w:val="25"/>
          <w:szCs w:val="25"/>
        </w:rPr>
      </w:pPr>
    </w:p>
    <w:p>
      <w:pPr>
        <w:pStyle w:val="Heading3"/>
        <w:spacing w:line="240" w:lineRule="auto"/>
        <w:ind w:left="138" w:right="0"/>
        <w:jc w:val="both"/>
        <w:rPr>
          <w:b w:val="0"/>
          <w:bCs w:val="0"/>
        </w:rPr>
      </w:pPr>
      <w:r>
        <w:rPr>
          <w:rFonts w:ascii="宋体" w:hAnsi="宋体" w:cs="宋体" w:eastAsia="宋体" w:hint="default"/>
        </w:rPr>
        <w:t>22.</w:t>
      </w:r>
      <w:r>
        <w:rPr>
          <w:rFonts w:ascii="宋体" w:hAnsi="宋体" w:cs="宋体" w:eastAsia="宋体" w:hint="default"/>
          <w:spacing w:val="3"/>
        </w:rPr>
        <w:t> </w:t>
      </w:r>
      <w:r>
        <w:rPr/>
        <w:t>长期资产减值</w:t>
      </w:r>
      <w:r>
        <w:rPr>
          <w:b w:val="0"/>
          <w:bCs w:val="0"/>
        </w:rPr>
      </w:r>
    </w:p>
    <w:p>
      <w:pPr>
        <w:pStyle w:val="BodyText"/>
        <w:tabs>
          <w:tab w:pos="980" w:val="left" w:leader="none"/>
        </w:tabs>
        <w:spacing w:line="272" w:lineRule="exact" w:before="86"/>
        <w:ind w:left="138" w:right="2049"/>
        <w:jc w:val="left"/>
      </w:pPr>
      <w:r>
        <w:rPr>
          <w:spacing w:val="-1"/>
        </w:rPr>
        <w:t>√适用</w:t>
        <w:tab/>
      </w:r>
      <w:r>
        <w:rPr>
          <w:spacing w:val="-2"/>
        </w:rPr>
        <w:t>□不适用</w:t>
      </w:r>
      <w:r>
        <w:rPr>
          <w:spacing w:val="-99"/>
        </w:rPr>
        <w:t> </w:t>
      </w:r>
      <w:r>
        <w:rPr>
          <w:spacing w:val="-99"/>
        </w:rPr>
      </w:r>
      <w:r>
        <w:rPr>
          <w:spacing w:val="-2"/>
        </w:rPr>
        <w:t>本集团对除存货、递延所得税、金融资产外的资产减值，按以下方法确定：</w:t>
      </w:r>
    </w:p>
    <w:p>
      <w:pPr>
        <w:spacing w:line="240" w:lineRule="auto" w:before="12"/>
        <w:rPr>
          <w:rFonts w:ascii="宋体" w:hAnsi="宋体" w:cs="宋体" w:eastAsia="宋体" w:hint="default"/>
          <w:sz w:val="18"/>
          <w:szCs w:val="18"/>
        </w:rPr>
      </w:pPr>
    </w:p>
    <w:p>
      <w:pPr>
        <w:pStyle w:val="BodyText"/>
        <w:spacing w:line="237" w:lineRule="auto"/>
        <w:ind w:left="138" w:right="157"/>
        <w:jc w:val="both"/>
      </w:pPr>
      <w:r>
        <w:rPr>
          <w:spacing w:val="-2"/>
        </w:rPr>
        <w:t>本集团于资产负债表日判断资产是否存在可能发生减值的迹象，存在减值迹象的，本集团将估计</w:t>
      </w:r>
      <w:r>
        <w:rPr>
          <w:spacing w:val="-25"/>
        </w:rPr>
        <w:t> </w:t>
      </w:r>
      <w:r>
        <w:rPr>
          <w:spacing w:val="-25"/>
        </w:rPr>
      </w:r>
      <w:r>
        <w:rPr>
          <w:spacing w:val="-2"/>
        </w:rPr>
        <w:t>其可收回金额，进行减值测试。对因企业合并所形成的商誉和使用寿命不确定的无形资产，无论</w:t>
      </w:r>
      <w:r>
        <w:rPr>
          <w:spacing w:val="-25"/>
        </w:rPr>
        <w:t> </w:t>
      </w:r>
      <w:r>
        <w:rPr>
          <w:spacing w:val="-25"/>
        </w:rPr>
      </w:r>
      <w:r>
        <w:rPr>
          <w:spacing w:val="-2"/>
        </w:rPr>
        <w:t>是否存在减值迹象，至少于每年末进行减值测试。对于尚未达到可使用状态的无形资产，也每年</w:t>
      </w:r>
      <w:r>
        <w:rPr>
          <w:spacing w:val="-25"/>
        </w:rPr>
        <w:t> </w:t>
      </w:r>
      <w:r>
        <w:rPr>
          <w:spacing w:val="-25"/>
        </w:rPr>
      </w:r>
      <w:r>
        <w:rPr/>
        <w:t>进行减值测试。</w:t>
      </w:r>
    </w:p>
    <w:p>
      <w:pPr>
        <w:spacing w:line="240" w:lineRule="auto" w:before="11"/>
        <w:rPr>
          <w:rFonts w:ascii="宋体" w:hAnsi="宋体" w:cs="宋体" w:eastAsia="宋体" w:hint="default"/>
          <w:sz w:val="20"/>
          <w:szCs w:val="20"/>
        </w:rPr>
      </w:pPr>
    </w:p>
    <w:p>
      <w:pPr>
        <w:pStyle w:val="BodyText"/>
        <w:spacing w:line="237" w:lineRule="auto"/>
        <w:ind w:left="138" w:right="157"/>
        <w:jc w:val="both"/>
      </w:pPr>
      <w:r>
        <w:rPr>
          <w:spacing w:val="-2"/>
        </w:rPr>
        <w:t>可收回金额根据资产的公允价值减去处置费用后的净额与资产预计未来现金流量的现值两者之间</w:t>
      </w:r>
      <w:r>
        <w:rPr>
          <w:spacing w:val="-25"/>
        </w:rPr>
        <w:t> </w:t>
      </w:r>
      <w:r>
        <w:rPr>
          <w:spacing w:val="-25"/>
        </w:rPr>
      </w:r>
      <w:r>
        <w:rPr>
          <w:spacing w:val="-2"/>
        </w:rPr>
        <w:t>较高者确定。本集团以单项资产为基础估计其可收回金额；难以对单项资产的可收回金额进行估</w:t>
      </w:r>
      <w:r>
        <w:rPr>
          <w:spacing w:val="-25"/>
        </w:rPr>
        <w:t> </w:t>
      </w:r>
      <w:r>
        <w:rPr>
          <w:spacing w:val="-25"/>
        </w:rPr>
      </w:r>
      <w:r>
        <w:rPr>
          <w:spacing w:val="-2"/>
        </w:rPr>
        <w:t>计的，以该资产所属的资产组为基础确定资产组的可收回金额。资产组的认定，以资产组产生的</w:t>
      </w:r>
      <w:r>
        <w:rPr>
          <w:spacing w:val="-25"/>
        </w:rPr>
        <w:t> </w:t>
      </w:r>
      <w:r>
        <w:rPr>
          <w:spacing w:val="-25"/>
        </w:rPr>
      </w:r>
      <w:r>
        <w:rPr/>
        <w:t>主要现金流入是否独立于其他资产或者资产组的现金流入为依据。</w:t>
      </w:r>
    </w:p>
    <w:p>
      <w:pPr>
        <w:spacing w:line="240" w:lineRule="auto" w:before="10"/>
        <w:rPr>
          <w:rFonts w:ascii="宋体" w:hAnsi="宋体" w:cs="宋体" w:eastAsia="宋体" w:hint="default"/>
          <w:sz w:val="22"/>
          <w:szCs w:val="22"/>
        </w:rPr>
      </w:pPr>
    </w:p>
    <w:p>
      <w:pPr>
        <w:pStyle w:val="BodyText"/>
        <w:spacing w:line="272" w:lineRule="exact"/>
        <w:ind w:left="138" w:right="157"/>
        <w:jc w:val="both"/>
      </w:pPr>
      <w:r>
        <w:rPr>
          <w:spacing w:val="-2"/>
        </w:rPr>
        <w:t>当资产或者资产组的可收回金额低于其账面价值时，本集团将其账面价值减记至可收回金额，减</w:t>
      </w:r>
      <w:r>
        <w:rPr>
          <w:spacing w:val="-25"/>
        </w:rPr>
        <w:t> </w:t>
      </w:r>
      <w:r>
        <w:rPr>
          <w:spacing w:val="-25"/>
        </w:rPr>
      </w:r>
      <w:r>
        <w:rPr/>
        <w:t>记的金额计入当期损益，同时计提相应的资产减值准备。</w:t>
      </w:r>
    </w:p>
    <w:p>
      <w:pPr>
        <w:spacing w:line="240" w:lineRule="auto" w:before="12"/>
        <w:rPr>
          <w:rFonts w:ascii="宋体" w:hAnsi="宋体" w:cs="宋体" w:eastAsia="宋体" w:hint="default"/>
          <w:sz w:val="18"/>
          <w:szCs w:val="18"/>
        </w:rPr>
      </w:pPr>
    </w:p>
    <w:p>
      <w:pPr>
        <w:pStyle w:val="BodyText"/>
        <w:spacing w:line="237" w:lineRule="auto"/>
        <w:ind w:left="138" w:right="157"/>
        <w:jc w:val="both"/>
      </w:pPr>
      <w:r>
        <w:rPr>
          <w:spacing w:val="-2"/>
        </w:rPr>
        <w:t>就商誉的减值测试而言，对于因企业合并形成的商誉的账面价值，自购买日起按照合理的方法分</w:t>
      </w:r>
      <w:r>
        <w:rPr>
          <w:spacing w:val="-25"/>
        </w:rPr>
        <w:t> </w:t>
      </w:r>
      <w:r>
        <w:rPr>
          <w:spacing w:val="-25"/>
        </w:rPr>
      </w:r>
      <w:r>
        <w:rPr>
          <w:spacing w:val="-2"/>
        </w:rPr>
        <w:t>摊至相关的资产组；难以分摊至相关的资产组的，将其分摊至相关的资产组组合。相关的资产组</w:t>
      </w:r>
      <w:r>
        <w:rPr>
          <w:spacing w:val="-25"/>
        </w:rPr>
        <w:t> </w:t>
      </w:r>
      <w:r>
        <w:rPr>
          <w:spacing w:val="-25"/>
        </w:rPr>
      </w:r>
      <w:r>
        <w:rPr>
          <w:spacing w:val="-2"/>
        </w:rPr>
        <w:t>或者资产组组合，是能够从企业合并的协同效应中受益的资产组或者资产组组合，且不大于本集</w:t>
      </w:r>
      <w:r>
        <w:rPr>
          <w:spacing w:val="-25"/>
        </w:rPr>
        <w:t> </w:t>
      </w:r>
      <w:r>
        <w:rPr>
          <w:spacing w:val="-25"/>
        </w:rPr>
      </w:r>
      <w:r>
        <w:rPr/>
        <w:t>团确定的报告分部。</w:t>
      </w:r>
    </w:p>
    <w:p>
      <w:pPr>
        <w:spacing w:line="240" w:lineRule="auto" w:before="10"/>
        <w:rPr>
          <w:rFonts w:ascii="宋体" w:hAnsi="宋体" w:cs="宋体" w:eastAsia="宋体" w:hint="default"/>
          <w:sz w:val="22"/>
          <w:szCs w:val="22"/>
        </w:rPr>
      </w:pPr>
    </w:p>
    <w:p>
      <w:pPr>
        <w:pStyle w:val="BodyText"/>
        <w:spacing w:line="272" w:lineRule="exact"/>
        <w:ind w:left="138" w:right="148"/>
        <w:jc w:val="both"/>
      </w:pPr>
      <w:r>
        <w:rPr>
          <w:spacing w:val="-2"/>
        </w:rPr>
        <w:t>对包含商誉的相关资产组或者资产组组合进行减值测试时，如与商誉相关的资产组或者资产组组</w:t>
      </w:r>
      <w:r>
        <w:rPr>
          <w:spacing w:val="-25"/>
        </w:rPr>
        <w:t> </w:t>
      </w:r>
      <w:r>
        <w:rPr>
          <w:spacing w:val="-25"/>
        </w:rPr>
      </w:r>
      <w:r>
        <w:rPr>
          <w:spacing w:val="-6"/>
          <w:w w:val="100"/>
        </w:rPr>
        <w:t>合存在减值迹象的，首先对不包含商誉的资产组或者资产组组合进行减值测试，计算可收回金额，</w:t>
      </w:r>
      <w:r>
        <w:rPr>
          <w:spacing w:val="-104"/>
          <w:w w:val="100"/>
        </w:rPr>
        <w:t> </w:t>
      </w:r>
      <w:r>
        <w:rPr>
          <w:spacing w:val="-104"/>
          <w:w w:val="100"/>
        </w:rPr>
      </w:r>
      <w:r>
        <w:rPr>
          <w:spacing w:val="-2"/>
        </w:rPr>
        <w:t>确认相应的减值损失。然后对包含商誉的资产组或者资产组组合进行减值测试，比较其账面价值</w:t>
      </w:r>
    </w:p>
    <w:p>
      <w:pPr>
        <w:spacing w:after="0" w:line="272" w:lineRule="exact"/>
        <w:jc w:val="both"/>
        <w:sectPr>
          <w:pgSz w:w="11910" w:h="16840"/>
          <w:pgMar w:header="857" w:footer="1195" w:top="1320" w:bottom="1380" w:left="1660" w:right="1120"/>
        </w:sectPr>
      </w:pPr>
    </w:p>
    <w:p>
      <w:pPr>
        <w:spacing w:line="240" w:lineRule="auto" w:before="2"/>
        <w:rPr>
          <w:rFonts w:ascii="宋体" w:hAnsi="宋体" w:cs="宋体" w:eastAsia="宋体" w:hint="default"/>
          <w:sz w:val="9"/>
          <w:szCs w:val="9"/>
        </w:rPr>
      </w:pPr>
    </w:p>
    <w:p>
      <w:pPr>
        <w:pStyle w:val="BodyText"/>
        <w:spacing w:line="237" w:lineRule="auto" w:before="38"/>
        <w:ind w:left="138" w:right="157"/>
        <w:jc w:val="both"/>
      </w:pPr>
      <w:r>
        <w:rPr>
          <w:spacing w:val="-2"/>
        </w:rPr>
        <w:t>与可收回金额，如可收回金额低于账面价值的，减值损失金额首先抵减分摊至资产组或者资产组</w:t>
      </w:r>
      <w:r>
        <w:rPr>
          <w:spacing w:val="-25"/>
        </w:rPr>
        <w:t> </w:t>
      </w:r>
      <w:r>
        <w:rPr>
          <w:spacing w:val="-25"/>
        </w:rPr>
      </w:r>
      <w:r>
        <w:rPr>
          <w:spacing w:val="-2"/>
        </w:rPr>
        <w:t>组合中商誉的账面价值，再根据资产组或者资产组组合中除商誉之外的其他各项资产的账面价值</w:t>
      </w:r>
      <w:r>
        <w:rPr>
          <w:spacing w:val="-25"/>
        </w:rPr>
        <w:t> </w:t>
      </w:r>
      <w:r>
        <w:rPr>
          <w:spacing w:val="-25"/>
        </w:rPr>
      </w:r>
      <w:r>
        <w:rPr/>
        <w:t>所占比重，按比例抵减其他各项资产的账面价值。</w:t>
      </w:r>
    </w:p>
    <w:p>
      <w:pPr>
        <w:spacing w:line="604" w:lineRule="exact" w:before="32"/>
        <w:ind w:left="138" w:right="3729" w:firstLine="0"/>
        <w:jc w:val="left"/>
        <w:rPr>
          <w:rFonts w:ascii="宋体" w:hAnsi="宋体" w:cs="宋体" w:eastAsia="宋体" w:hint="default"/>
          <w:sz w:val="21"/>
          <w:szCs w:val="21"/>
        </w:rPr>
      </w:pPr>
      <w:r>
        <w:rPr>
          <w:rFonts w:ascii="宋体" w:hAnsi="宋体" w:cs="宋体" w:eastAsia="宋体" w:hint="default"/>
          <w:spacing w:val="-2"/>
          <w:sz w:val="21"/>
          <w:szCs w:val="21"/>
        </w:rPr>
        <w:t>上述资产减值损失一经确认，在以后会计期间不再转回。</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b/>
          <w:bCs/>
          <w:sz w:val="21"/>
          <w:szCs w:val="21"/>
        </w:rPr>
        <w:t>23.</w:t>
      </w:r>
      <w:r>
        <w:rPr>
          <w:rFonts w:ascii="宋体" w:hAnsi="宋体" w:cs="宋体" w:eastAsia="宋体" w:hint="default"/>
          <w:b/>
          <w:bCs/>
          <w:spacing w:val="3"/>
          <w:sz w:val="21"/>
          <w:szCs w:val="21"/>
        </w:rPr>
        <w:t> </w:t>
      </w:r>
      <w:r>
        <w:rPr>
          <w:rFonts w:ascii="宋体" w:hAnsi="宋体" w:cs="宋体" w:eastAsia="宋体" w:hint="default"/>
          <w:b/>
          <w:bCs/>
          <w:sz w:val="21"/>
          <w:szCs w:val="21"/>
        </w:rPr>
        <w:t>长期待摊费用</w:t>
      </w:r>
      <w:r>
        <w:rPr>
          <w:rFonts w:ascii="宋体" w:hAnsi="宋体" w:cs="宋体" w:eastAsia="宋体" w:hint="default"/>
          <w:sz w:val="21"/>
          <w:szCs w:val="21"/>
        </w:rPr>
      </w:r>
    </w:p>
    <w:p>
      <w:pPr>
        <w:pStyle w:val="BodyText"/>
        <w:tabs>
          <w:tab w:pos="980" w:val="left" w:leader="none"/>
        </w:tabs>
        <w:spacing w:line="241" w:lineRule="exact"/>
        <w:ind w:left="138" w:right="0"/>
        <w:jc w:val="left"/>
      </w:pPr>
      <w:r>
        <w:rPr>
          <w:spacing w:val="-1"/>
        </w:rPr>
        <w:t>√适用</w:t>
        <w:tab/>
      </w:r>
      <w:r>
        <w:rPr>
          <w:spacing w:val="-2"/>
        </w:rPr>
        <w:t>□不适用</w:t>
      </w:r>
    </w:p>
    <w:p>
      <w:pPr>
        <w:pStyle w:val="BodyText"/>
        <w:spacing w:line="237" w:lineRule="auto"/>
        <w:ind w:left="138" w:right="157"/>
        <w:jc w:val="both"/>
      </w:pPr>
      <w:r>
        <w:rPr/>
        <w:t>本集团的长期待摊费用是指企业已经支出，但摊销年限在</w:t>
      </w:r>
      <w:r>
        <w:rPr>
          <w:spacing w:val="-55"/>
        </w:rPr>
        <w:t> </w:t>
      </w:r>
      <w:r>
        <w:rPr>
          <w:rFonts w:ascii="宋体" w:hAnsi="宋体" w:cs="宋体" w:eastAsia="宋体" w:hint="default"/>
        </w:rPr>
        <w:t>1</w:t>
      </w:r>
      <w:r>
        <w:rPr>
          <w:rFonts w:ascii="宋体" w:hAnsi="宋体" w:cs="宋体" w:eastAsia="宋体" w:hint="default"/>
          <w:spacing w:val="-55"/>
        </w:rPr>
        <w:t> </w:t>
      </w:r>
      <w:r>
        <w:rPr/>
        <w:t>年以上的各项费用或因收购一些资产</w:t>
      </w:r>
      <w:r>
        <w:rPr>
          <w:w w:val="100"/>
        </w:rPr>
        <w:t> </w:t>
      </w:r>
      <w:r>
        <w:rPr>
          <w:spacing w:val="-2"/>
        </w:rPr>
        <w:t>及业务而付出的收购对价超出收购资产的账面金额的部分。长期待摊费用在受益期限内采用直线</w:t>
      </w:r>
      <w:r>
        <w:rPr>
          <w:spacing w:val="-25"/>
        </w:rPr>
        <w:t> </w:t>
      </w:r>
      <w:r>
        <w:rPr>
          <w:spacing w:val="-25"/>
        </w:rPr>
      </w:r>
      <w:r>
        <w:rPr/>
        <w:t>法摊销。</w:t>
      </w:r>
    </w:p>
    <w:p>
      <w:pPr>
        <w:spacing w:line="240" w:lineRule="auto" w:before="4"/>
        <w:rPr>
          <w:rFonts w:ascii="宋体" w:hAnsi="宋体" w:cs="宋体" w:eastAsia="宋体" w:hint="default"/>
          <w:sz w:val="25"/>
          <w:szCs w:val="25"/>
        </w:rPr>
      </w:pPr>
    </w:p>
    <w:p>
      <w:pPr>
        <w:pStyle w:val="Heading3"/>
        <w:spacing w:line="290" w:lineRule="auto"/>
        <w:ind w:left="138" w:right="6121"/>
        <w:jc w:val="left"/>
        <w:rPr>
          <w:b w:val="0"/>
          <w:bCs w:val="0"/>
        </w:rPr>
      </w:pPr>
      <w:r>
        <w:rPr>
          <w:rFonts w:ascii="宋体" w:hAnsi="宋体" w:cs="宋体" w:eastAsia="宋体" w:hint="default"/>
        </w:rPr>
        <w:t>24.</w:t>
      </w:r>
      <w:r>
        <w:rPr>
          <w:rFonts w:ascii="宋体" w:hAnsi="宋体" w:cs="宋体" w:eastAsia="宋体" w:hint="default"/>
          <w:spacing w:val="2"/>
        </w:rPr>
        <w:t> </w:t>
      </w:r>
      <w:r>
        <w:rPr/>
        <w:t>职工薪酬</w:t>
      </w:r>
      <w:r>
        <w:rPr>
          <w:w w:val="100"/>
        </w:rPr>
        <w:t> </w:t>
      </w:r>
      <w:r>
        <w:rPr>
          <w:rFonts w:ascii="宋体" w:hAnsi="宋体" w:cs="宋体" w:eastAsia="宋体" w:hint="default"/>
        </w:rPr>
        <w:t>(1)</w:t>
      </w:r>
      <w:r>
        <w:rPr/>
        <w:t>、短期薪酬的会计处理方法</w:t>
      </w:r>
      <w:r>
        <w:rPr>
          <w:b w:val="0"/>
          <w:bCs w:val="0"/>
        </w:rPr>
      </w:r>
    </w:p>
    <w:p>
      <w:pPr>
        <w:pStyle w:val="BodyText"/>
        <w:tabs>
          <w:tab w:pos="980" w:val="left" w:leader="none"/>
        </w:tabs>
        <w:spacing w:line="237" w:lineRule="auto" w:before="14"/>
        <w:ind w:left="138" w:right="157"/>
        <w:jc w:val="left"/>
      </w:pPr>
      <w:r>
        <w:rPr>
          <w:spacing w:val="-1"/>
        </w:rPr>
        <w:t>√适用</w:t>
        <w:tab/>
      </w:r>
      <w:r>
        <w:rPr>
          <w:spacing w:val="-2"/>
        </w:rPr>
        <w:t>□不适用</w:t>
      </w:r>
      <w:r>
        <w:rPr>
          <w:spacing w:val="-99"/>
        </w:rPr>
        <w:t> </w:t>
      </w:r>
      <w:r>
        <w:rPr>
          <w:spacing w:val="-99"/>
        </w:rPr>
      </w:r>
      <w:r>
        <w:rPr>
          <w:spacing w:val="-2"/>
        </w:rPr>
        <w:t>在职工提供服务的会计期间，将实际发生的短期薪酬确认为负债，并计入当期损益或相关资产成</w:t>
      </w:r>
      <w:r>
        <w:rPr>
          <w:spacing w:val="-25"/>
        </w:rPr>
        <w:t> </w:t>
      </w:r>
      <w:r>
        <w:rPr>
          <w:spacing w:val="-25"/>
        </w:rPr>
      </w:r>
      <w:r>
        <w:rPr/>
        <w:t>本。</w:t>
      </w:r>
    </w:p>
    <w:p>
      <w:pPr>
        <w:spacing w:line="240" w:lineRule="auto" w:before="3"/>
        <w:rPr>
          <w:rFonts w:ascii="宋体" w:hAnsi="宋体" w:cs="宋体" w:eastAsia="宋体" w:hint="default"/>
          <w:sz w:val="25"/>
          <w:szCs w:val="25"/>
        </w:rPr>
      </w:pPr>
    </w:p>
    <w:p>
      <w:pPr>
        <w:pStyle w:val="Heading3"/>
        <w:spacing w:line="240" w:lineRule="auto"/>
        <w:ind w:left="138" w:right="0"/>
        <w:jc w:val="left"/>
        <w:rPr>
          <w:b w:val="0"/>
          <w:bCs w:val="0"/>
        </w:rPr>
      </w:pPr>
      <w:r>
        <w:rPr>
          <w:rFonts w:ascii="宋体" w:hAnsi="宋体" w:cs="宋体" w:eastAsia="宋体" w:hint="default"/>
        </w:rPr>
        <w:t>(2)</w:t>
      </w:r>
      <w:r>
        <w:rPr/>
        <w:t>、离职后福利的会计处理方法</w:t>
      </w:r>
      <w:r>
        <w:rPr>
          <w:b w:val="0"/>
          <w:bCs w:val="0"/>
        </w:rPr>
      </w:r>
    </w:p>
    <w:p>
      <w:pPr>
        <w:pStyle w:val="BodyText"/>
        <w:tabs>
          <w:tab w:pos="980" w:val="left" w:leader="none"/>
        </w:tabs>
        <w:spacing w:line="237" w:lineRule="auto" w:before="59"/>
        <w:ind w:left="138" w:right="157"/>
        <w:jc w:val="left"/>
      </w:pPr>
      <w:r>
        <w:rPr>
          <w:spacing w:val="-1"/>
        </w:rPr>
        <w:t>√适用</w:t>
        <w:tab/>
      </w:r>
      <w:r>
        <w:rPr>
          <w:spacing w:val="-2"/>
        </w:rPr>
        <w:t>□不适用</w:t>
      </w:r>
      <w:r>
        <w:rPr>
          <w:spacing w:val="-99"/>
        </w:rPr>
        <w:t> </w:t>
      </w:r>
      <w:r>
        <w:rPr>
          <w:spacing w:val="-99"/>
        </w:rPr>
      </w:r>
      <w:r>
        <w:rPr>
          <w:spacing w:val="-2"/>
        </w:rPr>
        <w:t>本集团的职工参加由当地政府管理的养老保险和失业保险，相应支出在发生时计入相关资产成本</w:t>
      </w:r>
      <w:r>
        <w:rPr>
          <w:spacing w:val="-25"/>
        </w:rPr>
        <w:t> </w:t>
      </w:r>
      <w:r>
        <w:rPr>
          <w:spacing w:val="-25"/>
        </w:rPr>
      </w:r>
      <w:r>
        <w:rPr/>
        <w:t>或当期损益。</w:t>
      </w:r>
    </w:p>
    <w:p>
      <w:pPr>
        <w:spacing w:line="240" w:lineRule="auto" w:before="4"/>
        <w:rPr>
          <w:rFonts w:ascii="宋体" w:hAnsi="宋体" w:cs="宋体" w:eastAsia="宋体" w:hint="default"/>
          <w:sz w:val="25"/>
          <w:szCs w:val="25"/>
        </w:rPr>
      </w:pPr>
    </w:p>
    <w:p>
      <w:pPr>
        <w:pStyle w:val="Heading3"/>
        <w:spacing w:line="240" w:lineRule="auto"/>
        <w:ind w:left="138" w:right="0"/>
        <w:jc w:val="left"/>
        <w:rPr>
          <w:b w:val="0"/>
          <w:bCs w:val="0"/>
        </w:rPr>
      </w:pPr>
      <w:r>
        <w:rPr>
          <w:rFonts w:ascii="宋体" w:hAnsi="宋体" w:cs="宋体" w:eastAsia="宋体" w:hint="default"/>
        </w:rPr>
        <w:t>(3)</w:t>
      </w:r>
      <w:r>
        <w:rPr/>
        <w:t>、辞退福利的会计处理方法</w:t>
      </w:r>
      <w:r>
        <w:rPr>
          <w:b w:val="0"/>
          <w:bCs w:val="0"/>
        </w:rPr>
      </w:r>
    </w:p>
    <w:p>
      <w:pPr>
        <w:pStyle w:val="BodyText"/>
        <w:tabs>
          <w:tab w:pos="980" w:val="left" w:leader="none"/>
        </w:tabs>
        <w:spacing w:line="237" w:lineRule="auto" w:before="61"/>
        <w:ind w:left="138" w:right="157"/>
        <w:jc w:val="left"/>
      </w:pPr>
      <w:r>
        <w:rPr>
          <w:spacing w:val="-1"/>
        </w:rPr>
        <w:t>√适用</w:t>
        <w:tab/>
      </w:r>
      <w:r>
        <w:rPr>
          <w:spacing w:val="-2"/>
        </w:rPr>
        <w:t>□不适用</w:t>
      </w:r>
      <w:r>
        <w:rPr>
          <w:spacing w:val="-99"/>
        </w:rPr>
        <w:t> </w:t>
      </w:r>
      <w:r>
        <w:rPr>
          <w:spacing w:val="-99"/>
        </w:rPr>
      </w:r>
      <w:r>
        <w:rPr>
          <w:spacing w:val="-2"/>
        </w:rPr>
        <w:t>本集团向职工提供辞退福利的，在下列两者孰早日确认辞退福利产生的职工薪酬负债，并计入当</w:t>
      </w:r>
      <w:r>
        <w:rPr>
          <w:spacing w:val="-26"/>
        </w:rPr>
        <w:t> </w:t>
      </w:r>
      <w:r>
        <w:rPr>
          <w:spacing w:val="-26"/>
        </w:rPr>
      </w:r>
      <w:r>
        <w:rPr>
          <w:spacing w:val="-2"/>
        </w:rPr>
        <w:t>期损益：企业不能单方面撤回因解除劳动关系计划或裁减建议所提供的辞退福利时；企业确认与</w:t>
      </w:r>
      <w:r>
        <w:rPr>
          <w:spacing w:val="-25"/>
        </w:rPr>
        <w:t> </w:t>
      </w:r>
      <w:r>
        <w:rPr>
          <w:spacing w:val="-25"/>
        </w:rPr>
      </w:r>
      <w:r>
        <w:rPr/>
        <w:t>涉及支付辞退福利的重组相关的成本或费用时。</w:t>
      </w:r>
    </w:p>
    <w:p>
      <w:pPr>
        <w:spacing w:line="240" w:lineRule="auto" w:before="3"/>
        <w:rPr>
          <w:rFonts w:ascii="宋体" w:hAnsi="宋体" w:cs="宋体" w:eastAsia="宋体" w:hint="default"/>
          <w:sz w:val="25"/>
          <w:szCs w:val="25"/>
        </w:rPr>
      </w:pPr>
    </w:p>
    <w:p>
      <w:pPr>
        <w:pStyle w:val="Heading3"/>
        <w:spacing w:line="240" w:lineRule="auto"/>
        <w:ind w:left="138" w:right="0"/>
        <w:jc w:val="left"/>
        <w:rPr>
          <w:b w:val="0"/>
          <w:bCs w:val="0"/>
        </w:rPr>
      </w:pPr>
      <w:r>
        <w:rPr>
          <w:rFonts w:ascii="宋体" w:hAnsi="宋体" w:cs="宋体" w:eastAsia="宋体" w:hint="default"/>
        </w:rPr>
        <w:t>(4)</w:t>
      </w:r>
      <w:r>
        <w:rPr/>
        <w:t>、其他长期职工福利的会计处理方法</w:t>
      </w:r>
      <w:r>
        <w:rPr>
          <w:b w:val="0"/>
          <w:bCs w:val="0"/>
        </w:rPr>
      </w:r>
    </w:p>
    <w:p>
      <w:pPr>
        <w:pStyle w:val="BodyText"/>
        <w:tabs>
          <w:tab w:pos="980" w:val="left" w:leader="none"/>
        </w:tabs>
        <w:spacing w:line="240" w:lineRule="auto" w:before="58"/>
        <w:ind w:left="138" w:right="0"/>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left="138" w:right="0"/>
        <w:jc w:val="left"/>
        <w:rPr>
          <w:b w:val="0"/>
          <w:bCs w:val="0"/>
        </w:rPr>
      </w:pPr>
      <w:r>
        <w:rPr>
          <w:rFonts w:ascii="宋体" w:hAnsi="宋体" w:cs="宋体" w:eastAsia="宋体" w:hint="default"/>
        </w:rPr>
        <w:t>25.</w:t>
      </w:r>
      <w:r>
        <w:rPr>
          <w:rFonts w:ascii="宋体" w:hAnsi="宋体" w:cs="宋体" w:eastAsia="宋体" w:hint="default"/>
          <w:spacing w:val="2"/>
        </w:rPr>
        <w:t> </w:t>
      </w:r>
      <w:r>
        <w:rPr/>
        <w:t>预计负债</w:t>
      </w:r>
      <w:r>
        <w:rPr>
          <w:b w:val="0"/>
          <w:bCs w:val="0"/>
        </w:rPr>
      </w:r>
    </w:p>
    <w:p>
      <w:pPr>
        <w:pStyle w:val="BodyText"/>
        <w:tabs>
          <w:tab w:pos="980" w:val="left" w:leader="none"/>
        </w:tabs>
        <w:spacing w:line="237" w:lineRule="auto" w:before="59"/>
        <w:ind w:left="138" w:right="157"/>
        <w:jc w:val="left"/>
      </w:pPr>
      <w:r>
        <w:rPr>
          <w:spacing w:val="-1"/>
        </w:rPr>
        <w:t>√适用</w:t>
        <w:tab/>
      </w:r>
      <w:r>
        <w:rPr>
          <w:spacing w:val="-2"/>
        </w:rPr>
        <w:t>□不适用</w:t>
      </w:r>
      <w:r>
        <w:rPr>
          <w:spacing w:val="-99"/>
        </w:rPr>
        <w:t> </w:t>
      </w:r>
      <w:r>
        <w:rPr>
          <w:spacing w:val="-99"/>
        </w:rPr>
      </w:r>
      <w:r>
        <w:rPr>
          <w:spacing w:val="-2"/>
        </w:rPr>
        <w:t>除了非同一控制下企业合并中的或有对价及承担的或有负债之外，当与或有事项相关的义务同时</w:t>
      </w:r>
      <w:r>
        <w:rPr>
          <w:spacing w:val="-25"/>
        </w:rPr>
        <w:t> </w:t>
      </w:r>
      <w:r>
        <w:rPr>
          <w:spacing w:val="-25"/>
        </w:rPr>
      </w:r>
      <w:r>
        <w:rPr/>
        <w:t>符合以下条件，本集团将其确认为预计负债：</w:t>
      </w:r>
    </w:p>
    <w:p>
      <w:pPr>
        <w:spacing w:line="240" w:lineRule="auto" w:before="9"/>
        <w:rPr>
          <w:rFonts w:ascii="宋体" w:hAnsi="宋体" w:cs="宋体" w:eastAsia="宋体" w:hint="default"/>
          <w:sz w:val="20"/>
          <w:szCs w:val="20"/>
        </w:rPr>
      </w:pPr>
    </w:p>
    <w:p>
      <w:pPr>
        <w:pStyle w:val="BodyText"/>
        <w:spacing w:line="274" w:lineRule="exact"/>
        <w:ind w:left="138" w:right="0"/>
        <w:jc w:val="left"/>
      </w:pPr>
      <w:r>
        <w:rPr>
          <w:rFonts w:ascii="宋体" w:hAnsi="宋体" w:cs="宋体" w:eastAsia="宋体" w:hint="default"/>
        </w:rPr>
        <w:t>(1)</w:t>
      </w:r>
      <w:r>
        <w:rPr>
          <w:rFonts w:ascii="宋体" w:hAnsi="宋体" w:cs="宋体" w:eastAsia="宋体" w:hint="default"/>
          <w:spacing w:val="-1"/>
        </w:rPr>
        <w:t> </w:t>
      </w:r>
      <w:r>
        <w:rPr/>
        <w:t>该义务是本集团承担的现时义务；</w:t>
      </w:r>
    </w:p>
    <w:p>
      <w:pPr>
        <w:pStyle w:val="BodyText"/>
        <w:spacing w:line="272" w:lineRule="exact"/>
        <w:ind w:left="138" w:right="0"/>
        <w:jc w:val="left"/>
      </w:pPr>
      <w:r>
        <w:rPr>
          <w:rFonts w:ascii="宋体" w:hAnsi="宋体" w:cs="宋体" w:eastAsia="宋体" w:hint="default"/>
        </w:rPr>
        <w:t>(2)</w:t>
      </w:r>
      <w:r>
        <w:rPr>
          <w:rFonts w:ascii="宋体" w:hAnsi="宋体" w:cs="宋体" w:eastAsia="宋体" w:hint="default"/>
          <w:spacing w:val="-2"/>
        </w:rPr>
        <w:t> </w:t>
      </w:r>
      <w:r>
        <w:rPr/>
        <w:t>该义务的履行很可能导致经济利益流出本集团；</w:t>
      </w:r>
    </w:p>
    <w:p>
      <w:pPr>
        <w:pStyle w:val="BodyText"/>
        <w:spacing w:line="273" w:lineRule="exact"/>
        <w:ind w:left="138" w:right="0"/>
        <w:jc w:val="left"/>
      </w:pPr>
      <w:r>
        <w:rPr>
          <w:rFonts w:ascii="宋体" w:hAnsi="宋体" w:cs="宋体" w:eastAsia="宋体" w:hint="default"/>
        </w:rPr>
        <w:t>(3)</w:t>
      </w:r>
      <w:r>
        <w:rPr>
          <w:rFonts w:ascii="宋体" w:hAnsi="宋体" w:cs="宋体" w:eastAsia="宋体" w:hint="default"/>
          <w:spacing w:val="1"/>
        </w:rPr>
        <w:t> </w:t>
      </w:r>
      <w:r>
        <w:rPr/>
        <w:t>该义务的金额能够可靠地计量。</w:t>
      </w:r>
    </w:p>
    <w:p>
      <w:pPr>
        <w:spacing w:line="240" w:lineRule="auto" w:before="11"/>
        <w:rPr>
          <w:rFonts w:ascii="宋体" w:hAnsi="宋体" w:cs="宋体" w:eastAsia="宋体" w:hint="default"/>
          <w:sz w:val="20"/>
          <w:szCs w:val="20"/>
        </w:rPr>
      </w:pPr>
    </w:p>
    <w:p>
      <w:pPr>
        <w:pStyle w:val="BodyText"/>
        <w:spacing w:line="237" w:lineRule="auto"/>
        <w:ind w:left="138" w:right="148"/>
        <w:jc w:val="both"/>
      </w:pPr>
      <w:r>
        <w:rPr>
          <w:spacing w:val="-2"/>
        </w:rPr>
        <w:t>预计负债按照履行相关现时义务所需支出的最佳估计数进行初始计量，并综合考虑与或有事项有</w:t>
      </w:r>
      <w:r>
        <w:rPr>
          <w:spacing w:val="-25"/>
        </w:rPr>
        <w:t> </w:t>
      </w:r>
      <w:r>
        <w:rPr>
          <w:spacing w:val="-25"/>
        </w:rPr>
      </w:r>
      <w:r>
        <w:rPr>
          <w:spacing w:val="-6"/>
          <w:w w:val="100"/>
        </w:rPr>
        <w:t>关的风险、不确定性和货币时间价值等因素。每个资产负债表日对预计负债的账面价值进行复核。</w:t>
      </w:r>
      <w:r>
        <w:rPr>
          <w:w w:val="100"/>
        </w:rPr>
        <w:t> </w:t>
      </w:r>
      <w:r>
        <w:rPr>
          <w:spacing w:val="-2"/>
        </w:rPr>
        <w:t>有确凿证据表明该账面价值不能反映当前最佳估计数的，按照当前最佳估计数对该账面价值进行</w:t>
      </w:r>
      <w:r>
        <w:rPr>
          <w:spacing w:val="-25"/>
        </w:rPr>
        <w:t> </w:t>
      </w:r>
      <w:r>
        <w:rPr>
          <w:spacing w:val="-25"/>
        </w:rPr>
      </w:r>
      <w:r>
        <w:rPr/>
        <w:t>调整。</w:t>
      </w:r>
    </w:p>
    <w:p>
      <w:pPr>
        <w:spacing w:after="0" w:line="237" w:lineRule="auto"/>
        <w:jc w:val="both"/>
        <w:sectPr>
          <w:footerReference w:type="default" r:id="rId64"/>
          <w:pgSz w:w="11910" w:h="16840"/>
          <w:pgMar w:footer="1195" w:header="857" w:top="1320" w:bottom="1380" w:left="1660" w:right="1120"/>
        </w:sectPr>
      </w:pPr>
    </w:p>
    <w:p>
      <w:pPr>
        <w:spacing w:line="240" w:lineRule="auto" w:before="2"/>
        <w:rPr>
          <w:rFonts w:ascii="宋体" w:hAnsi="宋体" w:cs="宋体" w:eastAsia="宋体" w:hint="default"/>
          <w:sz w:val="9"/>
          <w:szCs w:val="9"/>
        </w:rPr>
      </w:pPr>
    </w:p>
    <w:p>
      <w:pPr>
        <w:pStyle w:val="BodyText"/>
        <w:spacing w:line="237" w:lineRule="auto" w:before="38"/>
        <w:ind w:left="138" w:right="157"/>
        <w:jc w:val="both"/>
      </w:pPr>
      <w:r>
        <w:rPr>
          <w:spacing w:val="-2"/>
        </w:rPr>
        <w:t>企业合并中取得的被购买方或有负债在初始确认时按照公允价值计量，在初始确认后，按照预计</w:t>
      </w:r>
      <w:r>
        <w:rPr>
          <w:spacing w:val="-25"/>
        </w:rPr>
        <w:t> </w:t>
      </w:r>
      <w:r>
        <w:rPr>
          <w:spacing w:val="-25"/>
        </w:rPr>
      </w:r>
      <w:r>
        <w:rPr>
          <w:spacing w:val="-2"/>
        </w:rPr>
        <w:t>负债确认的金额，和初始确认金额扣除收入确认原则确定的累计摊销额后的余额，以两者之中的</w:t>
      </w:r>
      <w:r>
        <w:rPr>
          <w:spacing w:val="-25"/>
        </w:rPr>
        <w:t> </w:t>
      </w:r>
      <w:r>
        <w:rPr>
          <w:spacing w:val="-25"/>
        </w:rPr>
      </w:r>
      <w:r>
        <w:rPr/>
        <w:t>较高者进行后续计量。</w:t>
      </w:r>
    </w:p>
    <w:p>
      <w:pPr>
        <w:spacing w:line="240" w:lineRule="auto" w:before="3"/>
        <w:rPr>
          <w:rFonts w:ascii="宋体" w:hAnsi="宋体" w:cs="宋体" w:eastAsia="宋体" w:hint="default"/>
          <w:sz w:val="25"/>
          <w:szCs w:val="25"/>
        </w:rPr>
      </w:pPr>
    </w:p>
    <w:p>
      <w:pPr>
        <w:pStyle w:val="Heading3"/>
        <w:spacing w:line="240" w:lineRule="auto"/>
        <w:ind w:left="138" w:right="0"/>
        <w:jc w:val="both"/>
        <w:rPr>
          <w:b w:val="0"/>
          <w:bCs w:val="0"/>
        </w:rPr>
      </w:pPr>
      <w:r>
        <w:rPr>
          <w:rFonts w:ascii="宋体" w:hAnsi="宋体" w:cs="宋体" w:eastAsia="宋体" w:hint="default"/>
        </w:rPr>
        <w:t>26.</w:t>
      </w:r>
      <w:r>
        <w:rPr>
          <w:rFonts w:ascii="宋体" w:hAnsi="宋体" w:cs="宋体" w:eastAsia="宋体" w:hint="default"/>
          <w:spacing w:val="2"/>
        </w:rPr>
        <w:t> </w:t>
      </w:r>
      <w:r>
        <w:rPr/>
        <w:t>股份支付</w:t>
      </w:r>
      <w:r>
        <w:rPr>
          <w:b w:val="0"/>
          <w:bCs w:val="0"/>
        </w:rPr>
      </w:r>
    </w:p>
    <w:p>
      <w:pPr>
        <w:pStyle w:val="BodyText"/>
        <w:tabs>
          <w:tab w:pos="980" w:val="left" w:leader="none"/>
        </w:tabs>
        <w:spacing w:line="237" w:lineRule="auto" w:before="61"/>
        <w:ind w:left="138" w:right="157"/>
        <w:jc w:val="left"/>
      </w:pPr>
      <w:r>
        <w:rPr>
          <w:spacing w:val="-1"/>
        </w:rPr>
        <w:t>√适用</w:t>
        <w:tab/>
      </w:r>
      <w:r>
        <w:rPr>
          <w:spacing w:val="-2"/>
        </w:rPr>
        <w:t>□不适用</w:t>
      </w:r>
      <w:r>
        <w:rPr>
          <w:spacing w:val="-99"/>
        </w:rPr>
        <w:t> </w:t>
      </w:r>
      <w:r>
        <w:rPr>
          <w:spacing w:val="-99"/>
        </w:rPr>
      </w:r>
      <w:r>
        <w:rPr>
          <w:spacing w:val="-2"/>
        </w:rPr>
        <w:t>股份支付，分为以权益结算的股份支付和以现金结算的股份支付。以权益结算的股份支付，是指</w:t>
      </w:r>
      <w:r>
        <w:rPr>
          <w:spacing w:val="-25"/>
        </w:rPr>
        <w:t> </w:t>
      </w:r>
      <w:r>
        <w:rPr>
          <w:spacing w:val="-25"/>
        </w:rPr>
      </w:r>
      <w:r>
        <w:rPr/>
        <w:t>本集团为获取服务以股份或其他权益工具作为对价进行结算的交易。</w:t>
      </w:r>
    </w:p>
    <w:p>
      <w:pPr>
        <w:spacing w:line="240" w:lineRule="auto" w:before="11"/>
        <w:rPr>
          <w:rFonts w:ascii="宋体" w:hAnsi="宋体" w:cs="宋体" w:eastAsia="宋体" w:hint="default"/>
          <w:sz w:val="20"/>
          <w:szCs w:val="20"/>
        </w:rPr>
      </w:pPr>
    </w:p>
    <w:p>
      <w:pPr>
        <w:pStyle w:val="BodyText"/>
        <w:spacing w:line="237" w:lineRule="auto"/>
        <w:ind w:left="138" w:right="157"/>
        <w:jc w:val="both"/>
      </w:pPr>
      <w:r>
        <w:rPr>
          <w:spacing w:val="-2"/>
        </w:rPr>
        <w:t>以权益结算的股份支付换取职工提供服务的，以授予职工权益工具的公允价值计量。授予后立即</w:t>
      </w:r>
      <w:r>
        <w:rPr>
          <w:spacing w:val="-25"/>
        </w:rPr>
        <w:t> </w:t>
      </w:r>
      <w:r>
        <w:rPr>
          <w:spacing w:val="-25"/>
        </w:rPr>
      </w:r>
      <w:r>
        <w:rPr>
          <w:spacing w:val="-2"/>
        </w:rPr>
        <w:t>可行权的，在授予日按照公允价值计入相关成本或费用，相应增加资本公积；完成等待期内的服</w:t>
      </w:r>
      <w:r>
        <w:rPr>
          <w:spacing w:val="-25"/>
        </w:rPr>
        <w:t> </w:t>
      </w:r>
      <w:r>
        <w:rPr>
          <w:spacing w:val="-25"/>
        </w:rPr>
      </w:r>
      <w:r>
        <w:rPr>
          <w:spacing w:val="-2"/>
        </w:rPr>
        <w:t>务或达到规定业绩条件才可行权的，在等待期内每个资产负债表日，本集团根据最新取得的可行</w:t>
      </w:r>
      <w:r>
        <w:rPr>
          <w:spacing w:val="-25"/>
        </w:rPr>
        <w:t> </w:t>
      </w:r>
      <w:r>
        <w:rPr>
          <w:spacing w:val="-25"/>
        </w:rPr>
      </w:r>
      <w:r>
        <w:rPr>
          <w:spacing w:val="-2"/>
        </w:rPr>
        <w:t>权职工人数变动等后续信息对可行权权益工具数量作出最佳估计，以此为基础，按照授予日的公</w:t>
      </w:r>
      <w:r>
        <w:rPr>
          <w:spacing w:val="-25"/>
        </w:rPr>
        <w:t> </w:t>
      </w:r>
      <w:r>
        <w:rPr>
          <w:spacing w:val="-25"/>
        </w:rPr>
      </w:r>
      <w:r>
        <w:rPr>
          <w:spacing w:val="-2"/>
        </w:rPr>
        <w:t>允价值，将当期取得的服务计入相关成本或费用，相应增加资本公积。权益工具的公允价值采用</w:t>
      </w:r>
      <w:r>
        <w:rPr>
          <w:spacing w:val="-25"/>
        </w:rPr>
        <w:t> </w:t>
      </w:r>
      <w:r>
        <w:rPr>
          <w:spacing w:val="-25"/>
        </w:rPr>
      </w:r>
      <w:r>
        <w:rPr/>
        <w:t>布莱克</w:t>
      </w:r>
      <w:r>
        <w:rPr>
          <w:rFonts w:ascii="宋体" w:hAnsi="宋体" w:cs="宋体" w:eastAsia="宋体" w:hint="default"/>
        </w:rPr>
        <w:t>-</w:t>
      </w:r>
      <w:r>
        <w:rPr/>
        <w:t>斯科尔斯模型确定，参见附注十三、股份支付。</w:t>
      </w:r>
    </w:p>
    <w:p>
      <w:pPr>
        <w:spacing w:line="240" w:lineRule="auto" w:before="11"/>
        <w:rPr>
          <w:rFonts w:ascii="宋体" w:hAnsi="宋体" w:cs="宋体" w:eastAsia="宋体" w:hint="default"/>
          <w:sz w:val="20"/>
          <w:szCs w:val="20"/>
        </w:rPr>
      </w:pPr>
    </w:p>
    <w:p>
      <w:pPr>
        <w:pStyle w:val="BodyText"/>
        <w:spacing w:line="237" w:lineRule="auto"/>
        <w:ind w:left="138" w:right="150"/>
        <w:jc w:val="both"/>
      </w:pPr>
      <w:r>
        <w:rPr>
          <w:spacing w:val="-2"/>
        </w:rPr>
        <w:t>在满足业绩条件和服务期限条件的期间，应确认以权益结算的股份支付的成本或费用，并相应增</w:t>
      </w:r>
      <w:r>
        <w:rPr>
          <w:spacing w:val="-25"/>
        </w:rPr>
        <w:t> </w:t>
      </w:r>
      <w:r>
        <w:rPr>
          <w:spacing w:val="-25"/>
        </w:rPr>
      </w:r>
      <w:r>
        <w:rPr>
          <w:spacing w:val="-2"/>
        </w:rPr>
        <w:t>加资本公积。可行权日之前，于每个资产负债表日为以权益结算的股份支付确认的累计金额反映</w:t>
      </w:r>
      <w:r>
        <w:rPr>
          <w:spacing w:val="-25"/>
        </w:rPr>
        <w:t> </w:t>
      </w:r>
      <w:r>
        <w:rPr>
          <w:spacing w:val="-25"/>
        </w:rPr>
      </w:r>
      <w:r>
        <w:rPr/>
        <w:t>了等待期已届满的部分以及本集团对最终可行权的权益工具数量的最佳估计。</w:t>
      </w:r>
    </w:p>
    <w:p>
      <w:pPr>
        <w:spacing w:line="240" w:lineRule="auto" w:before="11"/>
        <w:rPr>
          <w:rFonts w:ascii="宋体" w:hAnsi="宋体" w:cs="宋体" w:eastAsia="宋体" w:hint="default"/>
          <w:sz w:val="20"/>
          <w:szCs w:val="20"/>
        </w:rPr>
      </w:pPr>
    </w:p>
    <w:p>
      <w:pPr>
        <w:pStyle w:val="BodyText"/>
        <w:spacing w:line="237" w:lineRule="auto"/>
        <w:ind w:left="138" w:right="150"/>
        <w:jc w:val="both"/>
      </w:pPr>
      <w:r>
        <w:rPr>
          <w:spacing w:val="-4"/>
        </w:rPr>
        <w:t>对由于未满足非市场条件和</w:t>
      </w:r>
      <w:r>
        <w:rPr>
          <w:rFonts w:ascii="宋体" w:hAnsi="宋体" w:cs="宋体" w:eastAsia="宋体" w:hint="default"/>
          <w:spacing w:val="-4"/>
        </w:rPr>
        <w:t>/</w:t>
      </w:r>
      <w:r>
        <w:rPr>
          <w:spacing w:val="-4"/>
        </w:rPr>
        <w:t>或服务期限条件而最终未能行权的股份支付，不确认成本或费用。股</w:t>
      </w:r>
      <w:r>
        <w:rPr>
          <w:spacing w:val="-36"/>
        </w:rPr>
        <w:t> </w:t>
      </w:r>
      <w:r>
        <w:rPr>
          <w:spacing w:val="-36"/>
        </w:rPr>
      </w:r>
      <w:r>
        <w:rPr>
          <w:spacing w:val="-2"/>
        </w:rPr>
        <w:t>份支付协议中规定了市场条件或非可行权条件的，无论是否满足市场条件或非可行权条件，只要</w:t>
      </w:r>
      <w:r>
        <w:rPr>
          <w:spacing w:val="-25"/>
        </w:rPr>
        <w:t> </w:t>
      </w:r>
      <w:r>
        <w:rPr>
          <w:spacing w:val="-25"/>
        </w:rPr>
      </w:r>
      <w:r>
        <w:rPr/>
        <w:t>满足所有其他业绩条件和</w:t>
      </w:r>
      <w:r>
        <w:rPr>
          <w:rFonts w:ascii="宋体" w:hAnsi="宋体" w:cs="宋体" w:eastAsia="宋体" w:hint="default"/>
        </w:rPr>
        <w:t>/</w:t>
      </w:r>
      <w:r>
        <w:rPr/>
        <w:t>或服务期限条件，即视为可行权。</w:t>
      </w:r>
    </w:p>
    <w:p>
      <w:pPr>
        <w:spacing w:line="240" w:lineRule="auto" w:before="10"/>
        <w:rPr>
          <w:rFonts w:ascii="宋体" w:hAnsi="宋体" w:cs="宋体" w:eastAsia="宋体" w:hint="default"/>
          <w:sz w:val="22"/>
          <w:szCs w:val="22"/>
        </w:rPr>
      </w:pPr>
    </w:p>
    <w:p>
      <w:pPr>
        <w:pStyle w:val="BodyText"/>
        <w:spacing w:line="272" w:lineRule="exact"/>
        <w:ind w:left="138" w:right="157"/>
        <w:jc w:val="both"/>
      </w:pPr>
      <w:r>
        <w:rPr>
          <w:spacing w:val="-2"/>
        </w:rPr>
        <w:t>如果修改了以权益结算的股份支付的条款，至少按照未修改条款的情况确认取得的服务。此外，</w:t>
      </w:r>
      <w:r>
        <w:rPr>
          <w:spacing w:val="-25"/>
        </w:rPr>
        <w:t> </w:t>
      </w:r>
      <w:r>
        <w:rPr>
          <w:spacing w:val="-25"/>
        </w:rPr>
      </w:r>
      <w:r>
        <w:rPr>
          <w:spacing w:val="-2"/>
        </w:rPr>
        <w:t>增加所授予权益工具公允价值的修改，或在修改日对职工有利的变更，均确认取得服务的增加。</w:t>
      </w:r>
    </w:p>
    <w:p>
      <w:pPr>
        <w:spacing w:line="240" w:lineRule="auto" w:before="12"/>
        <w:rPr>
          <w:rFonts w:ascii="宋体" w:hAnsi="宋体" w:cs="宋体" w:eastAsia="宋体" w:hint="default"/>
          <w:sz w:val="18"/>
          <w:szCs w:val="18"/>
        </w:rPr>
      </w:pPr>
    </w:p>
    <w:p>
      <w:pPr>
        <w:pStyle w:val="BodyText"/>
        <w:spacing w:line="237" w:lineRule="auto"/>
        <w:ind w:left="138" w:right="157"/>
        <w:jc w:val="both"/>
      </w:pPr>
      <w:r>
        <w:rPr>
          <w:spacing w:val="-2"/>
        </w:rPr>
        <w:t>如果取消了以权益结算的股份支付，则于取消日作为加速行权处理，立即确认尚未确认的金额。</w:t>
      </w:r>
      <w:r>
        <w:rPr>
          <w:spacing w:val="-25"/>
        </w:rPr>
        <w:t> </w:t>
      </w:r>
      <w:r>
        <w:rPr>
          <w:spacing w:val="-25"/>
        </w:rPr>
      </w:r>
      <w:r>
        <w:rPr>
          <w:spacing w:val="-2"/>
        </w:rPr>
        <w:t>职工或其他方能够选择满足非可行权条件但在等待期内未满足的，作为取消以权益结算的股份支</w:t>
      </w:r>
      <w:r>
        <w:rPr>
          <w:spacing w:val="-25"/>
        </w:rPr>
        <w:t> </w:t>
      </w:r>
      <w:r>
        <w:rPr>
          <w:spacing w:val="-25"/>
        </w:rPr>
      </w:r>
      <w:r>
        <w:rPr>
          <w:spacing w:val="-2"/>
        </w:rPr>
        <w:t>付处理。但是，如果授予新的权益工具，并在新权益工具授予日认定所授予的新权益工具是用于</w:t>
      </w:r>
      <w:r>
        <w:rPr>
          <w:spacing w:val="-25"/>
        </w:rPr>
        <w:t> </w:t>
      </w:r>
      <w:r>
        <w:rPr>
          <w:spacing w:val="-25"/>
        </w:rPr>
      </w:r>
      <w:r>
        <w:rPr>
          <w:spacing w:val="-2"/>
        </w:rPr>
        <w:t>替代被取消的权益工具的，则以与处理原权益工具条款和条件修改相同的方式，对所授予的替代</w:t>
      </w:r>
      <w:r>
        <w:rPr>
          <w:spacing w:val="-25"/>
        </w:rPr>
        <w:t> </w:t>
      </w:r>
      <w:r>
        <w:rPr>
          <w:spacing w:val="-25"/>
        </w:rPr>
      </w:r>
      <w:r>
        <w:rPr/>
        <w:t>权益工具进行处理。</w:t>
      </w:r>
    </w:p>
    <w:p>
      <w:pPr>
        <w:spacing w:line="240" w:lineRule="auto" w:before="3"/>
        <w:rPr>
          <w:rFonts w:ascii="宋体" w:hAnsi="宋体" w:cs="宋体" w:eastAsia="宋体" w:hint="default"/>
          <w:sz w:val="25"/>
          <w:szCs w:val="25"/>
        </w:rPr>
      </w:pPr>
    </w:p>
    <w:p>
      <w:pPr>
        <w:pStyle w:val="Heading3"/>
        <w:spacing w:line="240" w:lineRule="auto"/>
        <w:ind w:left="138" w:right="0"/>
        <w:jc w:val="both"/>
        <w:rPr>
          <w:b w:val="0"/>
          <w:bCs w:val="0"/>
        </w:rPr>
      </w:pPr>
      <w:r>
        <w:rPr>
          <w:rFonts w:ascii="宋体" w:hAnsi="宋体" w:cs="宋体" w:eastAsia="宋体" w:hint="default"/>
        </w:rPr>
        <w:t>27. </w:t>
      </w:r>
      <w:r>
        <w:rPr/>
        <w:t>优先股、永续债等其他金融工具</w:t>
      </w:r>
      <w:r>
        <w:rPr>
          <w:b w:val="0"/>
          <w:bCs w:val="0"/>
        </w:rPr>
      </w:r>
    </w:p>
    <w:p>
      <w:pPr>
        <w:pStyle w:val="BodyText"/>
        <w:spacing w:line="240" w:lineRule="auto" w:before="58"/>
        <w:ind w:left="138" w:right="0"/>
        <w:jc w:val="both"/>
      </w:pPr>
      <w:r>
        <w:rPr/>
        <w:t>□适用</w:t>
      </w:r>
      <w:r>
        <w:rPr>
          <w:spacing w:val="104"/>
        </w:rPr>
        <w:t> </w:t>
      </w:r>
      <w:r>
        <w:rPr/>
        <w:t>√不适用</w:t>
      </w:r>
    </w:p>
    <w:p>
      <w:pPr>
        <w:spacing w:line="240" w:lineRule="auto" w:before="3"/>
        <w:rPr>
          <w:rFonts w:ascii="宋体" w:hAnsi="宋体" w:cs="宋体" w:eastAsia="宋体" w:hint="default"/>
          <w:sz w:val="25"/>
          <w:szCs w:val="25"/>
        </w:rPr>
      </w:pPr>
    </w:p>
    <w:p>
      <w:pPr>
        <w:pStyle w:val="Heading3"/>
        <w:spacing w:line="240" w:lineRule="auto"/>
        <w:ind w:left="138" w:right="0"/>
        <w:jc w:val="both"/>
        <w:rPr>
          <w:b w:val="0"/>
          <w:bCs w:val="0"/>
        </w:rPr>
      </w:pPr>
      <w:r>
        <w:rPr>
          <w:rFonts w:ascii="宋体" w:hAnsi="宋体" w:cs="宋体" w:eastAsia="宋体" w:hint="default"/>
        </w:rPr>
        <w:t>28.</w:t>
      </w:r>
      <w:r>
        <w:rPr>
          <w:rFonts w:ascii="宋体" w:hAnsi="宋体" w:cs="宋体" w:eastAsia="宋体" w:hint="default"/>
          <w:spacing w:val="2"/>
        </w:rPr>
        <w:t> </w:t>
      </w:r>
      <w:r>
        <w:rPr/>
        <w:t>收入</w:t>
      </w:r>
      <w:r>
        <w:rPr>
          <w:b w:val="0"/>
          <w:bCs w:val="0"/>
        </w:rPr>
      </w:r>
    </w:p>
    <w:p>
      <w:pPr>
        <w:pStyle w:val="BodyText"/>
        <w:tabs>
          <w:tab w:pos="980" w:val="left" w:leader="none"/>
        </w:tabs>
        <w:spacing w:line="240" w:lineRule="auto" w:before="56"/>
        <w:ind w:left="138" w:right="368"/>
        <w:jc w:val="left"/>
      </w:pPr>
      <w:r>
        <w:rPr>
          <w:spacing w:val="-1"/>
        </w:rPr>
        <w:t>√适用</w:t>
        <w:tab/>
      </w:r>
      <w:r>
        <w:rPr>
          <w:spacing w:val="-2"/>
        </w:rPr>
        <w:t>□不适用</w:t>
      </w:r>
      <w:r>
        <w:rPr>
          <w:spacing w:val="-99"/>
        </w:rPr>
        <w:t> </w:t>
      </w:r>
      <w:r>
        <w:rPr>
          <w:spacing w:val="-99"/>
        </w:rPr>
      </w:r>
      <w:r>
        <w:rPr>
          <w:spacing w:val="-2"/>
        </w:rPr>
        <w:t>收入在经济利益很可能流入本集团、且金额能够可靠计量，并同时满足下列条件时予以确认。</w:t>
      </w:r>
    </w:p>
    <w:p>
      <w:pPr>
        <w:spacing w:line="240" w:lineRule="auto" w:before="6"/>
        <w:rPr>
          <w:rFonts w:ascii="宋体" w:hAnsi="宋体" w:cs="宋体" w:eastAsia="宋体" w:hint="default"/>
          <w:sz w:val="20"/>
          <w:szCs w:val="20"/>
        </w:rPr>
      </w:pPr>
    </w:p>
    <w:p>
      <w:pPr>
        <w:pStyle w:val="BodyText"/>
        <w:spacing w:line="240" w:lineRule="auto"/>
        <w:ind w:left="138" w:right="0"/>
        <w:jc w:val="both"/>
      </w:pPr>
      <w:r>
        <w:rPr/>
        <w:t>销售商品收入</w:t>
      </w:r>
    </w:p>
    <w:p>
      <w:pPr>
        <w:spacing w:line="240" w:lineRule="auto" w:before="11"/>
        <w:rPr>
          <w:rFonts w:ascii="宋体" w:hAnsi="宋体" w:cs="宋体" w:eastAsia="宋体" w:hint="default"/>
          <w:sz w:val="20"/>
          <w:szCs w:val="20"/>
        </w:rPr>
      </w:pPr>
    </w:p>
    <w:p>
      <w:pPr>
        <w:pStyle w:val="BodyText"/>
        <w:spacing w:line="237" w:lineRule="auto"/>
        <w:ind w:left="138" w:right="148"/>
        <w:jc w:val="both"/>
      </w:pPr>
      <w:r>
        <w:rPr>
          <w:spacing w:val="-2"/>
        </w:rPr>
        <w:t>本集团已将商品所有权上的主要风险和报酬转移给购货方，并不再对该商品保留通常与所有权相</w:t>
      </w:r>
      <w:r>
        <w:rPr>
          <w:spacing w:val="-25"/>
        </w:rPr>
        <w:t> </w:t>
      </w:r>
      <w:r>
        <w:rPr>
          <w:spacing w:val="-25"/>
        </w:rPr>
      </w:r>
      <w:r>
        <w:rPr>
          <w:spacing w:val="-2"/>
        </w:rPr>
        <w:t>联系的继续管理权和实施有效控制，且相关的已发生或将发生的成本能够可靠地计量，确认为收</w:t>
      </w:r>
      <w:r>
        <w:rPr>
          <w:spacing w:val="-25"/>
        </w:rPr>
        <w:t> </w:t>
      </w:r>
      <w:r>
        <w:rPr>
          <w:spacing w:val="-25"/>
        </w:rPr>
      </w:r>
      <w:r>
        <w:rPr>
          <w:spacing w:val="-2"/>
        </w:rPr>
        <w:t>入的实现。销售商品收入金额，按照从购货方已收或应收的合同或协议价款确定，但已收或应收</w:t>
      </w:r>
      <w:r>
        <w:rPr>
          <w:spacing w:val="-25"/>
        </w:rPr>
        <w:t> </w:t>
      </w:r>
      <w:r>
        <w:rPr>
          <w:spacing w:val="-25"/>
        </w:rPr>
      </w:r>
      <w:r>
        <w:rPr>
          <w:spacing w:val="-6"/>
          <w:w w:val="100"/>
        </w:rPr>
        <w:t>的合同或协议价款不公允的除外；合同或协议价款的收取采用递延方式，实质上具有融资性质的，</w:t>
      </w:r>
      <w:r>
        <w:rPr>
          <w:spacing w:val="-104"/>
          <w:w w:val="100"/>
        </w:rPr>
        <w:t> </w:t>
      </w:r>
      <w:r>
        <w:rPr>
          <w:spacing w:val="-104"/>
          <w:w w:val="100"/>
        </w:rPr>
      </w:r>
      <w:r>
        <w:rPr/>
        <w:t>按照应收的合同或协议价款的公允价值确定。</w:t>
      </w:r>
    </w:p>
    <w:p>
      <w:pPr>
        <w:spacing w:line="240" w:lineRule="auto" w:before="9"/>
        <w:rPr>
          <w:rFonts w:ascii="宋体" w:hAnsi="宋体" w:cs="宋体" w:eastAsia="宋体" w:hint="default"/>
          <w:sz w:val="20"/>
          <w:szCs w:val="20"/>
        </w:rPr>
      </w:pPr>
    </w:p>
    <w:p>
      <w:pPr>
        <w:pStyle w:val="BodyText"/>
        <w:spacing w:line="240" w:lineRule="auto"/>
        <w:ind w:left="138" w:right="0"/>
        <w:jc w:val="both"/>
      </w:pPr>
      <w:r>
        <w:rPr/>
        <w:t>软件产品销售以收到客户收货确认单、且预计相关的经济利益很可能流入企业的原则确认收入。</w:t>
      </w:r>
    </w:p>
    <w:p>
      <w:pPr>
        <w:spacing w:after="0" w:line="240" w:lineRule="auto"/>
        <w:jc w:val="both"/>
        <w:sectPr>
          <w:footerReference w:type="default" r:id="rId65"/>
          <w:pgSz w:w="11910" w:h="16840"/>
          <w:pgMar w:footer="1195" w:header="857" w:top="1320" w:bottom="1380" w:left="1660" w:right="1120"/>
          <w:pgNumType w:start="111"/>
        </w:sectPr>
      </w:pPr>
    </w:p>
    <w:p>
      <w:pPr>
        <w:spacing w:line="240" w:lineRule="auto" w:before="0"/>
        <w:rPr>
          <w:rFonts w:ascii="宋体" w:hAnsi="宋体" w:cs="宋体" w:eastAsia="宋体" w:hint="default"/>
          <w:sz w:val="20"/>
          <w:szCs w:val="20"/>
        </w:rPr>
      </w:pPr>
    </w:p>
    <w:p>
      <w:pPr>
        <w:pStyle w:val="BodyText"/>
        <w:spacing w:line="240" w:lineRule="auto" w:before="168"/>
        <w:ind w:left="138" w:right="0"/>
        <w:jc w:val="left"/>
      </w:pPr>
      <w:r>
        <w:rPr/>
        <w:t>提供劳务收入</w:t>
      </w:r>
    </w:p>
    <w:p>
      <w:pPr>
        <w:spacing w:line="240" w:lineRule="auto" w:before="11"/>
        <w:rPr>
          <w:rFonts w:ascii="宋体" w:hAnsi="宋体" w:cs="宋体" w:eastAsia="宋体" w:hint="default"/>
          <w:sz w:val="20"/>
          <w:szCs w:val="20"/>
        </w:rPr>
      </w:pPr>
    </w:p>
    <w:p>
      <w:pPr>
        <w:pStyle w:val="BodyText"/>
        <w:spacing w:line="237" w:lineRule="auto"/>
        <w:ind w:left="138" w:right="157"/>
        <w:jc w:val="both"/>
      </w:pPr>
      <w:r>
        <w:rPr>
          <w:spacing w:val="-2"/>
        </w:rPr>
        <w:t>于资产负债表日，在提供劳务交易的结果能够可靠估计的情况下，按完工百分比法确认提供劳务</w:t>
      </w:r>
      <w:r>
        <w:rPr>
          <w:spacing w:val="-25"/>
        </w:rPr>
        <w:t> </w:t>
      </w:r>
      <w:r>
        <w:rPr>
          <w:spacing w:val="-25"/>
        </w:rPr>
      </w:r>
      <w:r>
        <w:rPr>
          <w:spacing w:val="-2"/>
        </w:rPr>
        <w:t>收入；否则按已经发生并预计能够得到补偿的劳务成本金额确认收入。提供劳务交易的结果能够</w:t>
      </w:r>
      <w:r>
        <w:rPr>
          <w:spacing w:val="-25"/>
        </w:rPr>
        <w:t> </w:t>
      </w:r>
      <w:r>
        <w:rPr>
          <w:spacing w:val="-25"/>
        </w:rPr>
      </w:r>
      <w:r>
        <w:rPr>
          <w:spacing w:val="-2"/>
        </w:rPr>
        <w:t>可靠估计，是指同时满足下列条件：收入的金额能够可靠地计量，相关的经济利益很可能流入本</w:t>
      </w:r>
      <w:r>
        <w:rPr>
          <w:spacing w:val="-25"/>
        </w:rPr>
        <w:t> </w:t>
      </w:r>
      <w:r>
        <w:rPr>
          <w:spacing w:val="-25"/>
        </w:rPr>
      </w:r>
      <w:r>
        <w:rPr>
          <w:spacing w:val="-2"/>
        </w:rPr>
        <w:t>集团，交易的完工进度能够可靠地确定，交易中已发生和将发生的成本能够可靠地计量。本集团</w:t>
      </w:r>
      <w:r>
        <w:rPr>
          <w:spacing w:val="-25"/>
        </w:rPr>
        <w:t> </w:t>
      </w:r>
      <w:r>
        <w:rPr>
          <w:spacing w:val="-25"/>
        </w:rPr>
      </w:r>
      <w:r>
        <w:rPr>
          <w:spacing w:val="-2"/>
        </w:rPr>
        <w:t>以已经提供的劳务占应提供劳务总量的比例确定提供劳务交易的完工进度。提供劳务收入总额，</w:t>
      </w:r>
      <w:r>
        <w:rPr>
          <w:spacing w:val="-25"/>
        </w:rPr>
        <w:t> </w:t>
      </w:r>
      <w:r>
        <w:rPr>
          <w:spacing w:val="-25"/>
        </w:rPr>
      </w:r>
      <w:r>
        <w:rPr>
          <w:spacing w:val="-2"/>
        </w:rPr>
        <w:t>按照从接受劳务方已收或应收的合同或协议价款确定，但已收或应收的合同或协议价款不公允的</w:t>
      </w:r>
      <w:r>
        <w:rPr>
          <w:spacing w:val="-25"/>
        </w:rPr>
        <w:t> </w:t>
      </w:r>
      <w:r>
        <w:rPr>
          <w:spacing w:val="-25"/>
        </w:rPr>
      </w:r>
      <w:r>
        <w:rPr/>
        <w:t>除外。</w:t>
      </w:r>
    </w:p>
    <w:p>
      <w:pPr>
        <w:spacing w:line="240" w:lineRule="auto" w:before="9"/>
        <w:rPr>
          <w:rFonts w:ascii="宋体" w:hAnsi="宋体" w:cs="宋体" w:eastAsia="宋体" w:hint="default"/>
          <w:sz w:val="20"/>
          <w:szCs w:val="20"/>
        </w:rPr>
      </w:pPr>
    </w:p>
    <w:p>
      <w:pPr>
        <w:pStyle w:val="BodyText"/>
        <w:spacing w:line="475" w:lineRule="auto"/>
        <w:ind w:left="138" w:right="680"/>
        <w:jc w:val="left"/>
      </w:pPr>
      <w:r>
        <w:rPr>
          <w:spacing w:val="-2"/>
        </w:rPr>
        <w:t>技术服务及培训收入中，已经提供的劳务占应提供劳务总量以收到客户确认单为准。</w:t>
      </w:r>
      <w:r>
        <w:rPr>
          <w:spacing w:val="-35"/>
        </w:rPr>
        <w:t> </w:t>
      </w:r>
      <w:r>
        <w:rPr>
          <w:spacing w:val="-35"/>
        </w:rPr>
      </w:r>
      <w:r>
        <w:rPr/>
        <w:t>利息收入</w:t>
      </w:r>
    </w:p>
    <w:p>
      <w:pPr>
        <w:pStyle w:val="BodyText"/>
        <w:spacing w:line="475" w:lineRule="auto" w:before="64"/>
        <w:ind w:left="138" w:right="3487"/>
        <w:jc w:val="left"/>
      </w:pPr>
      <w:r>
        <w:rPr>
          <w:spacing w:val="-2"/>
        </w:rPr>
        <w:t>按照他人使用本集团货币资金的时间和实际利率计算确定。</w:t>
      </w:r>
      <w:r>
        <w:rPr>
          <w:spacing w:val="-55"/>
        </w:rPr>
        <w:t> </w:t>
      </w:r>
      <w:r>
        <w:rPr>
          <w:spacing w:val="-55"/>
        </w:rPr>
      </w:r>
      <w:r>
        <w:rPr/>
        <w:t>使用费收入</w:t>
      </w:r>
      <w:r>
        <w:rPr>
          <w:spacing w:val="-102"/>
        </w:rPr>
        <w:t> </w:t>
      </w:r>
      <w:r>
        <w:rPr>
          <w:spacing w:val="-102"/>
        </w:rPr>
      </w:r>
      <w:r>
        <w:rPr/>
        <w:t>按照有关合同或协议约定的收费时间和方法计算确定。</w:t>
      </w:r>
      <w:r>
        <w:rPr>
          <w:w w:val="100"/>
        </w:rPr>
        <w:t> </w:t>
      </w:r>
      <w:r>
        <w:rPr/>
        <w:t>租赁收入</w:t>
      </w:r>
      <w:r>
        <w:rPr>
          <w:w w:val="100"/>
        </w:rPr>
        <w:t> </w:t>
      </w:r>
      <w:r>
        <w:rPr>
          <w:spacing w:val="-2"/>
        </w:rPr>
        <w:t>经营租赁的租金收入在租赁期内各个期间按照直线法确认。</w:t>
      </w:r>
    </w:p>
    <w:p>
      <w:pPr>
        <w:pStyle w:val="Heading3"/>
        <w:spacing w:line="240" w:lineRule="auto" w:before="124"/>
        <w:ind w:left="138" w:right="0"/>
        <w:jc w:val="left"/>
        <w:rPr>
          <w:b w:val="0"/>
          <w:bCs w:val="0"/>
        </w:rPr>
      </w:pPr>
      <w:r>
        <w:rPr>
          <w:rFonts w:ascii="宋体" w:hAnsi="宋体" w:cs="宋体" w:eastAsia="宋体" w:hint="default"/>
        </w:rPr>
        <w:t>29.</w:t>
      </w:r>
      <w:r>
        <w:rPr>
          <w:rFonts w:ascii="宋体" w:hAnsi="宋体" w:cs="宋体" w:eastAsia="宋体" w:hint="default"/>
          <w:spacing w:val="2"/>
        </w:rPr>
        <w:t> </w:t>
      </w:r>
      <w:r>
        <w:rPr/>
        <w:t>政府补助</w:t>
      </w:r>
      <w:r>
        <w:rPr>
          <w:b w:val="0"/>
          <w:bCs w:val="0"/>
        </w:rPr>
      </w:r>
    </w:p>
    <w:p>
      <w:pPr>
        <w:spacing w:line="240" w:lineRule="auto" w:before="5"/>
        <w:rPr>
          <w:rFonts w:ascii="宋体" w:hAnsi="宋体" w:cs="宋体" w:eastAsia="宋体" w:hint="default"/>
          <w:b/>
          <w:bCs/>
          <w:sz w:val="25"/>
          <w:szCs w:val="25"/>
        </w:rPr>
      </w:pPr>
    </w:p>
    <w:p>
      <w:pPr>
        <w:pStyle w:val="BodyText"/>
        <w:spacing w:line="237" w:lineRule="auto"/>
        <w:ind w:left="138" w:right="157"/>
        <w:jc w:val="both"/>
      </w:pPr>
      <w:r>
        <w:rPr>
          <w:spacing w:val="-2"/>
        </w:rPr>
        <w:t>政府补助在能够满足其所附的条件并且能够收到时，予以确认。政府补助为货币性资产的，按照</w:t>
      </w:r>
      <w:r>
        <w:rPr>
          <w:spacing w:val="-25"/>
        </w:rPr>
        <w:t> </w:t>
      </w:r>
      <w:r>
        <w:rPr>
          <w:spacing w:val="-25"/>
        </w:rPr>
      </w:r>
      <w:r>
        <w:rPr>
          <w:spacing w:val="-2"/>
        </w:rPr>
        <w:t>收到或应收的金额计量。政府补助为非货币性资产的，按照公允价值计量；公允价值不能可靠取</w:t>
      </w:r>
      <w:r>
        <w:rPr>
          <w:spacing w:val="-25"/>
        </w:rPr>
        <w:t> </w:t>
      </w:r>
      <w:r>
        <w:rPr>
          <w:spacing w:val="-25"/>
        </w:rPr>
      </w:r>
      <w:r>
        <w:rPr/>
        <w:t>得的，按照名义金额计量。</w:t>
      </w:r>
    </w:p>
    <w:p>
      <w:pPr>
        <w:spacing w:line="240" w:lineRule="auto" w:before="3"/>
        <w:rPr>
          <w:rFonts w:ascii="宋体" w:hAnsi="宋体" w:cs="宋体" w:eastAsia="宋体" w:hint="default"/>
          <w:sz w:val="25"/>
          <w:szCs w:val="25"/>
        </w:rPr>
      </w:pPr>
    </w:p>
    <w:p>
      <w:pPr>
        <w:pStyle w:val="Heading3"/>
        <w:spacing w:line="240" w:lineRule="auto"/>
        <w:ind w:left="138" w:right="0"/>
        <w:jc w:val="left"/>
        <w:rPr>
          <w:b w:val="0"/>
          <w:bCs w:val="0"/>
        </w:rPr>
      </w:pPr>
      <w:r>
        <w:rPr>
          <w:rFonts w:ascii="宋体" w:hAnsi="宋体" w:cs="宋体" w:eastAsia="宋体" w:hint="default"/>
        </w:rPr>
        <w:t>(1)</w:t>
      </w:r>
      <w:r>
        <w:rPr/>
        <w:t>、与资产相关的政府补助判断依据及会计处理方法</w:t>
      </w:r>
      <w:r>
        <w:rPr>
          <w:b w:val="0"/>
          <w:bCs w:val="0"/>
        </w:rPr>
      </w:r>
    </w:p>
    <w:p>
      <w:pPr>
        <w:pStyle w:val="BodyText"/>
        <w:tabs>
          <w:tab w:pos="980" w:val="left" w:leader="none"/>
        </w:tabs>
        <w:spacing w:line="237" w:lineRule="auto" w:before="61"/>
        <w:ind w:left="138" w:right="157"/>
        <w:jc w:val="left"/>
      </w:pPr>
      <w:r>
        <w:rPr>
          <w:spacing w:val="-1"/>
        </w:rPr>
        <w:t>√适用</w:t>
        <w:tab/>
      </w:r>
      <w:r>
        <w:rPr>
          <w:spacing w:val="-2"/>
        </w:rPr>
        <w:t>□不适用</w:t>
      </w:r>
      <w:r>
        <w:rPr>
          <w:spacing w:val="-99"/>
        </w:rPr>
        <w:t> </w:t>
      </w:r>
      <w:r>
        <w:rPr>
          <w:spacing w:val="-99"/>
        </w:rPr>
      </w:r>
      <w:r>
        <w:rPr>
          <w:spacing w:val="-2"/>
        </w:rPr>
        <w:t>政府文件规定用于购建或以其他方式形成长期资产的，作为与资产相关的政府补助；政府文件不</w:t>
      </w:r>
      <w:r>
        <w:rPr>
          <w:spacing w:val="-25"/>
        </w:rPr>
        <w:t> </w:t>
      </w:r>
      <w:r>
        <w:rPr>
          <w:spacing w:val="-25"/>
        </w:rPr>
      </w:r>
      <w:r>
        <w:rPr>
          <w:spacing w:val="-2"/>
        </w:rPr>
        <w:t>明确的，以取得该补助必须具备的基本条件为基础进行判断，以购建或其他方式形成长期资产为</w:t>
      </w:r>
      <w:r>
        <w:rPr>
          <w:spacing w:val="-25"/>
        </w:rPr>
        <w:t> </w:t>
      </w:r>
      <w:r>
        <w:rPr>
          <w:spacing w:val="-25"/>
        </w:rPr>
      </w:r>
      <w:r>
        <w:rPr/>
        <w:t>基本条件的作为与资产相关的政府补助，除此之外的作为与收益相关的政府补助。</w:t>
      </w:r>
    </w:p>
    <w:p>
      <w:pPr>
        <w:spacing w:line="240" w:lineRule="auto" w:before="11"/>
        <w:rPr>
          <w:rFonts w:ascii="宋体" w:hAnsi="宋体" w:cs="宋体" w:eastAsia="宋体" w:hint="default"/>
          <w:sz w:val="20"/>
          <w:szCs w:val="20"/>
        </w:rPr>
      </w:pPr>
    </w:p>
    <w:p>
      <w:pPr>
        <w:pStyle w:val="BodyText"/>
        <w:spacing w:line="237" w:lineRule="auto"/>
        <w:ind w:left="138" w:right="157"/>
        <w:jc w:val="both"/>
      </w:pPr>
      <w:r>
        <w:rPr>
          <w:spacing w:val="-2"/>
        </w:rPr>
        <w:t>与资产相关的政府补助，冲减相关资产的账面价值；或确认为递延收益，在相关资产使用寿命内</w:t>
      </w:r>
      <w:r>
        <w:rPr>
          <w:spacing w:val="-25"/>
        </w:rPr>
        <w:t> </w:t>
      </w:r>
      <w:r>
        <w:rPr>
          <w:spacing w:val="-25"/>
        </w:rPr>
      </w:r>
      <w:r>
        <w:rPr>
          <w:spacing w:val="-2"/>
        </w:rPr>
        <w:t>按照合理、系统的方法分期，计入损益</w:t>
      </w:r>
      <w:r>
        <w:rPr>
          <w:rFonts w:ascii="宋体" w:hAnsi="宋体" w:cs="宋体" w:eastAsia="宋体" w:hint="default"/>
          <w:spacing w:val="-2"/>
        </w:rPr>
        <w:t>(</w:t>
      </w:r>
      <w:r>
        <w:rPr>
          <w:spacing w:val="-2"/>
        </w:rPr>
        <w:t>但按照名义金额计量的政府补助，直接计入当期损益</w:t>
      </w:r>
      <w:r>
        <w:rPr>
          <w:rFonts w:ascii="宋体" w:hAnsi="宋体" w:cs="宋体" w:eastAsia="宋体" w:hint="default"/>
          <w:spacing w:val="-2"/>
        </w:rPr>
        <w:t>)</w:t>
      </w:r>
      <w:r>
        <w:rPr>
          <w:spacing w:val="-2"/>
        </w:rPr>
        <w:t>，</w:t>
      </w:r>
      <w:r>
        <w:rPr>
          <w:spacing w:val="-26"/>
        </w:rPr>
        <w:t> </w:t>
      </w:r>
      <w:r>
        <w:rPr>
          <w:spacing w:val="-2"/>
        </w:rPr>
        <w:t>相关资产在使用寿命结束前被出售、转让、报废或发生毁损的，尚未分配的相关递延收益余额转</w:t>
      </w:r>
      <w:r>
        <w:rPr>
          <w:spacing w:val="-25"/>
        </w:rPr>
        <w:t> </w:t>
      </w:r>
      <w:r>
        <w:rPr>
          <w:spacing w:val="-25"/>
        </w:rPr>
      </w:r>
      <w:r>
        <w:rPr/>
        <w:t>入资产处置当期的损益。</w:t>
      </w:r>
    </w:p>
    <w:p>
      <w:pPr>
        <w:spacing w:line="240" w:lineRule="auto" w:before="3"/>
        <w:rPr>
          <w:rFonts w:ascii="宋体" w:hAnsi="宋体" w:cs="宋体" w:eastAsia="宋体" w:hint="default"/>
          <w:sz w:val="25"/>
          <w:szCs w:val="25"/>
        </w:rPr>
      </w:pPr>
    </w:p>
    <w:p>
      <w:pPr>
        <w:pStyle w:val="Heading3"/>
        <w:spacing w:line="240" w:lineRule="auto"/>
        <w:ind w:left="138" w:right="0"/>
        <w:jc w:val="left"/>
        <w:rPr>
          <w:b w:val="0"/>
          <w:bCs w:val="0"/>
        </w:rPr>
      </w:pPr>
      <w:r>
        <w:rPr>
          <w:rFonts w:ascii="宋体" w:hAnsi="宋体" w:cs="宋体" w:eastAsia="宋体" w:hint="default"/>
        </w:rPr>
        <w:t>(2)</w:t>
      </w:r>
      <w:r>
        <w:rPr/>
        <w:t>、与收益相关的政府补助判断依据及会计处理方法</w:t>
      </w:r>
      <w:r>
        <w:rPr>
          <w:b w:val="0"/>
          <w:bCs w:val="0"/>
        </w:rPr>
      </w:r>
    </w:p>
    <w:p>
      <w:pPr>
        <w:pStyle w:val="BodyText"/>
        <w:tabs>
          <w:tab w:pos="980" w:val="left" w:leader="none"/>
        </w:tabs>
        <w:spacing w:line="237" w:lineRule="auto" w:before="61"/>
        <w:ind w:left="138" w:right="157"/>
        <w:jc w:val="left"/>
      </w:pPr>
      <w:r>
        <w:rPr>
          <w:spacing w:val="-1"/>
        </w:rPr>
        <w:t>√适用</w:t>
        <w:tab/>
      </w:r>
      <w:r>
        <w:rPr>
          <w:spacing w:val="-2"/>
        </w:rPr>
        <w:t>□不适用</w:t>
      </w:r>
      <w:r>
        <w:rPr>
          <w:spacing w:val="-99"/>
        </w:rPr>
        <w:t> </w:t>
      </w:r>
      <w:r>
        <w:rPr>
          <w:spacing w:val="-99"/>
        </w:rPr>
      </w:r>
      <w:r>
        <w:rPr>
          <w:spacing w:val="-2"/>
        </w:rPr>
        <w:t>与收益相关的政府补助，用于补偿以后期间的相关成本费用或损失的，确认为递延收益，并在确</w:t>
      </w:r>
      <w:r>
        <w:rPr>
          <w:spacing w:val="-25"/>
        </w:rPr>
        <w:t> </w:t>
      </w:r>
      <w:r>
        <w:rPr>
          <w:spacing w:val="-25"/>
        </w:rPr>
      </w:r>
      <w:r>
        <w:rPr>
          <w:spacing w:val="-2"/>
        </w:rPr>
        <w:t>认相关成本费用或损失的期间计入当期损益或冲减相关成本；用于补偿已发生的相关成本费用或</w:t>
      </w:r>
      <w:r>
        <w:rPr>
          <w:spacing w:val="-25"/>
        </w:rPr>
        <w:t> </w:t>
      </w:r>
      <w:r>
        <w:rPr>
          <w:spacing w:val="-25"/>
        </w:rPr>
      </w:r>
      <w:r>
        <w:rPr/>
        <w:t>损失的，直接计入当期损益或冲减相关成本。</w:t>
      </w:r>
    </w:p>
    <w:p>
      <w:pPr>
        <w:spacing w:after="0" w:line="237" w:lineRule="auto"/>
        <w:jc w:val="left"/>
        <w:sectPr>
          <w:pgSz w:w="11910" w:h="16840"/>
          <w:pgMar w:header="857" w:footer="1195" w:top="1320" w:bottom="1380" w:left="1660" w:right="1120"/>
        </w:sectPr>
      </w:pPr>
    </w:p>
    <w:p>
      <w:pPr>
        <w:spacing w:line="240" w:lineRule="auto" w:before="2"/>
        <w:rPr>
          <w:rFonts w:ascii="宋体" w:hAnsi="宋体" w:cs="宋体" w:eastAsia="宋体" w:hint="default"/>
          <w:sz w:val="9"/>
          <w:szCs w:val="9"/>
        </w:rPr>
      </w:pPr>
    </w:p>
    <w:p>
      <w:pPr>
        <w:pStyle w:val="Heading3"/>
        <w:spacing w:line="240" w:lineRule="auto" w:before="36"/>
        <w:ind w:left="138" w:right="0"/>
        <w:jc w:val="both"/>
        <w:rPr>
          <w:b w:val="0"/>
          <w:bCs w:val="0"/>
        </w:rPr>
      </w:pPr>
      <w:r>
        <w:rPr>
          <w:rFonts w:ascii="宋体" w:hAnsi="宋体" w:cs="宋体" w:eastAsia="宋体" w:hint="default"/>
        </w:rPr>
        <w:t>30.</w:t>
      </w:r>
      <w:r>
        <w:rPr>
          <w:rFonts w:ascii="宋体" w:hAnsi="宋体" w:cs="宋体" w:eastAsia="宋体" w:hint="default"/>
          <w:spacing w:val="2"/>
        </w:rPr>
        <w:t> </w:t>
      </w:r>
      <w:r>
        <w:rPr/>
        <w:t>递延所得税资产</w:t>
      </w:r>
      <w:r>
        <w:rPr>
          <w:rFonts w:ascii="Calibri" w:hAnsi="Calibri" w:cs="Calibri" w:eastAsia="Calibri" w:hint="default"/>
        </w:rPr>
        <w:t>/</w:t>
      </w:r>
      <w:r>
        <w:rPr/>
        <w:t>递延所得税负债</w:t>
      </w:r>
      <w:r>
        <w:rPr>
          <w:b w:val="0"/>
          <w:bCs w:val="0"/>
        </w:rPr>
      </w:r>
    </w:p>
    <w:p>
      <w:pPr>
        <w:pStyle w:val="BodyText"/>
        <w:tabs>
          <w:tab w:pos="980" w:val="left" w:leader="none"/>
        </w:tabs>
        <w:spacing w:line="237" w:lineRule="auto" w:before="34"/>
        <w:ind w:left="138" w:right="157"/>
        <w:jc w:val="left"/>
      </w:pPr>
      <w:r>
        <w:rPr>
          <w:spacing w:val="-1"/>
        </w:rPr>
        <w:t>√适用</w:t>
        <w:tab/>
      </w:r>
      <w:r>
        <w:rPr>
          <w:spacing w:val="-2"/>
        </w:rPr>
        <w:t>□不适用</w:t>
      </w:r>
      <w:r>
        <w:rPr>
          <w:spacing w:val="-99"/>
        </w:rPr>
        <w:t> </w:t>
      </w:r>
      <w:r>
        <w:rPr>
          <w:spacing w:val="-99"/>
        </w:rPr>
      </w:r>
      <w:r>
        <w:rPr>
          <w:spacing w:val="-2"/>
        </w:rPr>
        <w:t>所得税包括当期所得税和递延所得税。除由于企业合并产生的调整商誉，或与直接计入股东权益</w:t>
      </w:r>
      <w:r>
        <w:rPr>
          <w:spacing w:val="-25"/>
        </w:rPr>
        <w:t> </w:t>
      </w:r>
      <w:r>
        <w:rPr>
          <w:spacing w:val="-25"/>
        </w:rPr>
      </w:r>
      <w:r>
        <w:rPr/>
        <w:t>的交易或者事项相关的计入股东权益外，均作为所得税费用或收益计入当期损益。</w:t>
      </w:r>
    </w:p>
    <w:p>
      <w:pPr>
        <w:spacing w:line="240" w:lineRule="auto" w:before="10"/>
        <w:rPr>
          <w:rFonts w:ascii="宋体" w:hAnsi="宋体" w:cs="宋体" w:eastAsia="宋体" w:hint="default"/>
          <w:sz w:val="22"/>
          <w:szCs w:val="22"/>
        </w:rPr>
      </w:pPr>
    </w:p>
    <w:p>
      <w:pPr>
        <w:pStyle w:val="BodyText"/>
        <w:spacing w:line="272" w:lineRule="exact"/>
        <w:ind w:left="138" w:right="157"/>
        <w:jc w:val="both"/>
      </w:pPr>
      <w:r>
        <w:rPr>
          <w:spacing w:val="-2"/>
        </w:rPr>
        <w:t>本集团对于当期和以前期间形成的当期所得税负债或资产，按照税法规定计算的预期应交纳或返</w:t>
      </w:r>
      <w:r>
        <w:rPr>
          <w:spacing w:val="-25"/>
        </w:rPr>
        <w:t> </w:t>
      </w:r>
      <w:r>
        <w:rPr>
          <w:spacing w:val="-25"/>
        </w:rPr>
      </w:r>
      <w:r>
        <w:rPr/>
        <w:t>还的所得税金额计量。</w:t>
      </w:r>
    </w:p>
    <w:p>
      <w:pPr>
        <w:spacing w:line="240" w:lineRule="auto" w:before="12"/>
        <w:rPr>
          <w:rFonts w:ascii="宋体" w:hAnsi="宋体" w:cs="宋体" w:eastAsia="宋体" w:hint="default"/>
          <w:sz w:val="18"/>
          <w:szCs w:val="18"/>
        </w:rPr>
      </w:pPr>
    </w:p>
    <w:p>
      <w:pPr>
        <w:pStyle w:val="BodyText"/>
        <w:spacing w:line="237" w:lineRule="auto"/>
        <w:ind w:left="138" w:right="157"/>
        <w:jc w:val="both"/>
      </w:pPr>
      <w:r>
        <w:rPr>
          <w:spacing w:val="-2"/>
        </w:rPr>
        <w:t>本集团根据资产与负债于资产负债表日的账面价值与计税基础之间的暂时性差异，以及未作为资</w:t>
      </w:r>
      <w:r>
        <w:rPr>
          <w:spacing w:val="-25"/>
        </w:rPr>
        <w:t> </w:t>
      </w:r>
      <w:r>
        <w:rPr>
          <w:spacing w:val="-25"/>
        </w:rPr>
      </w:r>
      <w:r>
        <w:rPr>
          <w:spacing w:val="-2"/>
        </w:rPr>
        <w:t>产和负债确认但按照税法规定可以确定其计税基础的项目的账面价值与计税基础之间的差额产生</w:t>
      </w:r>
      <w:r>
        <w:rPr>
          <w:spacing w:val="-25"/>
        </w:rPr>
        <w:t> </w:t>
      </w:r>
      <w:r>
        <w:rPr>
          <w:spacing w:val="-25"/>
        </w:rPr>
      </w:r>
      <w:r>
        <w:rPr/>
        <w:t>的暂时性差异，采用资产负债表债务法计提递延所得税。</w:t>
      </w:r>
    </w:p>
    <w:p>
      <w:pPr>
        <w:spacing w:line="240" w:lineRule="auto" w:before="9"/>
        <w:rPr>
          <w:rFonts w:ascii="宋体" w:hAnsi="宋体" w:cs="宋体" w:eastAsia="宋体" w:hint="default"/>
          <w:sz w:val="20"/>
          <w:szCs w:val="20"/>
        </w:rPr>
      </w:pPr>
    </w:p>
    <w:p>
      <w:pPr>
        <w:pStyle w:val="BodyText"/>
        <w:spacing w:line="240" w:lineRule="auto"/>
        <w:ind w:left="138" w:right="0"/>
        <w:jc w:val="both"/>
      </w:pPr>
      <w:r>
        <w:rPr/>
        <w:t>各种应纳税暂时性差异均据应确认递延所得税负债，除非：</w:t>
      </w:r>
    </w:p>
    <w:p>
      <w:pPr>
        <w:spacing w:line="240" w:lineRule="auto" w:before="11"/>
        <w:rPr>
          <w:rFonts w:ascii="宋体" w:hAnsi="宋体" w:cs="宋体" w:eastAsia="宋体" w:hint="default"/>
          <w:sz w:val="20"/>
          <w:szCs w:val="20"/>
        </w:rPr>
      </w:pPr>
    </w:p>
    <w:p>
      <w:pPr>
        <w:pStyle w:val="BodyText"/>
        <w:spacing w:line="237" w:lineRule="auto"/>
        <w:ind w:left="138" w:right="157"/>
        <w:jc w:val="both"/>
      </w:pPr>
      <w:r>
        <w:rPr>
          <w:rFonts w:ascii="宋体" w:hAnsi="宋体" w:cs="宋体" w:eastAsia="宋体" w:hint="default"/>
        </w:rPr>
        <w:t>(1)</w:t>
      </w:r>
      <w:r>
        <w:rPr>
          <w:rFonts w:ascii="宋体" w:hAnsi="宋体" w:cs="宋体" w:eastAsia="宋体" w:hint="default"/>
          <w:spacing w:val="-3"/>
        </w:rPr>
        <w:t> </w:t>
      </w:r>
      <w:r>
        <w:rPr/>
        <w:t>应纳税暂时性差异是在以下交易中产生的：商誉的初始确认，或者具有以下特征的交易中产</w:t>
      </w:r>
      <w:r>
        <w:rPr>
          <w:w w:val="100"/>
        </w:rPr>
        <w:t> </w:t>
      </w:r>
      <w:r>
        <w:rPr>
          <w:spacing w:val="-2"/>
        </w:rPr>
        <w:t>生的资产或负债的初始确认：该交易不是企业合并，并且交易发生时既不影响会计利润也不影响</w:t>
      </w:r>
      <w:r>
        <w:rPr>
          <w:spacing w:val="-25"/>
        </w:rPr>
        <w:t> </w:t>
      </w:r>
      <w:r>
        <w:rPr>
          <w:spacing w:val="-25"/>
        </w:rPr>
      </w:r>
      <w:r>
        <w:rPr/>
        <w:t>应纳税所得额或可抵扣亏损。</w:t>
      </w:r>
    </w:p>
    <w:p>
      <w:pPr>
        <w:spacing w:line="240" w:lineRule="auto" w:before="10"/>
        <w:rPr>
          <w:rFonts w:ascii="宋体" w:hAnsi="宋体" w:cs="宋体" w:eastAsia="宋体" w:hint="default"/>
          <w:sz w:val="22"/>
          <w:szCs w:val="22"/>
        </w:rPr>
      </w:pPr>
    </w:p>
    <w:p>
      <w:pPr>
        <w:pStyle w:val="BodyText"/>
        <w:spacing w:line="272" w:lineRule="exact"/>
        <w:ind w:left="138" w:right="157"/>
        <w:jc w:val="both"/>
      </w:pPr>
      <w:r>
        <w:rPr>
          <w:rFonts w:ascii="宋体" w:hAnsi="宋体" w:cs="宋体" w:eastAsia="宋体" w:hint="default"/>
        </w:rPr>
        <w:t>(2)</w:t>
      </w:r>
      <w:r>
        <w:rPr>
          <w:rFonts w:ascii="宋体" w:hAnsi="宋体" w:cs="宋体" w:eastAsia="宋体" w:hint="default"/>
          <w:spacing w:val="-3"/>
        </w:rPr>
        <w:t> </w:t>
      </w:r>
      <w:r>
        <w:rPr/>
        <w:t>对于与子公司及联营企业投资相关的应纳税暂时性差异，该暂时性差异转回的时间能够控制</w:t>
      </w:r>
      <w:r>
        <w:rPr>
          <w:w w:val="100"/>
        </w:rPr>
        <w:t> </w:t>
      </w:r>
      <w:r>
        <w:rPr/>
        <w:t>并且该暂时性差异在可预见的未来很可能不会转回。</w:t>
      </w:r>
    </w:p>
    <w:p>
      <w:pPr>
        <w:spacing w:line="240" w:lineRule="auto" w:before="12"/>
        <w:rPr>
          <w:rFonts w:ascii="宋体" w:hAnsi="宋体" w:cs="宋体" w:eastAsia="宋体" w:hint="default"/>
          <w:sz w:val="18"/>
          <w:szCs w:val="18"/>
        </w:rPr>
      </w:pPr>
    </w:p>
    <w:p>
      <w:pPr>
        <w:pStyle w:val="BodyText"/>
        <w:spacing w:line="237" w:lineRule="auto"/>
        <w:ind w:left="138" w:right="157"/>
        <w:jc w:val="both"/>
      </w:pPr>
      <w:r>
        <w:rPr>
          <w:spacing w:val="-2"/>
        </w:rPr>
        <w:t>对于可抵扣暂时性差异、能够结转以后年度的可抵扣亏损和税款抵减，本集团以很可能取得用来</w:t>
      </w:r>
      <w:r>
        <w:rPr>
          <w:spacing w:val="-25"/>
        </w:rPr>
        <w:t> </w:t>
      </w:r>
      <w:r>
        <w:rPr>
          <w:spacing w:val="-25"/>
        </w:rPr>
      </w:r>
      <w:r>
        <w:rPr>
          <w:spacing w:val="-2"/>
        </w:rPr>
        <w:t>抵扣可抵扣暂时性差异、可抵扣亏损和税款抵减的未来应纳税所得额为限，确认由此产生的递延</w:t>
      </w:r>
      <w:r>
        <w:rPr>
          <w:spacing w:val="-25"/>
        </w:rPr>
        <w:t> </w:t>
      </w:r>
      <w:r>
        <w:rPr>
          <w:spacing w:val="-25"/>
        </w:rPr>
      </w:r>
      <w:r>
        <w:rPr/>
        <w:t>所得税资产，除非：</w:t>
      </w:r>
    </w:p>
    <w:p>
      <w:pPr>
        <w:spacing w:line="240" w:lineRule="auto" w:before="9"/>
        <w:rPr>
          <w:rFonts w:ascii="宋体" w:hAnsi="宋体" w:cs="宋体" w:eastAsia="宋体" w:hint="default"/>
          <w:sz w:val="20"/>
          <w:szCs w:val="20"/>
        </w:rPr>
      </w:pPr>
    </w:p>
    <w:p>
      <w:pPr>
        <w:pStyle w:val="BodyText"/>
        <w:spacing w:line="240" w:lineRule="auto"/>
        <w:ind w:left="138" w:right="157"/>
        <w:jc w:val="both"/>
      </w:pPr>
      <w:r>
        <w:rPr>
          <w:rFonts w:ascii="宋体" w:hAnsi="宋体" w:cs="宋体" w:eastAsia="宋体" w:hint="default"/>
        </w:rPr>
        <w:t>(1)</w:t>
      </w:r>
      <w:r>
        <w:rPr>
          <w:rFonts w:ascii="宋体" w:hAnsi="宋体" w:cs="宋体" w:eastAsia="宋体" w:hint="default"/>
          <w:spacing w:val="-3"/>
        </w:rPr>
        <w:t> </w:t>
      </w:r>
      <w:r>
        <w:rPr/>
        <w:t>可抵扣暂时性差异是在以下交易中产生的：该交易不是企业合并，并且交易发生时既不影响</w:t>
      </w:r>
      <w:r>
        <w:rPr>
          <w:w w:val="100"/>
        </w:rPr>
        <w:t> </w:t>
      </w:r>
      <w:r>
        <w:rPr/>
        <w:t>会计利润也不影响应纳税所得额或可抵扣亏损。</w:t>
      </w:r>
    </w:p>
    <w:p>
      <w:pPr>
        <w:spacing w:line="240" w:lineRule="auto" w:before="11"/>
        <w:rPr>
          <w:rFonts w:ascii="宋体" w:hAnsi="宋体" w:cs="宋体" w:eastAsia="宋体" w:hint="default"/>
          <w:sz w:val="20"/>
          <w:szCs w:val="20"/>
        </w:rPr>
      </w:pPr>
    </w:p>
    <w:p>
      <w:pPr>
        <w:pStyle w:val="BodyText"/>
        <w:spacing w:line="237" w:lineRule="auto"/>
        <w:ind w:left="138" w:right="157"/>
        <w:jc w:val="both"/>
      </w:pPr>
      <w:r>
        <w:rPr>
          <w:rFonts w:ascii="宋体" w:hAnsi="宋体" w:cs="宋体" w:eastAsia="宋体" w:hint="default"/>
        </w:rPr>
        <w:t>(2)</w:t>
      </w:r>
      <w:r>
        <w:rPr>
          <w:rFonts w:ascii="宋体" w:hAnsi="宋体" w:cs="宋体" w:eastAsia="宋体" w:hint="default"/>
          <w:spacing w:val="-3"/>
        </w:rPr>
        <w:t> </w:t>
      </w:r>
      <w:r>
        <w:rPr/>
        <w:t>对于与子公司及联营企业投资相关的可抵扣暂时性差异，同时满足下列条件的，确认相应的</w:t>
      </w:r>
      <w:r>
        <w:rPr>
          <w:w w:val="100"/>
        </w:rPr>
        <w:t> </w:t>
      </w:r>
      <w:r>
        <w:rPr>
          <w:spacing w:val="-2"/>
        </w:rPr>
        <w:t>递延所得税资产：暂时性差异在可预见的未来很可能转回，且未来很可能获得用来抵扣可抵扣暂</w:t>
      </w:r>
      <w:r>
        <w:rPr>
          <w:spacing w:val="-25"/>
        </w:rPr>
        <w:t> </w:t>
      </w:r>
      <w:r>
        <w:rPr>
          <w:spacing w:val="-25"/>
        </w:rPr>
      </w:r>
      <w:r>
        <w:rPr/>
        <w:t>时性差异的应纳税所得额。</w:t>
      </w:r>
    </w:p>
    <w:p>
      <w:pPr>
        <w:spacing w:line="240" w:lineRule="auto" w:before="11"/>
        <w:rPr>
          <w:rFonts w:ascii="宋体" w:hAnsi="宋体" w:cs="宋体" w:eastAsia="宋体" w:hint="default"/>
          <w:sz w:val="20"/>
          <w:szCs w:val="20"/>
        </w:rPr>
      </w:pPr>
    </w:p>
    <w:p>
      <w:pPr>
        <w:pStyle w:val="BodyText"/>
        <w:spacing w:line="237" w:lineRule="auto"/>
        <w:ind w:left="138" w:right="157"/>
        <w:jc w:val="both"/>
      </w:pPr>
      <w:r>
        <w:rPr>
          <w:spacing w:val="-2"/>
        </w:rPr>
        <w:t>本集团于资产负债表日，对于递延所得税资产和递延所得税负债，依据税法规定，按照预期收回</w:t>
      </w:r>
      <w:r>
        <w:rPr>
          <w:spacing w:val="-25"/>
        </w:rPr>
        <w:t> </w:t>
      </w:r>
      <w:r>
        <w:rPr>
          <w:spacing w:val="-25"/>
        </w:rPr>
      </w:r>
      <w:r>
        <w:rPr>
          <w:spacing w:val="-2"/>
        </w:rPr>
        <w:t>该资产或清偿该负债期间的适用税率计量，并反映资产负债表日预期收回资产或清偿负债方式的</w:t>
      </w:r>
      <w:r>
        <w:rPr>
          <w:spacing w:val="-25"/>
        </w:rPr>
        <w:t> </w:t>
      </w:r>
      <w:r>
        <w:rPr>
          <w:spacing w:val="-25"/>
        </w:rPr>
      </w:r>
      <w:r>
        <w:rPr/>
        <w:t>所得税影响。</w:t>
      </w:r>
    </w:p>
    <w:p>
      <w:pPr>
        <w:spacing w:line="240" w:lineRule="auto" w:before="12"/>
        <w:rPr>
          <w:rFonts w:ascii="宋体" w:hAnsi="宋体" w:cs="宋体" w:eastAsia="宋体" w:hint="default"/>
          <w:sz w:val="20"/>
          <w:szCs w:val="20"/>
        </w:rPr>
      </w:pPr>
    </w:p>
    <w:p>
      <w:pPr>
        <w:pStyle w:val="BodyText"/>
        <w:spacing w:line="237" w:lineRule="auto"/>
        <w:ind w:left="138" w:right="157"/>
        <w:jc w:val="both"/>
      </w:pPr>
      <w:r>
        <w:rPr>
          <w:spacing w:val="-2"/>
        </w:rPr>
        <w:t>于资产负债表日，本集团对递延所得税资产的账面价值进行复核，如果未来期间很可能无法获得</w:t>
      </w:r>
      <w:r>
        <w:rPr>
          <w:spacing w:val="-26"/>
        </w:rPr>
        <w:t> </w:t>
      </w:r>
      <w:r>
        <w:rPr>
          <w:spacing w:val="-26"/>
        </w:rPr>
      </w:r>
      <w:r>
        <w:rPr>
          <w:spacing w:val="-2"/>
        </w:rPr>
        <w:t>足够的应纳税所得额用以抵扣递延所得税资产的利益，减记递延所得税资产的账面价值。于资产</w:t>
      </w:r>
      <w:r>
        <w:rPr>
          <w:spacing w:val="-25"/>
        </w:rPr>
        <w:t> </w:t>
      </w:r>
      <w:r>
        <w:rPr>
          <w:spacing w:val="-25"/>
        </w:rPr>
      </w:r>
      <w:r>
        <w:rPr>
          <w:spacing w:val="-2"/>
        </w:rPr>
        <w:t>负债表日，本集团重新评估未确认的递延所得税资产，在很可能获得足够的应纳税所得额可供所</w:t>
      </w:r>
      <w:r>
        <w:rPr>
          <w:spacing w:val="-25"/>
        </w:rPr>
        <w:t> </w:t>
      </w:r>
      <w:r>
        <w:rPr>
          <w:spacing w:val="-25"/>
        </w:rPr>
      </w:r>
      <w:r>
        <w:rPr/>
        <w:t>有或部分递延所得税资产转回的限度内，确认递延所得税资产。</w:t>
      </w:r>
    </w:p>
    <w:p>
      <w:pPr>
        <w:spacing w:line="240" w:lineRule="auto" w:before="11"/>
        <w:rPr>
          <w:rFonts w:ascii="宋体" w:hAnsi="宋体" w:cs="宋体" w:eastAsia="宋体" w:hint="default"/>
          <w:sz w:val="20"/>
          <w:szCs w:val="20"/>
        </w:rPr>
      </w:pPr>
    </w:p>
    <w:p>
      <w:pPr>
        <w:pStyle w:val="BodyText"/>
        <w:spacing w:line="237" w:lineRule="auto"/>
        <w:ind w:left="138" w:right="157"/>
        <w:jc w:val="both"/>
      </w:pPr>
      <w:r>
        <w:rPr>
          <w:spacing w:val="-2"/>
        </w:rPr>
        <w:t>同时满足下列条件时，递延所得税资产和递延所得税负债以抵销后的净额列示：拥有以净额结算</w:t>
      </w:r>
      <w:r>
        <w:rPr>
          <w:spacing w:val="-25"/>
        </w:rPr>
        <w:t> </w:t>
      </w:r>
      <w:r>
        <w:rPr>
          <w:spacing w:val="-25"/>
        </w:rPr>
      </w:r>
      <w:r>
        <w:rPr>
          <w:spacing w:val="-2"/>
        </w:rPr>
        <w:t>当期所得税资产及当期所得税负债的法定权利；递延所得税资产和递延所得税负债是与同一税收</w:t>
      </w:r>
      <w:r>
        <w:rPr>
          <w:spacing w:val="-25"/>
        </w:rPr>
        <w:t> </w:t>
      </w:r>
      <w:r>
        <w:rPr>
          <w:spacing w:val="-25"/>
        </w:rPr>
      </w:r>
      <w:r>
        <w:rPr>
          <w:spacing w:val="-2"/>
        </w:rPr>
        <w:t>征管部门对同一应纳税主体征收的所得税相关或者对不同的纳税主体相关，但在未来每一具有重</w:t>
      </w:r>
      <w:r>
        <w:rPr>
          <w:spacing w:val="-25"/>
        </w:rPr>
        <w:t> </w:t>
      </w:r>
      <w:r>
        <w:rPr>
          <w:spacing w:val="-25"/>
        </w:rPr>
      </w:r>
      <w:r>
        <w:rPr>
          <w:spacing w:val="-2"/>
        </w:rPr>
        <w:t>要性的递延所得税资产和递延所得税负债转回的期间内，涉及的纳税主体体意图以净额结算当期</w:t>
      </w:r>
      <w:r>
        <w:rPr>
          <w:spacing w:val="-25"/>
        </w:rPr>
        <w:t> </w:t>
      </w:r>
      <w:r>
        <w:rPr>
          <w:spacing w:val="-25"/>
        </w:rPr>
      </w:r>
      <w:r>
        <w:rPr/>
        <w:t>所得税资产及当期所得税负债或是同时取得资产、清偿债务。</w:t>
      </w:r>
    </w:p>
    <w:p>
      <w:pPr>
        <w:spacing w:line="240" w:lineRule="auto" w:before="4"/>
        <w:rPr>
          <w:rFonts w:ascii="宋体" w:hAnsi="宋体" w:cs="宋体" w:eastAsia="宋体" w:hint="default"/>
          <w:sz w:val="25"/>
          <w:szCs w:val="25"/>
        </w:rPr>
      </w:pPr>
    </w:p>
    <w:p>
      <w:pPr>
        <w:pStyle w:val="Heading3"/>
        <w:spacing w:line="290" w:lineRule="auto"/>
        <w:ind w:left="138" w:right="6121"/>
        <w:jc w:val="left"/>
        <w:rPr>
          <w:b w:val="0"/>
          <w:bCs w:val="0"/>
        </w:rPr>
      </w:pPr>
      <w:r>
        <w:rPr>
          <w:rFonts w:ascii="宋体" w:hAnsi="宋体" w:cs="宋体" w:eastAsia="宋体" w:hint="default"/>
        </w:rPr>
        <w:t>31.</w:t>
      </w:r>
      <w:r>
        <w:rPr>
          <w:rFonts w:ascii="宋体" w:hAnsi="宋体" w:cs="宋体" w:eastAsia="宋体" w:hint="default"/>
          <w:spacing w:val="2"/>
        </w:rPr>
        <w:t> </w:t>
      </w:r>
      <w:r>
        <w:rPr/>
        <w:t>租赁</w:t>
      </w:r>
      <w:r>
        <w:rPr>
          <w:w w:val="100"/>
        </w:rPr>
        <w:t> </w:t>
      </w:r>
      <w:r>
        <w:rPr>
          <w:rFonts w:ascii="宋体" w:hAnsi="宋体" w:cs="宋体" w:eastAsia="宋体" w:hint="default"/>
        </w:rPr>
        <w:t>(1)</w:t>
      </w:r>
      <w:r>
        <w:rPr/>
        <w:t>、经营租赁的会计处理方法</w:t>
      </w:r>
      <w:r>
        <w:rPr>
          <w:b w:val="0"/>
          <w:bCs w:val="0"/>
        </w:rPr>
      </w:r>
    </w:p>
    <w:p>
      <w:pPr>
        <w:pStyle w:val="BodyText"/>
        <w:spacing w:line="240" w:lineRule="auto" w:before="14"/>
        <w:ind w:left="138" w:right="0"/>
        <w:jc w:val="both"/>
      </w:pPr>
      <w:r>
        <w:rPr/>
        <w:t>√适用</w:t>
      </w:r>
      <w:r>
        <w:rPr>
          <w:spacing w:val="104"/>
        </w:rPr>
        <w:t> </w:t>
      </w:r>
      <w:r>
        <w:rPr/>
        <w:t>□不适用</w:t>
      </w:r>
    </w:p>
    <w:p>
      <w:pPr>
        <w:spacing w:after="0" w:line="240" w:lineRule="auto"/>
        <w:jc w:val="both"/>
        <w:sectPr>
          <w:pgSz w:w="11910" w:h="16840"/>
          <w:pgMar w:header="857" w:footer="1195" w:top="1320" w:bottom="1380" w:left="1660" w:right="1120"/>
        </w:sectPr>
      </w:pPr>
    </w:p>
    <w:p>
      <w:pPr>
        <w:spacing w:line="240" w:lineRule="auto" w:before="2"/>
        <w:rPr>
          <w:rFonts w:ascii="宋体" w:hAnsi="宋体" w:cs="宋体" w:eastAsia="宋体" w:hint="default"/>
          <w:sz w:val="9"/>
          <w:szCs w:val="9"/>
        </w:rPr>
      </w:pPr>
    </w:p>
    <w:p>
      <w:pPr>
        <w:pStyle w:val="BodyText"/>
        <w:spacing w:line="475" w:lineRule="auto" w:before="36"/>
        <w:ind w:left="138" w:right="102"/>
        <w:jc w:val="left"/>
      </w:pPr>
      <w:r>
        <w:rPr>
          <w:spacing w:val="-4"/>
          <w:w w:val="100"/>
        </w:rPr>
        <w:t>实质上转移了与资产所有权有关的全部风险和报酬的租赁为融资租赁，除此之外的均为经营租赁。</w:t>
      </w:r>
      <w:r>
        <w:rPr>
          <w:spacing w:val="-89"/>
          <w:w w:val="100"/>
        </w:rPr>
        <w:t> </w:t>
      </w:r>
      <w:r>
        <w:rPr>
          <w:spacing w:val="-89"/>
          <w:w w:val="100"/>
        </w:rPr>
      </w:r>
      <w:r>
        <w:rPr/>
        <w:t>作为经营租赁承租人</w:t>
      </w:r>
      <w:r>
        <w:rPr>
          <w:w w:val="100"/>
        </w:rPr>
        <w:t> </w:t>
      </w:r>
      <w:r>
        <w:rPr/>
        <w:t>经营租赁的租金支出，在租赁期内各个期间按照直线法计入相关的资产成本或当期损益。</w:t>
      </w:r>
      <w:r>
        <w:rPr>
          <w:w w:val="100"/>
        </w:rPr>
        <w:t> </w:t>
      </w:r>
      <w:r>
        <w:rPr/>
        <w:t>作为经营租赁出租人</w:t>
      </w:r>
    </w:p>
    <w:p>
      <w:pPr>
        <w:pStyle w:val="BodyText"/>
        <w:spacing w:line="240" w:lineRule="auto" w:before="64"/>
        <w:ind w:left="138" w:right="0"/>
        <w:jc w:val="both"/>
      </w:pPr>
      <w:r>
        <w:rPr/>
        <w:t>经营租赁的租金收入在租赁期内各个期间按直线法确认为当期损益。</w:t>
      </w:r>
    </w:p>
    <w:p>
      <w:pPr>
        <w:spacing w:line="240" w:lineRule="auto" w:before="3"/>
        <w:rPr>
          <w:rFonts w:ascii="宋体" w:hAnsi="宋体" w:cs="宋体" w:eastAsia="宋体" w:hint="default"/>
          <w:sz w:val="25"/>
          <w:szCs w:val="25"/>
        </w:rPr>
      </w:pPr>
    </w:p>
    <w:p>
      <w:pPr>
        <w:pStyle w:val="Heading3"/>
        <w:spacing w:line="240" w:lineRule="auto"/>
        <w:ind w:left="138" w:right="0"/>
        <w:jc w:val="both"/>
        <w:rPr>
          <w:b w:val="0"/>
          <w:bCs w:val="0"/>
        </w:rPr>
      </w:pPr>
      <w:r>
        <w:rPr>
          <w:rFonts w:ascii="宋体" w:hAnsi="宋体" w:cs="宋体" w:eastAsia="宋体" w:hint="default"/>
        </w:rPr>
        <w:t>(2)</w:t>
      </w:r>
      <w:r>
        <w:rPr/>
        <w:t>、融资租赁的会计处理方法</w:t>
      </w:r>
      <w:r>
        <w:rPr>
          <w:b w:val="0"/>
          <w:bCs w:val="0"/>
        </w:rPr>
      </w:r>
    </w:p>
    <w:p>
      <w:pPr>
        <w:pStyle w:val="BodyText"/>
        <w:spacing w:line="240" w:lineRule="auto" w:before="58"/>
        <w:ind w:left="138" w:right="0"/>
        <w:jc w:val="both"/>
      </w:pPr>
      <w:r>
        <w:rPr/>
        <w:t>□适用</w:t>
      </w:r>
      <w:r>
        <w:rPr>
          <w:spacing w:val="104"/>
        </w:rPr>
        <w:t> </w:t>
      </w:r>
      <w:r>
        <w:rPr/>
        <w:t>√不适用</w:t>
      </w:r>
    </w:p>
    <w:p>
      <w:pPr>
        <w:spacing w:line="240" w:lineRule="auto" w:before="3"/>
        <w:rPr>
          <w:rFonts w:ascii="宋体" w:hAnsi="宋体" w:cs="宋体" w:eastAsia="宋体" w:hint="default"/>
          <w:sz w:val="25"/>
          <w:szCs w:val="25"/>
        </w:rPr>
      </w:pPr>
    </w:p>
    <w:p>
      <w:pPr>
        <w:pStyle w:val="Heading3"/>
        <w:spacing w:line="240" w:lineRule="auto"/>
        <w:ind w:left="138" w:right="0"/>
        <w:jc w:val="both"/>
        <w:rPr>
          <w:b w:val="0"/>
          <w:bCs w:val="0"/>
        </w:rPr>
      </w:pPr>
      <w:r>
        <w:rPr>
          <w:rFonts w:ascii="宋体" w:hAnsi="宋体" w:cs="宋体" w:eastAsia="宋体" w:hint="default"/>
        </w:rPr>
        <w:t>32. </w:t>
      </w:r>
      <w:r>
        <w:rPr/>
        <w:t>其他重要的会计政策和会计估计</w:t>
      </w:r>
      <w:r>
        <w:rPr>
          <w:b w:val="0"/>
          <w:bCs w:val="0"/>
        </w:rPr>
      </w:r>
    </w:p>
    <w:p>
      <w:pPr>
        <w:pStyle w:val="BodyText"/>
        <w:tabs>
          <w:tab w:pos="980" w:val="left" w:leader="none"/>
        </w:tabs>
        <w:spacing w:line="240" w:lineRule="auto" w:before="56"/>
        <w:ind w:left="138" w:right="7363"/>
        <w:jc w:val="left"/>
      </w:pPr>
      <w:r>
        <w:rPr>
          <w:spacing w:val="-1"/>
        </w:rPr>
        <w:t>√适用</w:t>
        <w:tab/>
      </w:r>
      <w:r>
        <w:rPr>
          <w:spacing w:val="-2"/>
        </w:rPr>
        <w:t>□不适用</w:t>
      </w:r>
      <w:r>
        <w:rPr>
          <w:spacing w:val="-99"/>
        </w:rPr>
        <w:t> </w:t>
      </w:r>
      <w:r>
        <w:rPr>
          <w:spacing w:val="-99"/>
        </w:rPr>
      </w:r>
      <w:r>
        <w:rPr/>
        <w:t>回购股份</w:t>
      </w:r>
    </w:p>
    <w:p>
      <w:pPr>
        <w:spacing w:line="240" w:lineRule="auto" w:before="10"/>
        <w:rPr>
          <w:rFonts w:ascii="宋体" w:hAnsi="宋体" w:cs="宋体" w:eastAsia="宋体" w:hint="default"/>
          <w:sz w:val="22"/>
          <w:szCs w:val="22"/>
        </w:rPr>
      </w:pPr>
    </w:p>
    <w:p>
      <w:pPr>
        <w:pStyle w:val="BodyText"/>
        <w:spacing w:line="272" w:lineRule="exact"/>
        <w:ind w:left="138" w:right="102"/>
        <w:jc w:val="left"/>
      </w:pPr>
      <w:r>
        <w:rPr>
          <w:spacing w:val="-2"/>
        </w:rPr>
        <w:t>回购自身权益工具支付的对价和交易费用，减少股东权益。除股份支付之外，发行</w:t>
      </w:r>
      <w:r>
        <w:rPr>
          <w:rFonts w:ascii="宋体" w:hAnsi="宋体" w:cs="宋体" w:eastAsia="宋体" w:hint="default"/>
          <w:spacing w:val="-2"/>
        </w:rPr>
        <w:t>(</w:t>
      </w:r>
      <w:r>
        <w:rPr>
          <w:spacing w:val="-2"/>
        </w:rPr>
        <w:t>含再融资</w:t>
      </w:r>
      <w:r>
        <w:rPr>
          <w:rFonts w:ascii="宋体" w:hAnsi="宋体" w:cs="宋体" w:eastAsia="宋体" w:hint="default"/>
          <w:spacing w:val="-2"/>
        </w:rPr>
        <w:t>)</w:t>
      </w:r>
      <w:r>
        <w:rPr>
          <w:spacing w:val="-2"/>
        </w:rPr>
        <w:t>、</w:t>
      </w:r>
      <w:r>
        <w:rPr>
          <w:spacing w:val="-24"/>
        </w:rPr>
        <w:t> </w:t>
      </w:r>
      <w:r>
        <w:rPr/>
        <w:t>回购、出售或注销自身权益工具，作为权益的变动处理。</w:t>
      </w:r>
    </w:p>
    <w:p>
      <w:pPr>
        <w:spacing w:line="240" w:lineRule="auto" w:before="10"/>
        <w:rPr>
          <w:rFonts w:ascii="宋体" w:hAnsi="宋体" w:cs="宋体" w:eastAsia="宋体" w:hint="default"/>
          <w:sz w:val="18"/>
          <w:szCs w:val="18"/>
        </w:rPr>
      </w:pPr>
    </w:p>
    <w:p>
      <w:pPr>
        <w:pStyle w:val="BodyText"/>
        <w:spacing w:line="475" w:lineRule="auto"/>
        <w:ind w:left="138" w:right="3444"/>
        <w:jc w:val="left"/>
      </w:pPr>
      <w:r>
        <w:rPr/>
        <w:t>利润分配</w:t>
      </w:r>
      <w:r>
        <w:rPr>
          <w:w w:val="100"/>
        </w:rPr>
        <w:t> </w:t>
      </w:r>
      <w:r>
        <w:rPr>
          <w:spacing w:val="-2"/>
        </w:rPr>
        <w:t>本公司的现金股利，于股东大会批准后确认为负债。</w:t>
      </w:r>
      <w:r>
        <w:rPr>
          <w:spacing w:val="-62"/>
        </w:rPr>
        <w:t> </w:t>
      </w:r>
      <w:r>
        <w:rPr>
          <w:spacing w:val="-62"/>
        </w:rPr>
      </w:r>
      <w:r>
        <w:rPr/>
        <w:t>公允价值计量</w:t>
      </w:r>
    </w:p>
    <w:p>
      <w:pPr>
        <w:pStyle w:val="BodyText"/>
        <w:spacing w:line="237" w:lineRule="auto" w:before="66"/>
        <w:ind w:left="138" w:right="208"/>
        <w:jc w:val="both"/>
      </w:pPr>
      <w:r>
        <w:rPr>
          <w:spacing w:val="-2"/>
        </w:rPr>
        <w:t>本集团于每个资产负债表日以公允价值计量衍生金融工具投资。公允价值，是指市场参与者在计</w:t>
      </w:r>
      <w:r>
        <w:rPr>
          <w:spacing w:val="-25"/>
        </w:rPr>
        <w:t> </w:t>
      </w:r>
      <w:r>
        <w:rPr>
          <w:spacing w:val="-25"/>
        </w:rPr>
      </w:r>
      <w:r>
        <w:rPr>
          <w:spacing w:val="-2"/>
        </w:rPr>
        <w:t>量日发生的有序交易中，出售一项资产所能收到或者转移一项负债所需支付的价格。本集团以公</w:t>
      </w:r>
      <w:r>
        <w:rPr>
          <w:spacing w:val="-25"/>
        </w:rPr>
        <w:t> </w:t>
      </w:r>
      <w:r>
        <w:rPr>
          <w:spacing w:val="-25"/>
        </w:rPr>
      </w:r>
      <w:r>
        <w:rPr>
          <w:spacing w:val="-2"/>
        </w:rPr>
        <w:t>允价值计量相关资产或负债，假定出售资产或者转移负债的有序交易在相关资产或负债的主要市</w:t>
      </w:r>
      <w:r>
        <w:rPr>
          <w:spacing w:val="-25"/>
        </w:rPr>
        <w:t> </w:t>
      </w:r>
      <w:r>
        <w:rPr>
          <w:spacing w:val="-25"/>
        </w:rPr>
      </w:r>
      <w:r>
        <w:rPr>
          <w:spacing w:val="-9"/>
          <w:w w:val="100"/>
        </w:rPr>
        <w:t>场进行；不存在主要市场的，本集团假定该交易在相关资产或负债的最有利市场进行。主要市场</w:t>
      </w:r>
      <w:r>
        <w:rPr>
          <w:rFonts w:ascii="宋体" w:hAnsi="宋体" w:cs="宋体" w:eastAsia="宋体" w:hint="default"/>
          <w:spacing w:val="-9"/>
          <w:w w:val="100"/>
        </w:rPr>
        <w:t>(</w:t>
      </w:r>
      <w:r>
        <w:rPr>
          <w:spacing w:val="-9"/>
          <w:w w:val="100"/>
        </w:rPr>
        <w:t>或</w:t>
      </w:r>
      <w:r>
        <w:rPr>
          <w:spacing w:val="-73"/>
          <w:w w:val="100"/>
        </w:rPr>
        <w:t> </w:t>
      </w:r>
      <w:r>
        <w:rPr>
          <w:spacing w:val="-4"/>
          <w:w w:val="100"/>
        </w:rPr>
        <w:t>最有利市场</w:t>
      </w:r>
      <w:r>
        <w:rPr>
          <w:rFonts w:ascii="宋体" w:hAnsi="宋体" w:cs="宋体" w:eastAsia="宋体" w:hint="default"/>
          <w:spacing w:val="-4"/>
          <w:w w:val="100"/>
        </w:rPr>
        <w:t>)</w:t>
      </w:r>
      <w:r>
        <w:rPr>
          <w:spacing w:val="-4"/>
          <w:w w:val="100"/>
        </w:rPr>
        <w:t>是本集团在计量日能够进入的交易市场。本集团采用市场参与者在对该资产或负债定</w:t>
      </w:r>
      <w:r>
        <w:rPr>
          <w:spacing w:val="-85"/>
          <w:w w:val="100"/>
        </w:rPr>
        <w:t> </w:t>
      </w:r>
      <w:r>
        <w:rPr>
          <w:spacing w:val="-85"/>
          <w:w w:val="100"/>
        </w:rPr>
      </w:r>
      <w:r>
        <w:rPr/>
        <w:t>价时为实现其经济利益最大化所使用的假设。</w:t>
      </w:r>
    </w:p>
    <w:p>
      <w:pPr>
        <w:spacing w:line="240" w:lineRule="auto" w:before="9"/>
        <w:rPr>
          <w:rFonts w:ascii="宋体" w:hAnsi="宋体" w:cs="宋体" w:eastAsia="宋体" w:hint="default"/>
          <w:sz w:val="20"/>
          <w:szCs w:val="20"/>
        </w:rPr>
      </w:pPr>
    </w:p>
    <w:p>
      <w:pPr>
        <w:pStyle w:val="BodyText"/>
        <w:spacing w:line="240" w:lineRule="auto"/>
        <w:ind w:left="138" w:right="102"/>
        <w:jc w:val="left"/>
      </w:pPr>
      <w:r>
        <w:rPr>
          <w:spacing w:val="-2"/>
        </w:rPr>
        <w:t>以公允价值计量非金融资产的，考虑市场参与者将该资产用于最佳用途产生经济利益的能力，或</w:t>
      </w:r>
      <w:r>
        <w:rPr>
          <w:spacing w:val="-25"/>
        </w:rPr>
        <w:t> </w:t>
      </w:r>
      <w:r>
        <w:rPr>
          <w:spacing w:val="-25"/>
        </w:rPr>
      </w:r>
      <w:r>
        <w:rPr/>
        <w:t>者将该资产出售给能够用于最佳用途的其他市场参与者产生经济利益的能力。</w:t>
      </w:r>
    </w:p>
    <w:p>
      <w:pPr>
        <w:spacing w:line="240" w:lineRule="auto" w:before="11"/>
        <w:rPr>
          <w:rFonts w:ascii="宋体" w:hAnsi="宋体" w:cs="宋体" w:eastAsia="宋体" w:hint="default"/>
          <w:sz w:val="20"/>
          <w:szCs w:val="20"/>
        </w:rPr>
      </w:pPr>
    </w:p>
    <w:p>
      <w:pPr>
        <w:pStyle w:val="BodyText"/>
        <w:spacing w:line="237" w:lineRule="auto"/>
        <w:ind w:left="138" w:right="217"/>
        <w:jc w:val="both"/>
      </w:pPr>
      <w:r>
        <w:rPr>
          <w:spacing w:val="-2"/>
        </w:rPr>
        <w:t>本集团采用在当前情况下适用并且有足够可利用数据和其他信息支持的估值技术，优先使用相关</w:t>
      </w:r>
      <w:r>
        <w:rPr>
          <w:spacing w:val="-25"/>
        </w:rPr>
        <w:t> </w:t>
      </w:r>
      <w:r>
        <w:rPr>
          <w:spacing w:val="-25"/>
        </w:rPr>
      </w:r>
      <w:r>
        <w:rPr>
          <w:spacing w:val="-2"/>
        </w:rPr>
        <w:t>可观察输入值，只有在可观察输入值无法取得或取得不切实可行的情况下，才使用不可观察输入</w:t>
      </w:r>
      <w:r>
        <w:rPr>
          <w:spacing w:val="-25"/>
        </w:rPr>
        <w:t> </w:t>
      </w:r>
      <w:r>
        <w:rPr>
          <w:spacing w:val="-25"/>
        </w:rPr>
      </w:r>
      <w:r>
        <w:rPr/>
        <w:t>值。</w:t>
      </w:r>
    </w:p>
    <w:p>
      <w:pPr>
        <w:spacing w:line="240" w:lineRule="auto" w:before="9"/>
        <w:rPr>
          <w:rFonts w:ascii="宋体" w:hAnsi="宋体" w:cs="宋体" w:eastAsia="宋体" w:hint="default"/>
          <w:sz w:val="20"/>
          <w:szCs w:val="20"/>
        </w:rPr>
      </w:pPr>
    </w:p>
    <w:p>
      <w:pPr>
        <w:pStyle w:val="BodyText"/>
        <w:spacing w:line="237" w:lineRule="auto"/>
        <w:ind w:left="138" w:right="217"/>
        <w:jc w:val="both"/>
      </w:pPr>
      <w:r>
        <w:rPr>
          <w:spacing w:val="-2"/>
        </w:rPr>
        <w:t>在财务报表中以公允价值计量或披露的资产和负债，根据对公允价值计量整体而言具有重要意义</w:t>
      </w:r>
      <w:r>
        <w:rPr>
          <w:spacing w:val="-25"/>
        </w:rPr>
        <w:t> </w:t>
      </w:r>
      <w:r>
        <w:rPr>
          <w:spacing w:val="-25"/>
        </w:rPr>
      </w:r>
      <w:r>
        <w:rPr>
          <w:spacing w:val="-2"/>
        </w:rPr>
        <w:t>的最低层次输入值，确定所属的公允价值层次：第一层次输入值，在计量日能够取得的相同资产</w:t>
      </w:r>
      <w:r>
        <w:rPr>
          <w:spacing w:val="-25"/>
        </w:rPr>
        <w:t> </w:t>
      </w:r>
      <w:r>
        <w:rPr>
          <w:spacing w:val="-25"/>
        </w:rPr>
      </w:r>
      <w:r>
        <w:rPr>
          <w:spacing w:val="-2"/>
        </w:rPr>
        <w:t>或负债在活跃市场上未经调整的报价；第二层次输入值，除第一层次输入值外相关资产或负债直</w:t>
      </w:r>
      <w:r>
        <w:rPr>
          <w:spacing w:val="-25"/>
        </w:rPr>
        <w:t> </w:t>
      </w:r>
      <w:r>
        <w:rPr>
          <w:spacing w:val="-25"/>
        </w:rPr>
      </w:r>
      <w:r>
        <w:rPr/>
        <w:t>接或间接可观察的输入值；第三层次输入值，相关资产或负债的不可观察输入值。</w:t>
      </w:r>
    </w:p>
    <w:p>
      <w:pPr>
        <w:spacing w:line="240" w:lineRule="auto" w:before="10"/>
        <w:rPr>
          <w:rFonts w:ascii="宋体" w:hAnsi="宋体" w:cs="宋体" w:eastAsia="宋体" w:hint="default"/>
          <w:sz w:val="22"/>
          <w:szCs w:val="22"/>
        </w:rPr>
      </w:pPr>
    </w:p>
    <w:p>
      <w:pPr>
        <w:pStyle w:val="BodyText"/>
        <w:spacing w:line="272" w:lineRule="exact"/>
        <w:ind w:left="138" w:right="102"/>
        <w:jc w:val="left"/>
      </w:pPr>
      <w:r>
        <w:rPr>
          <w:spacing w:val="-2"/>
        </w:rPr>
        <w:t>每个资产负债表日，本集团对在财务报表中确认的持续以公允价值计量的资产和负债进行重新评</w:t>
      </w:r>
      <w:r>
        <w:rPr>
          <w:spacing w:val="-26"/>
        </w:rPr>
        <w:t> </w:t>
      </w:r>
      <w:r>
        <w:rPr>
          <w:spacing w:val="-26"/>
        </w:rPr>
      </w:r>
      <w:r>
        <w:rPr/>
        <w:t>估，以确定是否在公允价值计量层次之间发生转换。</w:t>
      </w:r>
    </w:p>
    <w:p>
      <w:pPr>
        <w:spacing w:line="240" w:lineRule="auto" w:before="10"/>
        <w:rPr>
          <w:rFonts w:ascii="宋体" w:hAnsi="宋体" w:cs="宋体" w:eastAsia="宋体" w:hint="default"/>
          <w:sz w:val="18"/>
          <w:szCs w:val="18"/>
        </w:rPr>
      </w:pPr>
    </w:p>
    <w:p>
      <w:pPr>
        <w:pStyle w:val="BodyText"/>
        <w:spacing w:line="240" w:lineRule="auto"/>
        <w:ind w:left="138" w:right="0"/>
        <w:jc w:val="both"/>
      </w:pPr>
      <w:r>
        <w:rPr/>
        <w:t>重大会计判断和估计</w:t>
      </w:r>
    </w:p>
    <w:p>
      <w:pPr>
        <w:spacing w:after="0" w:line="240" w:lineRule="auto"/>
        <w:jc w:val="both"/>
        <w:sectPr>
          <w:pgSz w:w="11910" w:h="16840"/>
          <w:pgMar w:header="857" w:footer="1195" w:top="1320" w:bottom="1380" w:left="1660" w:right="1060"/>
        </w:sectPr>
      </w:pPr>
    </w:p>
    <w:p>
      <w:pPr>
        <w:spacing w:line="240" w:lineRule="auto" w:before="2"/>
        <w:rPr>
          <w:rFonts w:ascii="宋体" w:hAnsi="宋体" w:cs="宋体" w:eastAsia="宋体" w:hint="default"/>
          <w:sz w:val="9"/>
          <w:szCs w:val="9"/>
        </w:rPr>
      </w:pPr>
    </w:p>
    <w:p>
      <w:pPr>
        <w:pStyle w:val="BodyText"/>
        <w:spacing w:line="237" w:lineRule="auto" w:before="38"/>
        <w:ind w:left="138" w:right="217"/>
        <w:jc w:val="both"/>
      </w:pPr>
      <w:r>
        <w:rPr>
          <w:spacing w:val="-2"/>
        </w:rPr>
        <w:t>编制财务报表要求管理层作出判断、估计和假设，这些判断、估计和假设会影响收入、费用、资</w:t>
      </w:r>
      <w:r>
        <w:rPr>
          <w:spacing w:val="-25"/>
        </w:rPr>
        <w:t> </w:t>
      </w:r>
      <w:r>
        <w:rPr>
          <w:spacing w:val="-25"/>
        </w:rPr>
      </w:r>
      <w:r>
        <w:rPr>
          <w:spacing w:val="-2"/>
        </w:rPr>
        <w:t>产和负债的列报金额及其披露，以及资产负债表日或有负债的披露。这些假设和估计的不确定性</w:t>
      </w:r>
      <w:r>
        <w:rPr>
          <w:spacing w:val="-25"/>
        </w:rPr>
        <w:t> </w:t>
      </w:r>
      <w:r>
        <w:rPr>
          <w:spacing w:val="-25"/>
        </w:rPr>
      </w:r>
      <w:r>
        <w:rPr/>
        <w:t>所导致的结果可能造成对未来受影响的资产或负债账面金额进行重大调整。</w:t>
      </w:r>
    </w:p>
    <w:p>
      <w:pPr>
        <w:spacing w:line="240" w:lineRule="auto" w:before="9"/>
        <w:rPr>
          <w:rFonts w:ascii="宋体" w:hAnsi="宋体" w:cs="宋体" w:eastAsia="宋体" w:hint="default"/>
          <w:sz w:val="20"/>
          <w:szCs w:val="20"/>
        </w:rPr>
      </w:pPr>
    </w:p>
    <w:p>
      <w:pPr>
        <w:pStyle w:val="BodyText"/>
        <w:spacing w:line="240" w:lineRule="auto"/>
        <w:ind w:left="138" w:right="102"/>
        <w:jc w:val="left"/>
      </w:pPr>
      <w:r>
        <w:rPr/>
        <w:t>估计的不确定性</w:t>
      </w:r>
    </w:p>
    <w:p>
      <w:pPr>
        <w:spacing w:line="240" w:lineRule="auto" w:before="8"/>
        <w:rPr>
          <w:rFonts w:ascii="宋体" w:hAnsi="宋体" w:cs="宋体" w:eastAsia="宋体" w:hint="default"/>
          <w:sz w:val="20"/>
          <w:szCs w:val="20"/>
        </w:rPr>
      </w:pPr>
    </w:p>
    <w:p>
      <w:pPr>
        <w:pStyle w:val="BodyText"/>
        <w:spacing w:line="240" w:lineRule="auto"/>
        <w:ind w:left="138" w:right="102"/>
        <w:jc w:val="left"/>
      </w:pPr>
      <w:r>
        <w:rPr>
          <w:spacing w:val="-2"/>
        </w:rPr>
        <w:t>以下为于资产负债表日有关未来的关键假设以及估计不确定性的其他关键来源，可能会导致未来</w:t>
      </w:r>
      <w:r>
        <w:rPr>
          <w:spacing w:val="-25"/>
        </w:rPr>
        <w:t> </w:t>
      </w:r>
      <w:r>
        <w:rPr>
          <w:spacing w:val="-25"/>
        </w:rPr>
      </w:r>
      <w:r>
        <w:rPr/>
        <w:t>会计期间资产和负债账面金额重大调整。</w:t>
      </w:r>
    </w:p>
    <w:p>
      <w:pPr>
        <w:spacing w:line="240" w:lineRule="auto" w:before="11"/>
        <w:rPr>
          <w:rFonts w:ascii="宋体" w:hAnsi="宋体" w:cs="宋体" w:eastAsia="宋体" w:hint="default"/>
          <w:sz w:val="20"/>
          <w:szCs w:val="20"/>
        </w:rPr>
      </w:pPr>
    </w:p>
    <w:p>
      <w:pPr>
        <w:pStyle w:val="BodyText"/>
        <w:spacing w:line="237" w:lineRule="auto"/>
        <w:ind w:left="138" w:right="102"/>
        <w:jc w:val="left"/>
      </w:pPr>
      <w:r>
        <w:rPr/>
        <w:t>可供出售金融资产减值</w:t>
      </w:r>
      <w:r>
        <w:rPr>
          <w:w w:val="100"/>
        </w:rPr>
        <w:t> </w:t>
      </w:r>
      <w:r>
        <w:rPr>
          <w:spacing w:val="-2"/>
        </w:rPr>
        <w:t>本集团将某些资产归类为可供出售金融资产，并将其公允价值的变动直接计入其他综合收益。当</w:t>
      </w:r>
      <w:r>
        <w:rPr>
          <w:spacing w:val="-25"/>
        </w:rPr>
        <w:t> </w:t>
      </w:r>
      <w:r>
        <w:rPr>
          <w:spacing w:val="-25"/>
        </w:rPr>
      </w:r>
      <w:r>
        <w:rPr/>
        <w:t>公允价值下降时，管理层就价值下降作出假设以确定是否存在需在损益中确认其减值损失。</w:t>
      </w:r>
    </w:p>
    <w:p>
      <w:pPr>
        <w:spacing w:line="240" w:lineRule="auto" w:before="12"/>
        <w:rPr>
          <w:rFonts w:ascii="宋体" w:hAnsi="宋体" w:cs="宋体" w:eastAsia="宋体" w:hint="default"/>
          <w:sz w:val="20"/>
          <w:szCs w:val="20"/>
        </w:rPr>
      </w:pPr>
    </w:p>
    <w:p>
      <w:pPr>
        <w:pStyle w:val="BodyText"/>
        <w:spacing w:line="237" w:lineRule="auto"/>
        <w:ind w:left="138" w:right="102"/>
        <w:jc w:val="left"/>
      </w:pPr>
      <w:r>
        <w:rPr/>
        <w:t>除金融资产之外的非流动资产减值</w:t>
      </w:r>
      <w:r>
        <w:rPr>
          <w:rFonts w:ascii="宋体" w:hAnsi="宋体" w:cs="宋体" w:eastAsia="宋体" w:hint="default"/>
        </w:rPr>
        <w:t>(</w:t>
      </w:r>
      <w:r>
        <w:rPr/>
        <w:t>除商誉外</w:t>
      </w:r>
      <w:r>
        <w:rPr>
          <w:rFonts w:ascii="宋体" w:hAnsi="宋体" w:cs="宋体" w:eastAsia="宋体" w:hint="default"/>
        </w:rPr>
        <w:t>)</w:t>
      </w:r>
      <w:r>
        <w:rPr>
          <w:rFonts w:ascii="宋体" w:hAnsi="宋体" w:cs="宋体" w:eastAsia="宋体" w:hint="default"/>
          <w:w w:val="100"/>
        </w:rPr>
        <w:t> </w:t>
      </w:r>
      <w:r>
        <w:rPr>
          <w:spacing w:val="-2"/>
        </w:rPr>
        <w:t>本集团于资产负债表日对除金融资产之外的非流动资产判断是否存在可能发生减值的迹象。对使</w:t>
      </w:r>
      <w:r>
        <w:rPr>
          <w:spacing w:val="-25"/>
        </w:rPr>
        <w:t> </w:t>
      </w:r>
      <w:r>
        <w:rPr>
          <w:spacing w:val="-25"/>
        </w:rPr>
      </w:r>
      <w:r>
        <w:rPr>
          <w:spacing w:val="-2"/>
        </w:rPr>
        <w:t>用寿命不确定的无形资产，除每年进行的减值测试外，当其存在减值迹象时，也进行减值测试。</w:t>
      </w:r>
      <w:r>
        <w:rPr>
          <w:spacing w:val="-25"/>
        </w:rPr>
        <w:t> </w:t>
      </w:r>
      <w:r>
        <w:rPr>
          <w:spacing w:val="-25"/>
        </w:rPr>
      </w:r>
      <w:r>
        <w:rPr>
          <w:spacing w:val="-2"/>
        </w:rPr>
        <w:t>其他除金融资产之外的非流动资产，当存在迹象表明其账面金额不可收回时，进行减值测试。当</w:t>
      </w:r>
      <w:r>
        <w:rPr>
          <w:spacing w:val="-25"/>
        </w:rPr>
        <w:t> </w:t>
      </w:r>
      <w:r>
        <w:rPr>
          <w:spacing w:val="-25"/>
        </w:rPr>
      </w:r>
      <w:r>
        <w:rPr>
          <w:spacing w:val="-2"/>
        </w:rPr>
        <w:t>资产或资产组的账面价值高于可收回金额，即公允价值减去处置费用后的净额和预计未来现金流</w:t>
      </w:r>
      <w:r>
        <w:rPr>
          <w:spacing w:val="-25"/>
        </w:rPr>
        <w:t> </w:t>
      </w:r>
      <w:r>
        <w:rPr>
          <w:spacing w:val="-25"/>
        </w:rPr>
      </w:r>
      <w:r>
        <w:rPr>
          <w:spacing w:val="-2"/>
        </w:rPr>
        <w:t>量的现值中的较高者，表明发生了减值。公允价值减去处置费用后的净额，参考公平交易中类似</w:t>
      </w:r>
      <w:r>
        <w:rPr>
          <w:spacing w:val="-25"/>
        </w:rPr>
        <w:t> </w:t>
      </w:r>
      <w:r>
        <w:rPr>
          <w:spacing w:val="-25"/>
        </w:rPr>
      </w:r>
      <w:r>
        <w:rPr>
          <w:spacing w:val="-2"/>
        </w:rPr>
        <w:t>资产的销售协议价格或可观察到的市场价格，减去可直接归属于该资产处置的增量成本确定。预</w:t>
      </w:r>
      <w:r>
        <w:rPr>
          <w:spacing w:val="-25"/>
        </w:rPr>
        <w:t> </w:t>
      </w:r>
      <w:r>
        <w:rPr>
          <w:spacing w:val="-25"/>
        </w:rPr>
      </w:r>
      <w:r>
        <w:rPr>
          <w:spacing w:val="-2"/>
        </w:rPr>
        <w:t>计未来现金流量现值时，管理层必须估计该项资产或资产组的预计未来现金流量，并选择恰当的</w:t>
      </w:r>
      <w:r>
        <w:rPr>
          <w:spacing w:val="-25"/>
        </w:rPr>
        <w:t> </w:t>
      </w:r>
      <w:r>
        <w:rPr>
          <w:spacing w:val="-25"/>
        </w:rPr>
      </w:r>
      <w:r>
        <w:rPr/>
        <w:t>折现率确定未来现金流量的现值。</w:t>
      </w:r>
    </w:p>
    <w:p>
      <w:pPr>
        <w:spacing w:line="240" w:lineRule="auto" w:before="11"/>
        <w:rPr>
          <w:rFonts w:ascii="宋体" w:hAnsi="宋体" w:cs="宋体" w:eastAsia="宋体" w:hint="default"/>
          <w:sz w:val="20"/>
          <w:szCs w:val="20"/>
        </w:rPr>
      </w:pPr>
    </w:p>
    <w:p>
      <w:pPr>
        <w:pStyle w:val="BodyText"/>
        <w:spacing w:line="237" w:lineRule="auto"/>
        <w:ind w:left="138" w:right="102"/>
        <w:jc w:val="left"/>
      </w:pPr>
      <w:r>
        <w:rPr/>
        <w:t>商誉减值</w:t>
      </w:r>
      <w:r>
        <w:rPr>
          <w:w w:val="100"/>
        </w:rPr>
        <w:t> </w:t>
      </w:r>
      <w:r>
        <w:rPr>
          <w:spacing w:val="-2"/>
        </w:rPr>
        <w:t>本集团至少每年测试商誉是否发生减值。这要求对分配了商誉的资产组或者资产组组合的未来现</w:t>
      </w:r>
      <w:r>
        <w:rPr>
          <w:spacing w:val="-25"/>
        </w:rPr>
        <w:t> </w:t>
      </w:r>
      <w:r>
        <w:rPr>
          <w:spacing w:val="-25"/>
        </w:rPr>
      </w:r>
      <w:r>
        <w:rPr>
          <w:spacing w:val="-2"/>
        </w:rPr>
        <w:t>金流量的现值进行预计。对未来现金流量的现值进行预计时，本集团需要预计未来资产组或者资</w:t>
      </w:r>
      <w:r>
        <w:rPr>
          <w:spacing w:val="-25"/>
        </w:rPr>
        <w:t> </w:t>
      </w:r>
      <w:r>
        <w:rPr>
          <w:spacing w:val="-25"/>
        </w:rPr>
      </w:r>
      <w:r>
        <w:rPr/>
        <w:t>产组组合产生的现金流量，同时选择恰当的折现率确定未来现金流量的现值。</w:t>
      </w:r>
    </w:p>
    <w:p>
      <w:pPr>
        <w:spacing w:line="240" w:lineRule="auto" w:before="11"/>
        <w:rPr>
          <w:rFonts w:ascii="宋体" w:hAnsi="宋体" w:cs="宋体" w:eastAsia="宋体" w:hint="default"/>
          <w:sz w:val="20"/>
          <w:szCs w:val="20"/>
        </w:rPr>
      </w:pPr>
    </w:p>
    <w:p>
      <w:pPr>
        <w:pStyle w:val="BodyText"/>
        <w:spacing w:line="237" w:lineRule="auto"/>
        <w:ind w:left="138" w:right="102"/>
        <w:jc w:val="left"/>
      </w:pPr>
      <w:r>
        <w:rPr/>
        <w:t>开发支出</w:t>
      </w:r>
      <w:r>
        <w:rPr>
          <w:w w:val="100"/>
        </w:rPr>
        <w:t> </w:t>
      </w:r>
      <w:r>
        <w:rPr>
          <w:spacing w:val="-2"/>
        </w:rPr>
        <w:t>确定资本化的金额时，管理层必须作出有关资产的预计未来现金流量适用的折现率以及预计受益</w:t>
      </w:r>
      <w:r>
        <w:rPr>
          <w:spacing w:val="-25"/>
        </w:rPr>
        <w:t> </w:t>
      </w:r>
      <w:r>
        <w:rPr>
          <w:spacing w:val="-25"/>
        </w:rPr>
      </w:r>
      <w:r>
        <w:rPr/>
        <w:t>期间的假设。</w:t>
      </w:r>
    </w:p>
    <w:p>
      <w:pPr>
        <w:spacing w:line="240" w:lineRule="auto" w:before="11"/>
        <w:rPr>
          <w:rFonts w:ascii="宋体" w:hAnsi="宋体" w:cs="宋体" w:eastAsia="宋体" w:hint="default"/>
          <w:sz w:val="20"/>
          <w:szCs w:val="20"/>
        </w:rPr>
      </w:pPr>
    </w:p>
    <w:p>
      <w:pPr>
        <w:pStyle w:val="BodyText"/>
        <w:spacing w:line="237" w:lineRule="auto"/>
        <w:ind w:left="138" w:right="102"/>
        <w:jc w:val="left"/>
      </w:pPr>
      <w:r>
        <w:rPr/>
        <w:t>股份支付</w:t>
      </w:r>
      <w:r>
        <w:rPr>
          <w:w w:val="100"/>
        </w:rPr>
        <w:t> </w:t>
      </w:r>
      <w:r>
        <w:rPr>
          <w:spacing w:val="-2"/>
        </w:rPr>
        <w:t>在计算股权激励方案的相关负债及费用时，公司管理层需要对离职率、可行权条件等事项进行判</w:t>
      </w:r>
      <w:r>
        <w:rPr>
          <w:spacing w:val="-25"/>
        </w:rPr>
        <w:t> </w:t>
      </w:r>
      <w:r>
        <w:rPr>
          <w:spacing w:val="-25"/>
        </w:rPr>
      </w:r>
      <w:r>
        <w:rPr/>
        <w:t>断和估计，不同的判断和估计将对财务报表产生重大影响。</w:t>
      </w:r>
    </w:p>
    <w:p>
      <w:pPr>
        <w:spacing w:line="240" w:lineRule="auto" w:before="12"/>
        <w:rPr>
          <w:rFonts w:ascii="宋体" w:hAnsi="宋体" w:cs="宋体" w:eastAsia="宋体" w:hint="default"/>
          <w:sz w:val="20"/>
          <w:szCs w:val="20"/>
        </w:rPr>
      </w:pPr>
    </w:p>
    <w:p>
      <w:pPr>
        <w:pStyle w:val="BodyText"/>
        <w:spacing w:line="237" w:lineRule="auto"/>
        <w:ind w:left="138" w:right="102"/>
        <w:jc w:val="left"/>
      </w:pPr>
      <w:r>
        <w:rPr/>
        <w:t>开发实施服务收入的确认</w:t>
      </w:r>
      <w:r>
        <w:rPr>
          <w:w w:val="100"/>
        </w:rPr>
        <w:t> </w:t>
      </w:r>
      <w:r>
        <w:rPr>
          <w:spacing w:val="-2"/>
        </w:rPr>
        <w:t>开发和实施合同根据完工进度确认收入，该完工进度依据已经提供的劳务占应提供劳务总量的比</w:t>
      </w:r>
      <w:r>
        <w:rPr>
          <w:spacing w:val="-25"/>
        </w:rPr>
        <w:t> </w:t>
      </w:r>
      <w:r>
        <w:rPr>
          <w:spacing w:val="-25"/>
        </w:rPr>
      </w:r>
      <w:r>
        <w:rPr/>
        <w:t>例确定，确定合同完工进度过程中会涉及到重大的管理层判断与估计。</w:t>
      </w:r>
    </w:p>
    <w:p>
      <w:pPr>
        <w:spacing w:line="240" w:lineRule="auto" w:before="9"/>
        <w:rPr>
          <w:rFonts w:ascii="宋体" w:hAnsi="宋体" w:cs="宋体" w:eastAsia="宋体" w:hint="default"/>
          <w:sz w:val="20"/>
          <w:szCs w:val="20"/>
        </w:rPr>
      </w:pPr>
    </w:p>
    <w:p>
      <w:pPr>
        <w:pStyle w:val="BodyText"/>
        <w:spacing w:line="237" w:lineRule="auto"/>
        <w:ind w:left="138" w:right="102"/>
        <w:jc w:val="left"/>
      </w:pPr>
      <w:r>
        <w:rPr/>
        <w:t>递延所得税资产</w:t>
      </w:r>
      <w:r>
        <w:rPr>
          <w:spacing w:val="-103"/>
        </w:rPr>
        <w:t> </w:t>
      </w:r>
      <w:r>
        <w:rPr>
          <w:spacing w:val="-103"/>
        </w:rPr>
      </w:r>
      <w:r>
        <w:rPr/>
        <w:t>在很可能有足够的应纳税所得额用以抵扣可抵扣亏损的限度内，应就所有尚未利用的可抵扣亏损</w:t>
      </w:r>
      <w:r>
        <w:rPr>
          <w:w w:val="100"/>
        </w:rPr>
        <w:t> </w:t>
      </w:r>
      <w:r>
        <w:rPr>
          <w:spacing w:val="-4"/>
          <w:w w:val="100"/>
        </w:rPr>
        <w:t>确认递延所得税资产。这需要管理层运用大量的判断来估计未来取得应纳税所得额的时间和金额，</w:t>
      </w:r>
      <w:r>
        <w:rPr>
          <w:spacing w:val="-85"/>
          <w:w w:val="100"/>
        </w:rPr>
        <w:t> </w:t>
      </w:r>
      <w:r>
        <w:rPr>
          <w:spacing w:val="-85"/>
          <w:w w:val="100"/>
        </w:rPr>
      </w:r>
      <w:r>
        <w:rPr/>
        <w:t>结合纳税筹划策略，以决定应确认的递延所得税资产的金额。</w:t>
      </w:r>
    </w:p>
    <w:p>
      <w:pPr>
        <w:spacing w:line="240" w:lineRule="auto" w:before="11"/>
        <w:rPr>
          <w:rFonts w:ascii="宋体" w:hAnsi="宋体" w:cs="宋体" w:eastAsia="宋体" w:hint="default"/>
          <w:sz w:val="20"/>
          <w:szCs w:val="20"/>
        </w:rPr>
      </w:pPr>
    </w:p>
    <w:p>
      <w:pPr>
        <w:pStyle w:val="BodyText"/>
        <w:spacing w:line="237" w:lineRule="auto"/>
        <w:ind w:left="138" w:right="102"/>
        <w:jc w:val="left"/>
      </w:pPr>
      <w:r>
        <w:rPr/>
        <w:t>折旧</w:t>
      </w:r>
      <w:r>
        <w:rPr>
          <w:spacing w:val="-103"/>
        </w:rPr>
        <w:t> </w:t>
      </w:r>
      <w:r>
        <w:rPr>
          <w:spacing w:val="-2"/>
        </w:rPr>
        <w:t>本集团对固定资产在考虑其残值后，在预计可使用年限内按直线法计提折旧。本集团定期审阅预</w:t>
      </w:r>
      <w:r>
        <w:rPr>
          <w:spacing w:val="-25"/>
        </w:rPr>
        <w:t> </w:t>
      </w:r>
      <w:r>
        <w:rPr>
          <w:spacing w:val="-25"/>
        </w:rPr>
      </w:r>
      <w:r>
        <w:rPr>
          <w:spacing w:val="-2"/>
        </w:rPr>
        <w:t>计可使用年限，以决定将计入每个报告期的折旧费用数额。预计可使用年限是本集团根据对同类</w:t>
      </w:r>
      <w:r>
        <w:rPr>
          <w:spacing w:val="-25"/>
        </w:rPr>
        <w:t> </w:t>
      </w:r>
      <w:r>
        <w:rPr>
          <w:spacing w:val="-25"/>
        </w:rPr>
      </w:r>
      <w:r>
        <w:rPr>
          <w:spacing w:val="-2"/>
        </w:rPr>
        <w:t>资产的已往经验并结合预期的技术改变而确定。如果以前的估计发生重大变化，则会在未来期间</w:t>
      </w:r>
      <w:r>
        <w:rPr>
          <w:spacing w:val="-25"/>
        </w:rPr>
        <w:t> </w:t>
      </w:r>
      <w:r>
        <w:rPr>
          <w:spacing w:val="-25"/>
        </w:rPr>
      </w:r>
      <w:r>
        <w:rPr/>
        <w:t>对折旧费用进行调整。</w:t>
      </w:r>
    </w:p>
    <w:p>
      <w:pPr>
        <w:spacing w:after="0" w:line="237" w:lineRule="auto"/>
        <w:jc w:val="left"/>
        <w:sectPr>
          <w:pgSz w:w="11910" w:h="16840"/>
          <w:pgMar w:header="857" w:footer="1195" w:top="1320" w:bottom="1380" w:left="1660" w:right="1060"/>
        </w:sectPr>
      </w:pPr>
    </w:p>
    <w:p>
      <w:pPr>
        <w:spacing w:line="240" w:lineRule="auto" w:before="0"/>
        <w:rPr>
          <w:rFonts w:ascii="宋体" w:hAnsi="宋体" w:cs="宋体" w:eastAsia="宋体" w:hint="default"/>
          <w:sz w:val="20"/>
          <w:szCs w:val="20"/>
        </w:rPr>
      </w:pPr>
    </w:p>
    <w:p>
      <w:pPr>
        <w:pStyle w:val="BodyText"/>
        <w:spacing w:line="237" w:lineRule="auto" w:before="170"/>
        <w:ind w:left="138" w:right="0"/>
        <w:jc w:val="left"/>
      </w:pPr>
      <w:r>
        <w:rPr/>
        <w:t>无形资产的可使用寿命</w:t>
      </w:r>
      <w:r>
        <w:rPr>
          <w:w w:val="100"/>
        </w:rPr>
        <w:t> </w:t>
      </w:r>
      <w:r>
        <w:rPr>
          <w:spacing w:val="-2"/>
        </w:rPr>
        <w:t>无形资产的预计可使用寿命，以过去性质及功能相似的无形资产的实际使用寿命为基础，按照历</w:t>
      </w:r>
      <w:r>
        <w:rPr>
          <w:spacing w:val="-25"/>
        </w:rPr>
        <w:t> </w:t>
      </w:r>
      <w:r>
        <w:rPr>
          <w:spacing w:val="-25"/>
        </w:rPr>
      </w:r>
      <w:r>
        <w:rPr/>
        <w:t>史经验施行估计，并考虑该些无形资产适用的合同性权利或其他法定权利的期限。</w:t>
      </w:r>
    </w:p>
    <w:p>
      <w:pPr>
        <w:spacing w:line="240" w:lineRule="auto" w:before="11"/>
        <w:rPr>
          <w:rFonts w:ascii="宋体" w:hAnsi="宋体" w:cs="宋体" w:eastAsia="宋体" w:hint="default"/>
          <w:sz w:val="20"/>
          <w:szCs w:val="20"/>
        </w:rPr>
      </w:pPr>
    </w:p>
    <w:p>
      <w:pPr>
        <w:pStyle w:val="BodyText"/>
        <w:spacing w:line="237" w:lineRule="auto"/>
        <w:ind w:left="138" w:right="157"/>
        <w:jc w:val="both"/>
      </w:pPr>
      <w:r>
        <w:rPr>
          <w:spacing w:val="-2"/>
        </w:rPr>
        <w:t>如果该些无形资产的可使用寿命缩短或延长，则对于可使用寿命有限的无形资产，应改变其摊销</w:t>
      </w:r>
      <w:r>
        <w:rPr>
          <w:spacing w:val="-25"/>
        </w:rPr>
        <w:t> </w:t>
      </w:r>
      <w:r>
        <w:rPr>
          <w:spacing w:val="-25"/>
        </w:rPr>
      </w:r>
      <w:r>
        <w:rPr>
          <w:spacing w:val="-2"/>
        </w:rPr>
        <w:t>年限；对于可使用寿命不确定的无形资产，如果有证据表明其使用寿命是有限的，应当估计其使</w:t>
      </w:r>
      <w:r>
        <w:rPr>
          <w:spacing w:val="-25"/>
        </w:rPr>
        <w:t> </w:t>
      </w:r>
      <w:r>
        <w:rPr>
          <w:spacing w:val="-25"/>
        </w:rPr>
      </w:r>
      <w:r>
        <w:rPr/>
        <w:t>用寿命并按照使用寿命有限的无形资产的处理原则进行处理。</w:t>
      </w:r>
    </w:p>
    <w:p>
      <w:pPr>
        <w:spacing w:line="240" w:lineRule="auto" w:before="11"/>
        <w:rPr>
          <w:rFonts w:ascii="宋体" w:hAnsi="宋体" w:cs="宋体" w:eastAsia="宋体" w:hint="default"/>
          <w:sz w:val="20"/>
          <w:szCs w:val="20"/>
        </w:rPr>
      </w:pPr>
    </w:p>
    <w:p>
      <w:pPr>
        <w:pStyle w:val="BodyText"/>
        <w:spacing w:line="237" w:lineRule="auto"/>
        <w:ind w:left="138" w:right="0"/>
        <w:jc w:val="left"/>
      </w:pPr>
      <w:r>
        <w:rPr/>
        <w:t>应收款项的坏账准备</w:t>
      </w:r>
      <w:r>
        <w:rPr>
          <w:w w:val="100"/>
        </w:rPr>
        <w:t> </w:t>
      </w:r>
      <w:r>
        <w:rPr>
          <w:spacing w:val="-2"/>
        </w:rPr>
        <w:t>应收款项的坏账准备由管理层根据会影响应收款项回收的客观证据</w:t>
      </w:r>
      <w:r>
        <w:rPr>
          <w:rFonts w:ascii="宋体" w:hAnsi="宋体" w:cs="宋体" w:eastAsia="宋体" w:hint="default"/>
          <w:spacing w:val="-2"/>
        </w:rPr>
        <w:t>(</w:t>
      </w:r>
      <w:r>
        <w:rPr>
          <w:spacing w:val="-2"/>
        </w:rPr>
        <w:t>如债务人破产或出现严重财</w:t>
      </w:r>
      <w:r>
        <w:rPr>
          <w:spacing w:val="-28"/>
        </w:rPr>
        <w:t> </w:t>
      </w:r>
      <w:r>
        <w:rPr>
          <w:spacing w:val="-28"/>
        </w:rPr>
      </w:r>
      <w:r>
        <w:rPr/>
        <w:t>政困难的可能性</w:t>
      </w:r>
      <w:r>
        <w:rPr>
          <w:rFonts w:ascii="宋体" w:hAnsi="宋体" w:cs="宋体" w:eastAsia="宋体" w:hint="default"/>
        </w:rPr>
        <w:t>)</w:t>
      </w:r>
      <w:r>
        <w:rPr/>
        <w:t>确定。管理层将会于每年年末重新估计坏账准备。</w:t>
      </w:r>
    </w:p>
    <w:p>
      <w:pPr>
        <w:spacing w:line="240" w:lineRule="auto" w:before="12"/>
        <w:rPr>
          <w:rFonts w:ascii="宋体" w:hAnsi="宋体" w:cs="宋体" w:eastAsia="宋体" w:hint="default"/>
          <w:sz w:val="20"/>
          <w:szCs w:val="20"/>
        </w:rPr>
      </w:pPr>
    </w:p>
    <w:p>
      <w:pPr>
        <w:pStyle w:val="BodyText"/>
        <w:spacing w:line="237" w:lineRule="auto"/>
        <w:ind w:left="138" w:right="144"/>
        <w:jc w:val="left"/>
      </w:pPr>
      <w:r>
        <w:rPr/>
        <w:t>所得税</w:t>
      </w:r>
      <w:r>
        <w:rPr>
          <w:spacing w:val="-102"/>
        </w:rPr>
        <w:t> </w:t>
      </w:r>
      <w:r>
        <w:rPr>
          <w:spacing w:val="-2"/>
        </w:rPr>
        <w:t>本公司及其子公司因分布在国内若干省份而需分别在其所在地缴纳企业所得税。在计提企业所得</w:t>
      </w:r>
      <w:r>
        <w:rPr>
          <w:spacing w:val="-25"/>
        </w:rPr>
        <w:t> </w:t>
      </w:r>
      <w:r>
        <w:rPr>
          <w:spacing w:val="-25"/>
        </w:rPr>
      </w:r>
      <w:r>
        <w:rPr>
          <w:spacing w:val="-2"/>
        </w:rPr>
        <w:t>税时，由于有关企业所得税的若干事项尚未获得主管税务机关确认，因此需以现行的税收法规及</w:t>
      </w:r>
      <w:r>
        <w:rPr>
          <w:spacing w:val="-25"/>
        </w:rPr>
        <w:t> </w:t>
      </w:r>
      <w:r>
        <w:rPr>
          <w:spacing w:val="-25"/>
        </w:rPr>
      </w:r>
      <w:r>
        <w:rPr>
          <w:spacing w:val="-6"/>
          <w:w w:val="100"/>
        </w:rPr>
        <w:t>其他相关政策为依据，作出可靠的估计和判断。若有关事项的最终税务结果有别于已确认金额时，</w:t>
      </w:r>
      <w:r>
        <w:rPr>
          <w:w w:val="100"/>
        </w:rPr>
        <w:t> </w:t>
      </w:r>
      <w:r>
        <w:rPr/>
        <w:t>该些差额将对当期的所得税造成影响。</w:t>
      </w:r>
    </w:p>
    <w:p>
      <w:pPr>
        <w:spacing w:line="240" w:lineRule="auto" w:before="1"/>
        <w:rPr>
          <w:rFonts w:ascii="宋体" w:hAnsi="宋体" w:cs="宋体" w:eastAsia="宋体" w:hint="default"/>
          <w:sz w:val="25"/>
          <w:szCs w:val="25"/>
        </w:rPr>
      </w:pPr>
    </w:p>
    <w:p>
      <w:pPr>
        <w:pStyle w:val="Heading3"/>
        <w:spacing w:line="290" w:lineRule="auto"/>
        <w:ind w:left="138" w:right="5593"/>
        <w:jc w:val="left"/>
        <w:rPr>
          <w:b w:val="0"/>
          <w:bCs w:val="0"/>
        </w:rPr>
      </w:pPr>
      <w:r>
        <w:rPr>
          <w:rFonts w:ascii="宋体" w:hAnsi="宋体" w:cs="宋体" w:eastAsia="宋体" w:hint="default"/>
        </w:rPr>
        <w:t>33. </w:t>
      </w:r>
      <w:r>
        <w:rPr/>
        <w:t>重要会计政策和会计估计的变更</w:t>
      </w:r>
      <w:r>
        <w:rPr>
          <w:w w:val="100"/>
        </w:rPr>
        <w:t> </w:t>
      </w:r>
      <w:r>
        <w:rPr>
          <w:rFonts w:ascii="宋体" w:hAnsi="宋体" w:cs="宋体" w:eastAsia="宋体" w:hint="default"/>
        </w:rPr>
        <w:t>(1)</w:t>
      </w:r>
      <w:r>
        <w:rPr/>
        <w:t>、重要会计政策变更</w:t>
      </w:r>
      <w:r>
        <w:rPr>
          <w:b w:val="0"/>
          <w:bCs w:val="0"/>
        </w:rPr>
      </w:r>
    </w:p>
    <w:p>
      <w:pPr>
        <w:pStyle w:val="BodyText"/>
        <w:spacing w:line="237" w:lineRule="auto" w:before="14"/>
        <w:ind w:left="138" w:right="7394"/>
        <w:jc w:val="left"/>
      </w:pPr>
      <w:r>
        <w:rPr/>
        <w:t>√适用</w:t>
      </w:r>
      <w:r>
        <w:rPr>
          <w:spacing w:val="-1"/>
        </w:rPr>
        <w:t> </w:t>
      </w:r>
      <w:r>
        <w:rPr/>
        <w:t>□不适用</w:t>
      </w:r>
      <w:r>
        <w:rPr>
          <w:w w:val="100"/>
        </w:rPr>
        <w:t> </w:t>
      </w:r>
      <w:r>
        <w:rPr/>
        <w:t>其他说明</w:t>
      </w:r>
      <w:r>
        <w:rPr>
          <w:w w:val="100"/>
        </w:rPr>
        <w:t> </w:t>
      </w:r>
      <w:r>
        <w:rPr/>
        <w:t>会计政策变更</w:t>
      </w:r>
    </w:p>
    <w:p>
      <w:pPr>
        <w:spacing w:line="240" w:lineRule="auto" w:before="9"/>
        <w:rPr>
          <w:rFonts w:ascii="宋体" w:hAnsi="宋体" w:cs="宋体" w:eastAsia="宋体" w:hint="default"/>
          <w:sz w:val="20"/>
          <w:szCs w:val="20"/>
        </w:rPr>
      </w:pPr>
    </w:p>
    <w:p>
      <w:pPr>
        <w:pStyle w:val="BodyText"/>
        <w:spacing w:line="240" w:lineRule="auto"/>
        <w:ind w:left="138" w:right="0"/>
        <w:jc w:val="left"/>
      </w:pPr>
      <w:r>
        <w:rPr/>
        <w:t>资产处置损益列报方式变更</w:t>
      </w:r>
    </w:p>
    <w:p>
      <w:pPr>
        <w:spacing w:line="240" w:lineRule="auto" w:before="11"/>
        <w:rPr>
          <w:rFonts w:ascii="宋体" w:hAnsi="宋体" w:cs="宋体" w:eastAsia="宋体" w:hint="default"/>
          <w:sz w:val="20"/>
          <w:szCs w:val="20"/>
        </w:rPr>
      </w:pPr>
    </w:p>
    <w:p>
      <w:pPr>
        <w:pStyle w:val="BodyText"/>
        <w:spacing w:line="237" w:lineRule="auto"/>
        <w:ind w:left="138" w:right="147"/>
        <w:jc w:val="both"/>
      </w:pPr>
      <w:r>
        <w:rPr>
          <w:spacing w:val="-2"/>
        </w:rPr>
        <w:t>根据《财政部关于修订印发一般企业财务报表格式的通知》</w:t>
      </w:r>
      <w:r>
        <w:rPr>
          <w:rFonts w:ascii="宋体" w:hAnsi="宋体" w:cs="宋体" w:eastAsia="宋体" w:hint="default"/>
          <w:spacing w:val="-2"/>
        </w:rPr>
        <w:t>(</w:t>
      </w:r>
      <w:r>
        <w:rPr>
          <w:spacing w:val="-2"/>
        </w:rPr>
        <w:t>财会</w:t>
      </w:r>
      <w:r>
        <w:rPr>
          <w:rFonts w:ascii="宋体" w:hAnsi="宋体" w:cs="宋体" w:eastAsia="宋体" w:hint="default"/>
          <w:spacing w:val="-2"/>
        </w:rPr>
        <w:t>[2017]30</w:t>
      </w:r>
      <w:r>
        <w:rPr>
          <w:rFonts w:ascii="宋体" w:hAnsi="宋体" w:cs="宋体" w:eastAsia="宋体" w:hint="default"/>
          <w:spacing w:val="-14"/>
        </w:rPr>
        <w:t> </w:t>
      </w:r>
      <w:r>
        <w:rPr>
          <w:spacing w:val="-3"/>
        </w:rPr>
        <w:t>号</w:t>
      </w:r>
      <w:r>
        <w:rPr>
          <w:rFonts w:ascii="宋体" w:hAnsi="宋体" w:cs="宋体" w:eastAsia="宋体" w:hint="default"/>
          <w:spacing w:val="-3"/>
        </w:rPr>
        <w:t>)</w:t>
      </w:r>
      <w:r>
        <w:rPr>
          <w:spacing w:val="-3"/>
        </w:rPr>
        <w:t>要求，本集团在利</w:t>
      </w:r>
      <w:r>
        <w:rPr>
          <w:spacing w:val="-89"/>
        </w:rPr>
        <w:t> </w:t>
      </w:r>
      <w:r>
        <w:rPr>
          <w:spacing w:val="-89"/>
        </w:rPr>
      </w:r>
      <w:r>
        <w:rPr>
          <w:spacing w:val="-2"/>
        </w:rPr>
        <w:t>润表中的“营业利润”项目之上单独列报“资产处置收益”项目，原在“营业外收入”和“营业</w:t>
      </w:r>
      <w:r>
        <w:rPr>
          <w:spacing w:val="-26"/>
        </w:rPr>
        <w:t> </w:t>
      </w:r>
      <w:r>
        <w:rPr>
          <w:spacing w:val="-26"/>
        </w:rPr>
      </w:r>
      <w:r>
        <w:rPr>
          <w:spacing w:val="-2"/>
        </w:rPr>
        <w:t>外支出”的部分非流动资产处置损益，改为在“资产处置收益”中列报；本集团相应追溯重述了</w:t>
      </w:r>
      <w:r>
        <w:rPr>
          <w:spacing w:val="-25"/>
        </w:rPr>
        <w:t> </w:t>
      </w:r>
      <w:r>
        <w:rPr>
          <w:spacing w:val="-25"/>
        </w:rPr>
      </w:r>
      <w:r>
        <w:rPr/>
        <w:t>比较利润表。该会计政策变更对合并及公司净利润和股东权益无影响。</w:t>
      </w:r>
    </w:p>
    <w:p>
      <w:pPr>
        <w:spacing w:line="240" w:lineRule="auto" w:before="9"/>
        <w:rPr>
          <w:rFonts w:ascii="宋体" w:hAnsi="宋体" w:cs="宋体" w:eastAsia="宋体" w:hint="default"/>
          <w:sz w:val="20"/>
          <w:szCs w:val="20"/>
        </w:rPr>
      </w:pPr>
    </w:p>
    <w:p>
      <w:pPr>
        <w:pStyle w:val="BodyText"/>
        <w:spacing w:line="240" w:lineRule="auto"/>
        <w:ind w:left="138" w:right="0"/>
        <w:jc w:val="left"/>
      </w:pPr>
      <w:r>
        <w:rPr/>
        <w:t>政府补助列报方式变更</w:t>
      </w:r>
    </w:p>
    <w:p>
      <w:pPr>
        <w:spacing w:line="240" w:lineRule="auto" w:before="11"/>
        <w:rPr>
          <w:rFonts w:ascii="宋体" w:hAnsi="宋体" w:cs="宋体" w:eastAsia="宋体" w:hint="default"/>
          <w:sz w:val="20"/>
          <w:szCs w:val="20"/>
        </w:rPr>
      </w:pPr>
    </w:p>
    <w:p>
      <w:pPr>
        <w:pStyle w:val="BodyText"/>
        <w:spacing w:line="237" w:lineRule="auto"/>
        <w:ind w:left="138" w:right="157"/>
        <w:jc w:val="both"/>
      </w:pPr>
      <w:r>
        <w:rPr/>
        <w:t>根据《关于印发修订〈企业会计准则第</w:t>
      </w:r>
      <w:r>
        <w:rPr>
          <w:spacing w:val="-56"/>
        </w:rPr>
        <w:t> </w:t>
      </w:r>
      <w:r>
        <w:rPr>
          <w:rFonts w:ascii="宋体" w:hAnsi="宋体" w:cs="宋体" w:eastAsia="宋体" w:hint="default"/>
        </w:rPr>
        <w:t>16</w:t>
      </w:r>
      <w:r>
        <w:rPr>
          <w:rFonts w:ascii="宋体" w:hAnsi="宋体" w:cs="宋体" w:eastAsia="宋体" w:hint="default"/>
          <w:spacing w:val="-56"/>
        </w:rPr>
        <w:t> </w:t>
      </w:r>
      <w:r>
        <w:rPr/>
        <w:t>号——政府补助〉的通知》</w:t>
      </w:r>
      <w:r>
        <w:rPr>
          <w:rFonts w:ascii="宋体" w:hAnsi="宋体" w:cs="宋体" w:eastAsia="宋体" w:hint="default"/>
        </w:rPr>
        <w:t>(</w:t>
      </w:r>
      <w:r>
        <w:rPr/>
        <w:t>财会</w:t>
      </w:r>
      <w:r>
        <w:rPr>
          <w:rFonts w:ascii="宋体" w:hAnsi="宋体" w:cs="宋体" w:eastAsia="宋体" w:hint="default"/>
        </w:rPr>
        <w:t>[2017]15</w:t>
      </w:r>
      <w:r>
        <w:rPr>
          <w:rFonts w:ascii="宋体" w:hAnsi="宋体" w:cs="宋体" w:eastAsia="宋体" w:hint="default"/>
          <w:spacing w:val="-55"/>
        </w:rPr>
        <w:t> </w:t>
      </w:r>
      <w:r>
        <w:rPr/>
        <w:t>号</w:t>
      </w:r>
      <w:r>
        <w:rPr>
          <w:rFonts w:ascii="宋体" w:hAnsi="宋体" w:cs="宋体" w:eastAsia="宋体" w:hint="default"/>
        </w:rPr>
        <w:t>)</w:t>
      </w:r>
      <w:r>
        <w:rPr/>
        <w:t>要求，</w:t>
      </w:r>
      <w:r>
        <w:rPr>
          <w:w w:val="100"/>
        </w:rPr>
        <w:t> </w:t>
      </w:r>
      <w:r>
        <w:rPr>
          <w:spacing w:val="-2"/>
        </w:rPr>
        <w:t>本集团在利润表中的“营业利润”项目之上单独列报“其他收益”项目，与企业日常活动相关的</w:t>
      </w:r>
      <w:r>
        <w:rPr>
          <w:spacing w:val="-26"/>
        </w:rPr>
        <w:t> </w:t>
      </w:r>
      <w:r>
        <w:rPr>
          <w:spacing w:val="-26"/>
        </w:rPr>
      </w:r>
      <w:r>
        <w:rPr>
          <w:spacing w:val="-2"/>
        </w:rPr>
        <w:t>政府补助由在“营业外收入”中列报改为在“其他收益”中列报；按照该准则的衔接规定，本集</w:t>
      </w:r>
      <w:r>
        <w:rPr>
          <w:spacing w:val="-27"/>
        </w:rPr>
        <w:t> </w:t>
      </w:r>
      <w:r>
        <w:rPr>
          <w:spacing w:val="-27"/>
        </w:rPr>
      </w:r>
      <w:r>
        <w:rPr/>
        <w:t>团对</w:t>
      </w:r>
      <w:r>
        <w:rPr>
          <w:spacing w:val="-53"/>
        </w:rPr>
        <w:t> </w:t>
      </w:r>
      <w:r>
        <w:rPr>
          <w:rFonts w:ascii="宋体" w:hAnsi="宋体" w:cs="宋体" w:eastAsia="宋体" w:hint="default"/>
        </w:rPr>
        <w:t>2017</w:t>
      </w:r>
      <w:r>
        <w:rPr>
          <w:rFonts w:ascii="宋体" w:hAnsi="宋体" w:cs="宋体" w:eastAsia="宋体" w:hint="default"/>
          <w:spacing w:val="-55"/>
        </w:rPr>
        <w:t> </w:t>
      </w:r>
      <w:r>
        <w:rPr/>
        <w:t>年</w:t>
      </w:r>
      <w:r>
        <w:rPr>
          <w:spacing w:val="-53"/>
        </w:rPr>
        <w:t> </w:t>
      </w:r>
      <w:r>
        <w:rPr>
          <w:rFonts w:ascii="宋体" w:hAnsi="宋体" w:cs="宋体" w:eastAsia="宋体" w:hint="default"/>
        </w:rPr>
        <w:t>1</w:t>
      </w:r>
      <w:r>
        <w:rPr>
          <w:rFonts w:ascii="宋体" w:hAnsi="宋体" w:cs="宋体" w:eastAsia="宋体" w:hint="default"/>
          <w:spacing w:val="-55"/>
        </w:rPr>
        <w:t> </w:t>
      </w:r>
      <w:r>
        <w:rPr/>
        <w:t>月</w:t>
      </w:r>
      <w:r>
        <w:rPr>
          <w:spacing w:val="-53"/>
        </w:rPr>
        <w:t> </w:t>
      </w:r>
      <w:r>
        <w:rPr>
          <w:rFonts w:ascii="宋体" w:hAnsi="宋体" w:cs="宋体" w:eastAsia="宋体" w:hint="default"/>
        </w:rPr>
        <w:t>1</w:t>
      </w:r>
      <w:r>
        <w:rPr>
          <w:rFonts w:ascii="宋体" w:hAnsi="宋体" w:cs="宋体" w:eastAsia="宋体" w:hint="default"/>
          <w:spacing w:val="-55"/>
        </w:rPr>
        <w:t> </w:t>
      </w:r>
      <w:r>
        <w:rPr/>
        <w:t>日前存在的政府补助采用未来适用法处理，对</w:t>
      </w:r>
      <w:r>
        <w:rPr>
          <w:spacing w:val="-52"/>
        </w:rPr>
        <w:t> </w:t>
      </w:r>
      <w:r>
        <w:rPr>
          <w:rFonts w:ascii="宋体" w:hAnsi="宋体" w:cs="宋体" w:eastAsia="宋体" w:hint="default"/>
        </w:rPr>
        <w:t>2017</w:t>
      </w:r>
      <w:r>
        <w:rPr>
          <w:rFonts w:ascii="宋体" w:hAnsi="宋体" w:cs="宋体" w:eastAsia="宋体" w:hint="default"/>
          <w:spacing w:val="-55"/>
        </w:rPr>
        <w:t> </w:t>
      </w:r>
      <w:r>
        <w:rPr/>
        <w:t>年</w:t>
      </w:r>
      <w:r>
        <w:rPr>
          <w:spacing w:val="-53"/>
        </w:rPr>
        <w:t> </w:t>
      </w:r>
      <w:r>
        <w:rPr>
          <w:rFonts w:ascii="宋体" w:hAnsi="宋体" w:cs="宋体" w:eastAsia="宋体" w:hint="default"/>
        </w:rPr>
        <w:t>1</w:t>
      </w:r>
      <w:r>
        <w:rPr>
          <w:rFonts w:ascii="宋体" w:hAnsi="宋体" w:cs="宋体" w:eastAsia="宋体" w:hint="default"/>
          <w:spacing w:val="-55"/>
        </w:rPr>
        <w:t> </w:t>
      </w:r>
      <w:r>
        <w:rPr/>
        <w:t>月</w:t>
      </w:r>
      <w:r>
        <w:rPr>
          <w:spacing w:val="-52"/>
        </w:rPr>
        <w:t> </w:t>
      </w:r>
      <w:r>
        <w:rPr>
          <w:rFonts w:ascii="宋体" w:hAnsi="宋体" w:cs="宋体" w:eastAsia="宋体" w:hint="default"/>
        </w:rPr>
        <w:t>1</w:t>
      </w:r>
      <w:r>
        <w:rPr>
          <w:rFonts w:ascii="宋体" w:hAnsi="宋体" w:cs="宋体" w:eastAsia="宋体" w:hint="default"/>
          <w:spacing w:val="-53"/>
        </w:rPr>
        <w:t> </w:t>
      </w:r>
      <w:r>
        <w:rPr/>
        <w:t>日至该准则施行</w:t>
      </w:r>
    </w:p>
    <w:p>
      <w:pPr>
        <w:pStyle w:val="BodyText"/>
        <w:spacing w:line="272" w:lineRule="exact" w:before="26"/>
        <w:ind w:left="138" w:right="209"/>
        <w:jc w:val="left"/>
      </w:pPr>
      <w:r>
        <w:rPr/>
        <w:t>日</w:t>
      </w:r>
      <w:r>
        <w:rPr>
          <w:rFonts w:ascii="宋体" w:hAnsi="宋体" w:cs="宋体" w:eastAsia="宋体" w:hint="default"/>
        </w:rPr>
        <w:t>(2017</w:t>
      </w:r>
      <w:r>
        <w:rPr>
          <w:rFonts w:ascii="宋体" w:hAnsi="宋体" w:cs="宋体" w:eastAsia="宋体" w:hint="default"/>
          <w:spacing w:val="-53"/>
        </w:rPr>
        <w:t> </w:t>
      </w:r>
      <w:r>
        <w:rPr/>
        <w:t>年</w:t>
      </w:r>
      <w:r>
        <w:rPr>
          <w:spacing w:val="-55"/>
        </w:rPr>
        <w:t> </w:t>
      </w:r>
      <w:r>
        <w:rPr>
          <w:rFonts w:ascii="宋体" w:hAnsi="宋体" w:cs="宋体" w:eastAsia="宋体" w:hint="default"/>
        </w:rPr>
        <w:t>6</w:t>
      </w:r>
      <w:r>
        <w:rPr>
          <w:rFonts w:ascii="宋体" w:hAnsi="宋体" w:cs="宋体" w:eastAsia="宋体" w:hint="default"/>
          <w:spacing w:val="-53"/>
        </w:rPr>
        <w:t> </w:t>
      </w:r>
      <w:r>
        <w:rPr/>
        <w:t>月</w:t>
      </w:r>
      <w:r>
        <w:rPr>
          <w:spacing w:val="-55"/>
        </w:rPr>
        <w:t> </w:t>
      </w:r>
      <w:r>
        <w:rPr>
          <w:rFonts w:ascii="宋体" w:hAnsi="宋体" w:cs="宋体" w:eastAsia="宋体" w:hint="default"/>
        </w:rPr>
        <w:t>12</w:t>
      </w:r>
      <w:r>
        <w:rPr>
          <w:rFonts w:ascii="宋体" w:hAnsi="宋体" w:cs="宋体" w:eastAsia="宋体" w:hint="default"/>
          <w:spacing w:val="-55"/>
        </w:rPr>
        <w:t> </w:t>
      </w:r>
      <w:r>
        <w:rPr/>
        <w:t>日</w:t>
      </w:r>
      <w:r>
        <w:rPr>
          <w:rFonts w:ascii="宋体" w:hAnsi="宋体" w:cs="宋体" w:eastAsia="宋体" w:hint="default"/>
        </w:rPr>
        <w:t>)</w:t>
      </w:r>
      <w:r>
        <w:rPr/>
        <w:t>之间新增的政府补助根据本准则进行调整。该会计政策变更对合并及公司</w:t>
      </w:r>
      <w:r>
        <w:rPr>
          <w:w w:val="100"/>
        </w:rPr>
        <w:t> </w:t>
      </w:r>
      <w:r>
        <w:rPr/>
        <w:t>净利润和股东权益无影响。</w:t>
      </w:r>
    </w:p>
    <w:p>
      <w:pPr>
        <w:spacing w:line="240" w:lineRule="auto" w:before="4"/>
        <w:rPr>
          <w:rFonts w:ascii="宋体" w:hAnsi="宋体" w:cs="宋体" w:eastAsia="宋体" w:hint="default"/>
          <w:sz w:val="23"/>
          <w:szCs w:val="23"/>
        </w:rPr>
      </w:pPr>
    </w:p>
    <w:p>
      <w:pPr>
        <w:pStyle w:val="Heading3"/>
        <w:spacing w:line="240" w:lineRule="auto"/>
        <w:ind w:left="138" w:right="0"/>
        <w:jc w:val="left"/>
        <w:rPr>
          <w:b w:val="0"/>
          <w:bCs w:val="0"/>
        </w:rPr>
      </w:pPr>
      <w:r>
        <w:rPr>
          <w:rFonts w:ascii="宋体" w:hAnsi="宋体" w:cs="宋体" w:eastAsia="宋体" w:hint="default"/>
        </w:rPr>
        <w:t>(2)</w:t>
      </w:r>
      <w:r>
        <w:rPr/>
        <w:t>、重要会计估计变更</w:t>
      </w:r>
      <w:r>
        <w:rPr>
          <w:b w:val="0"/>
          <w:bCs w:val="0"/>
        </w:rPr>
      </w:r>
    </w:p>
    <w:p>
      <w:pPr>
        <w:pStyle w:val="BodyText"/>
        <w:spacing w:line="240" w:lineRule="auto" w:before="56"/>
        <w:ind w:left="138" w:right="0"/>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pStyle w:val="Heading3"/>
        <w:spacing w:line="240" w:lineRule="auto"/>
        <w:ind w:left="138" w:right="0"/>
        <w:jc w:val="left"/>
        <w:rPr>
          <w:b w:val="0"/>
          <w:bCs w:val="0"/>
        </w:rPr>
      </w:pPr>
      <w:r>
        <w:rPr>
          <w:rFonts w:ascii="宋体" w:hAnsi="宋体" w:cs="宋体" w:eastAsia="宋体" w:hint="default"/>
        </w:rPr>
        <w:t>34.</w:t>
      </w:r>
      <w:r>
        <w:rPr>
          <w:rFonts w:ascii="宋体" w:hAnsi="宋体" w:cs="宋体" w:eastAsia="宋体" w:hint="default"/>
          <w:spacing w:val="2"/>
        </w:rPr>
        <w:t> </w:t>
      </w:r>
      <w:r>
        <w:rPr/>
        <w:t>其他</w:t>
      </w:r>
      <w:r>
        <w:rPr>
          <w:b w:val="0"/>
          <w:bCs w:val="0"/>
        </w:rPr>
      </w:r>
    </w:p>
    <w:p>
      <w:pPr>
        <w:pStyle w:val="BodyText"/>
        <w:tabs>
          <w:tab w:pos="980" w:val="left" w:leader="none"/>
        </w:tabs>
        <w:spacing w:line="240" w:lineRule="auto" w:before="56"/>
        <w:ind w:left="138" w:right="0"/>
        <w:jc w:val="left"/>
      </w:pPr>
      <w:r>
        <w:rPr>
          <w:spacing w:val="-1"/>
        </w:rPr>
        <w:t>□适用</w:t>
        <w:tab/>
      </w:r>
      <w:r>
        <w:rPr>
          <w:spacing w:val="-2"/>
        </w:rPr>
        <w:t>√不适用</w:t>
      </w:r>
    </w:p>
    <w:p>
      <w:pPr>
        <w:spacing w:after="0" w:line="240" w:lineRule="auto"/>
        <w:jc w:val="left"/>
        <w:sectPr>
          <w:pgSz w:w="11910" w:h="16840"/>
          <w:pgMar w:header="857" w:footer="1195" w:top="1320" w:bottom="1380" w:left="1660" w:right="1120"/>
        </w:sectPr>
      </w:pPr>
    </w:p>
    <w:p>
      <w:pPr>
        <w:spacing w:line="240" w:lineRule="auto" w:before="2"/>
        <w:rPr>
          <w:rFonts w:ascii="宋体" w:hAnsi="宋体" w:cs="宋体" w:eastAsia="宋体" w:hint="default"/>
          <w:sz w:val="9"/>
          <w:szCs w:val="9"/>
        </w:rPr>
      </w:pPr>
    </w:p>
    <w:p>
      <w:pPr>
        <w:pStyle w:val="Heading3"/>
        <w:spacing w:line="240" w:lineRule="auto" w:before="36"/>
        <w:ind w:left="138" w:right="0"/>
        <w:jc w:val="both"/>
        <w:rPr>
          <w:b w:val="0"/>
          <w:bCs w:val="0"/>
        </w:rPr>
      </w:pPr>
      <w:r>
        <w:rPr/>
        <w:t>六、税项</w:t>
      </w:r>
      <w:r>
        <w:rPr>
          <w:b w:val="0"/>
          <w:bCs w:val="0"/>
        </w:rPr>
      </w:r>
    </w:p>
    <w:p>
      <w:pPr>
        <w:tabs>
          <w:tab w:pos="562" w:val="left" w:leader="none"/>
        </w:tabs>
        <w:spacing w:line="290" w:lineRule="auto" w:before="58"/>
        <w:ind w:left="138" w:right="7243"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主要税种及税率</w:t>
      </w:r>
      <w:r>
        <w:rPr>
          <w:rFonts w:ascii="宋体" w:hAnsi="宋体" w:cs="宋体" w:eastAsia="宋体" w:hint="default"/>
          <w:b/>
          <w:bCs/>
          <w:spacing w:val="-104"/>
          <w:sz w:val="21"/>
          <w:szCs w:val="21"/>
        </w:rPr>
        <w:t> </w:t>
      </w:r>
      <w:r>
        <w:rPr>
          <w:rFonts w:ascii="宋体" w:hAnsi="宋体" w:cs="宋体" w:eastAsia="宋体" w:hint="default"/>
          <w:sz w:val="21"/>
          <w:szCs w:val="21"/>
        </w:rPr>
        <w:t>主要税种及税率情况</w:t>
      </w:r>
    </w:p>
    <w:p>
      <w:pPr>
        <w:pStyle w:val="BodyText"/>
        <w:spacing w:line="230" w:lineRule="exact"/>
        <w:ind w:left="138" w:right="0"/>
        <w:jc w:val="both"/>
      </w:pPr>
      <w:r>
        <w:rPr/>
        <w:t>√适用</w:t>
      </w:r>
      <w:r>
        <w:rPr>
          <w:spacing w:val="-1"/>
        </w:rPr>
        <w:t> </w:t>
      </w:r>
      <w:r>
        <w:rPr/>
        <w:t>□不适用</w:t>
      </w:r>
    </w:p>
    <w:p>
      <w:pPr>
        <w:spacing w:line="240" w:lineRule="auto" w:before="8"/>
        <w:rPr>
          <w:rFonts w:ascii="宋体" w:hAnsi="宋体" w:cs="宋体" w:eastAsia="宋体" w:hint="default"/>
          <w:sz w:val="20"/>
          <w:szCs w:val="20"/>
        </w:rPr>
      </w:pPr>
    </w:p>
    <w:p>
      <w:pPr>
        <w:pStyle w:val="BodyText"/>
        <w:spacing w:line="273" w:lineRule="exact"/>
        <w:ind w:left="138" w:right="0"/>
        <w:jc w:val="both"/>
      </w:pPr>
      <w:r>
        <w:rPr/>
        <w:t>存在不同企业所得税税率纳税主体的，披露情况说明</w:t>
      </w:r>
    </w:p>
    <w:p>
      <w:pPr>
        <w:pStyle w:val="BodyText"/>
        <w:spacing w:line="475" w:lineRule="auto"/>
        <w:ind w:left="138" w:right="5042"/>
        <w:jc w:val="left"/>
      </w:pPr>
      <w:r>
        <w:rPr/>
        <w:t>√适用</w:t>
      </w:r>
      <w:r>
        <w:rPr>
          <w:spacing w:val="-2"/>
        </w:rPr>
        <w:t> </w:t>
      </w:r>
      <w:r>
        <w:rPr/>
        <w:t>□不适用</w:t>
      </w:r>
      <w:r>
        <w:rPr>
          <w:w w:val="100"/>
        </w:rPr>
        <w:t> </w:t>
      </w:r>
      <w:r>
        <w:rPr>
          <w:spacing w:val="-2"/>
        </w:rPr>
        <w:t>本集团适用的主要税种及税率如下：</w:t>
      </w:r>
    </w:p>
    <w:p>
      <w:pPr>
        <w:pStyle w:val="BodyText"/>
        <w:spacing w:line="237" w:lineRule="auto" w:before="66"/>
        <w:ind w:left="138" w:right="317"/>
        <w:jc w:val="both"/>
      </w:pPr>
      <w:r>
        <w:rPr>
          <w:rFonts w:ascii="宋体" w:hAnsi="宋体" w:cs="宋体" w:eastAsia="宋体" w:hint="default"/>
        </w:rPr>
        <w:t>(1)</w:t>
      </w:r>
      <w:r>
        <w:rPr>
          <w:rFonts w:ascii="宋体" w:hAnsi="宋体" w:cs="宋体" w:eastAsia="宋体" w:hint="default"/>
          <w:spacing w:val="-3"/>
        </w:rPr>
        <w:t> </w:t>
      </w:r>
      <w:r>
        <w:rPr/>
        <w:t>增值税–根据国家税务法规，本集团产品销售收入为计征增值税收入。因集团内各分公司及</w:t>
      </w:r>
      <w:r>
        <w:rPr>
          <w:w w:val="100"/>
        </w:rPr>
        <w:t> </w:t>
      </w:r>
      <w:r>
        <w:rPr>
          <w:spacing w:val="-2"/>
        </w:rPr>
        <w:t>子公司的个别情况，增值税征收方法有所不同。个别分公司或子公司为增值税一般纳税人的，增</w:t>
      </w:r>
      <w:r>
        <w:rPr>
          <w:spacing w:val="-25"/>
        </w:rPr>
        <w:t> </w:t>
      </w:r>
      <w:r>
        <w:rPr>
          <w:spacing w:val="-25"/>
        </w:rPr>
      </w:r>
      <w:r>
        <w:rPr/>
        <w:t>值税由买方按销售额的</w:t>
      </w:r>
      <w:r>
        <w:rPr>
          <w:spacing w:val="-57"/>
        </w:rPr>
        <w:t> </w:t>
      </w:r>
      <w:r>
        <w:rPr>
          <w:rFonts w:ascii="宋体" w:hAnsi="宋体" w:cs="宋体" w:eastAsia="宋体" w:hint="default"/>
        </w:rPr>
        <w:t>17%</w:t>
      </w:r>
      <w:r>
        <w:rPr/>
        <w:t>计算连同销售金额一并支付分公司或子公司，分公司及子公司在扣除</w:t>
      </w:r>
      <w:r>
        <w:rPr>
          <w:w w:val="100"/>
        </w:rPr>
        <w:t> </w:t>
      </w:r>
      <w:r>
        <w:rPr/>
        <w:t>那些因购进货物所支付而允许抵扣的增值税之后上缴税务机关。</w:t>
      </w:r>
    </w:p>
    <w:p>
      <w:pPr>
        <w:spacing w:line="240" w:lineRule="auto" w:before="9"/>
        <w:rPr>
          <w:rFonts w:ascii="宋体" w:hAnsi="宋体" w:cs="宋体" w:eastAsia="宋体" w:hint="default"/>
          <w:sz w:val="20"/>
          <w:szCs w:val="20"/>
        </w:rPr>
      </w:pPr>
    </w:p>
    <w:p>
      <w:pPr>
        <w:pStyle w:val="BodyText"/>
        <w:spacing w:line="273" w:lineRule="exact"/>
        <w:ind w:left="138" w:right="0"/>
        <w:jc w:val="both"/>
      </w:pPr>
      <w:r>
        <w:rPr/>
        <w:t>财政部和国家税务总局</w:t>
      </w:r>
      <w:r>
        <w:rPr>
          <w:spacing w:val="-49"/>
        </w:rPr>
        <w:t> </w:t>
      </w:r>
      <w:r>
        <w:rPr>
          <w:rFonts w:ascii="宋体" w:hAnsi="宋体" w:cs="宋体" w:eastAsia="宋体" w:hint="default"/>
        </w:rPr>
        <w:t>2013</w:t>
      </w:r>
      <w:r>
        <w:rPr>
          <w:rFonts w:ascii="宋体" w:hAnsi="宋体" w:cs="宋体" w:eastAsia="宋体" w:hint="default"/>
          <w:spacing w:val="-50"/>
        </w:rPr>
        <w:t> </w:t>
      </w:r>
      <w:r>
        <w:rPr/>
        <w:t>年</w:t>
      </w:r>
      <w:r>
        <w:rPr>
          <w:spacing w:val="-52"/>
        </w:rPr>
        <w:t> </w:t>
      </w:r>
      <w:r>
        <w:rPr>
          <w:rFonts w:ascii="宋体" w:hAnsi="宋体" w:cs="宋体" w:eastAsia="宋体" w:hint="default"/>
        </w:rPr>
        <w:t>5</w:t>
      </w:r>
      <w:r>
        <w:rPr>
          <w:rFonts w:ascii="宋体" w:hAnsi="宋体" w:cs="宋体" w:eastAsia="宋体" w:hint="default"/>
          <w:spacing w:val="-50"/>
        </w:rPr>
        <w:t> </w:t>
      </w:r>
      <w:r>
        <w:rPr/>
        <w:t>月</w:t>
      </w:r>
      <w:r>
        <w:rPr>
          <w:spacing w:val="-50"/>
        </w:rPr>
        <w:t> </w:t>
      </w:r>
      <w:r>
        <w:rPr>
          <w:rFonts w:ascii="宋体" w:hAnsi="宋体" w:cs="宋体" w:eastAsia="宋体" w:hint="default"/>
        </w:rPr>
        <w:t>24</w:t>
      </w:r>
      <w:r>
        <w:rPr>
          <w:rFonts w:ascii="宋体" w:hAnsi="宋体" w:cs="宋体" w:eastAsia="宋体" w:hint="default"/>
          <w:spacing w:val="-50"/>
        </w:rPr>
        <w:t> </w:t>
      </w:r>
      <w:r>
        <w:rPr/>
        <w:t>日联合印发财税</w:t>
      </w:r>
      <w:r>
        <w:rPr>
          <w:rFonts w:ascii="宋体" w:hAnsi="宋体" w:cs="宋体" w:eastAsia="宋体" w:hint="default"/>
        </w:rPr>
        <w:t>[2013]37</w:t>
      </w:r>
      <w:r>
        <w:rPr>
          <w:rFonts w:ascii="宋体" w:hAnsi="宋体" w:cs="宋体" w:eastAsia="宋体" w:hint="default"/>
          <w:spacing w:val="-52"/>
        </w:rPr>
        <w:t> </w:t>
      </w:r>
      <w:r>
        <w:rPr>
          <w:spacing w:val="-5"/>
        </w:rPr>
        <w:t>号《财政部、国家税务总局关于</w:t>
      </w:r>
    </w:p>
    <w:p>
      <w:pPr>
        <w:pStyle w:val="BodyText"/>
        <w:spacing w:line="272" w:lineRule="exact"/>
        <w:ind w:left="138" w:right="0"/>
        <w:jc w:val="both"/>
        <w:rPr>
          <w:rFonts w:ascii="宋体" w:hAnsi="宋体" w:cs="宋体" w:eastAsia="宋体" w:hint="default"/>
        </w:rPr>
      </w:pPr>
      <w:r>
        <w:rPr>
          <w:spacing w:val="-3"/>
        </w:rPr>
        <w:t>在全国开展交通运输业和部分现代服务业营业税改征增值税试点税收政策的通知》，从</w:t>
      </w:r>
      <w:r>
        <w:rPr>
          <w:spacing w:val="-28"/>
        </w:rPr>
        <w:t> </w:t>
      </w:r>
      <w:r>
        <w:rPr>
          <w:rFonts w:ascii="宋体" w:hAnsi="宋体" w:cs="宋体" w:eastAsia="宋体" w:hint="default"/>
        </w:rPr>
        <w:t>2013</w:t>
      </w:r>
      <w:r>
        <w:rPr>
          <w:rFonts w:ascii="宋体" w:hAnsi="宋体" w:cs="宋体" w:eastAsia="宋体" w:hint="default"/>
          <w:spacing w:val="-32"/>
        </w:rPr>
        <w:t> </w:t>
      </w:r>
      <w:r>
        <w:rPr/>
        <w:t>年</w:t>
      </w:r>
      <w:r>
        <w:rPr>
          <w:spacing w:val="-32"/>
        </w:rPr>
        <w:t> </w:t>
      </w:r>
      <w:r>
        <w:rPr>
          <w:rFonts w:ascii="宋体" w:hAnsi="宋体" w:cs="宋体" w:eastAsia="宋体" w:hint="default"/>
        </w:rPr>
        <w:t>8</w:t>
      </w:r>
    </w:p>
    <w:p>
      <w:pPr>
        <w:pStyle w:val="BodyText"/>
        <w:spacing w:line="272" w:lineRule="exact" w:before="27"/>
        <w:ind w:left="138" w:right="94"/>
        <w:jc w:val="left"/>
      </w:pPr>
      <w:r>
        <w:rPr/>
        <w:t>月</w:t>
      </w:r>
      <w:r>
        <w:rPr>
          <w:spacing w:val="-52"/>
        </w:rPr>
        <w:t> </w:t>
      </w:r>
      <w:r>
        <w:rPr>
          <w:rFonts w:ascii="宋体" w:hAnsi="宋体" w:cs="宋体" w:eastAsia="宋体" w:hint="default"/>
        </w:rPr>
        <w:t>1</w:t>
      </w:r>
      <w:r>
        <w:rPr>
          <w:rFonts w:ascii="宋体" w:hAnsi="宋体" w:cs="宋体" w:eastAsia="宋体" w:hint="default"/>
          <w:spacing w:val="-49"/>
        </w:rPr>
        <w:t> </w:t>
      </w:r>
      <w:r>
        <w:rPr/>
        <w:t>日起在全国范围内开展交通运输业和部分现代服务业营业税改征增值税试点的相关税收政策。</w:t>
      </w:r>
      <w:r>
        <w:rPr>
          <w:w w:val="100"/>
        </w:rPr>
        <w:t> </w:t>
      </w:r>
      <w:r>
        <w:rPr>
          <w:spacing w:val="-2"/>
        </w:rPr>
        <w:t>根据上述文件，本集团提供的技术服务收入适用</w:t>
      </w:r>
      <w:r>
        <w:rPr/>
        <w:t> </w:t>
      </w:r>
      <w:r>
        <w:rPr>
          <w:rFonts w:ascii="宋体" w:hAnsi="宋体" w:cs="宋体" w:eastAsia="宋体" w:hint="default"/>
          <w:spacing w:val="-2"/>
        </w:rPr>
        <w:t>6%</w:t>
      </w:r>
      <w:r>
        <w:rPr>
          <w:spacing w:val="-2"/>
        </w:rPr>
        <w:t>增值税税率。</w:t>
      </w:r>
    </w:p>
    <w:p>
      <w:pPr>
        <w:spacing w:line="240" w:lineRule="auto" w:before="10"/>
        <w:rPr>
          <w:rFonts w:ascii="宋体" w:hAnsi="宋体" w:cs="宋体" w:eastAsia="宋体" w:hint="default"/>
          <w:sz w:val="18"/>
          <w:szCs w:val="18"/>
        </w:rPr>
      </w:pPr>
    </w:p>
    <w:p>
      <w:pPr>
        <w:pStyle w:val="BodyText"/>
        <w:spacing w:line="273" w:lineRule="exact"/>
        <w:ind w:left="138" w:right="0"/>
        <w:jc w:val="both"/>
      </w:pPr>
      <w:r>
        <w:rPr>
          <w:spacing w:val="-4"/>
        </w:rPr>
        <w:t>依据财政部、国家税务总局于</w:t>
      </w:r>
      <w:r>
        <w:rPr>
          <w:spacing w:val="-46"/>
        </w:rPr>
        <w:t> </w:t>
      </w:r>
      <w:r>
        <w:rPr>
          <w:rFonts w:ascii="宋体" w:hAnsi="宋体" w:cs="宋体" w:eastAsia="宋体" w:hint="default"/>
        </w:rPr>
        <w:t>2011</w:t>
      </w:r>
      <w:r>
        <w:rPr>
          <w:rFonts w:ascii="宋体" w:hAnsi="宋体" w:cs="宋体" w:eastAsia="宋体" w:hint="default"/>
          <w:spacing w:val="-49"/>
        </w:rPr>
        <w:t> </w:t>
      </w:r>
      <w:r>
        <w:rPr/>
        <w:t>年</w:t>
      </w:r>
      <w:r>
        <w:rPr>
          <w:spacing w:val="-47"/>
        </w:rPr>
        <w:t> </w:t>
      </w:r>
      <w:r>
        <w:rPr>
          <w:rFonts w:ascii="宋体" w:hAnsi="宋体" w:cs="宋体" w:eastAsia="宋体" w:hint="default"/>
        </w:rPr>
        <w:t>10</w:t>
      </w:r>
      <w:r>
        <w:rPr>
          <w:rFonts w:ascii="宋体" w:hAnsi="宋体" w:cs="宋体" w:eastAsia="宋体" w:hint="default"/>
          <w:spacing w:val="-49"/>
        </w:rPr>
        <w:t> </w:t>
      </w:r>
      <w:r>
        <w:rPr/>
        <w:t>月</w:t>
      </w:r>
      <w:r>
        <w:rPr>
          <w:spacing w:val="-47"/>
        </w:rPr>
        <w:t> </w:t>
      </w:r>
      <w:r>
        <w:rPr>
          <w:rFonts w:ascii="宋体" w:hAnsi="宋体" w:cs="宋体" w:eastAsia="宋体" w:hint="default"/>
        </w:rPr>
        <w:t>13</w:t>
      </w:r>
      <w:r>
        <w:rPr>
          <w:rFonts w:ascii="宋体" w:hAnsi="宋体" w:cs="宋体" w:eastAsia="宋体" w:hint="default"/>
          <w:spacing w:val="-47"/>
        </w:rPr>
        <w:t> </w:t>
      </w:r>
      <w:r>
        <w:rPr>
          <w:spacing w:val="-3"/>
        </w:rPr>
        <w:t>日下发的《关于软件产品增值税政策的通知》</w:t>
      </w:r>
      <w:r>
        <w:rPr>
          <w:spacing w:val="-24"/>
        </w:rPr>
        <w:t> </w:t>
      </w:r>
      <w:r>
        <w:rPr>
          <w:rFonts w:ascii="宋体" w:hAnsi="宋体" w:cs="宋体" w:eastAsia="宋体" w:hint="default"/>
        </w:rPr>
        <w:t>(</w:t>
      </w:r>
      <w:r>
        <w:rPr/>
        <w:t>财</w:t>
      </w:r>
    </w:p>
    <w:p>
      <w:pPr>
        <w:pStyle w:val="BodyText"/>
        <w:spacing w:line="237" w:lineRule="auto"/>
        <w:ind w:left="138" w:right="307"/>
        <w:jc w:val="both"/>
      </w:pPr>
      <w:r>
        <w:rPr/>
        <w:t>税</w:t>
      </w:r>
      <w:r>
        <w:rPr>
          <w:rFonts w:ascii="宋体" w:hAnsi="宋体" w:cs="宋体" w:eastAsia="宋体" w:hint="default"/>
        </w:rPr>
        <w:t>[2011]100</w:t>
      </w:r>
      <w:r>
        <w:rPr>
          <w:rFonts w:ascii="宋体" w:hAnsi="宋体" w:cs="宋体" w:eastAsia="宋体" w:hint="default"/>
          <w:spacing w:val="-54"/>
        </w:rPr>
        <w:t> </w:t>
      </w:r>
      <w:r>
        <w:rPr/>
        <w:t>号</w:t>
      </w:r>
      <w:r>
        <w:rPr>
          <w:rFonts w:ascii="宋体" w:hAnsi="宋体" w:cs="宋体" w:eastAsia="宋体" w:hint="default"/>
        </w:rPr>
        <w:t>)</w:t>
      </w:r>
      <w:r>
        <w:rPr/>
        <w:t>，自</w:t>
      </w:r>
      <w:r>
        <w:rPr>
          <w:spacing w:val="-54"/>
        </w:rPr>
        <w:t> </w:t>
      </w:r>
      <w:r>
        <w:rPr>
          <w:rFonts w:ascii="宋体" w:hAnsi="宋体" w:cs="宋体" w:eastAsia="宋体" w:hint="default"/>
        </w:rPr>
        <w:t>2011</w:t>
      </w:r>
      <w:r>
        <w:rPr>
          <w:rFonts w:ascii="宋体" w:hAnsi="宋体" w:cs="宋体" w:eastAsia="宋体" w:hint="default"/>
          <w:spacing w:val="-53"/>
        </w:rPr>
        <w:t> </w:t>
      </w:r>
      <w:r>
        <w:rPr/>
        <w:t>年</w:t>
      </w:r>
      <w:r>
        <w:rPr>
          <w:spacing w:val="-54"/>
        </w:rPr>
        <w:t> </w:t>
      </w:r>
      <w:r>
        <w:rPr>
          <w:rFonts w:ascii="宋体" w:hAnsi="宋体" w:cs="宋体" w:eastAsia="宋体" w:hint="default"/>
        </w:rPr>
        <w:t>1</w:t>
      </w:r>
      <w:r>
        <w:rPr>
          <w:rFonts w:ascii="宋体" w:hAnsi="宋体" w:cs="宋体" w:eastAsia="宋体" w:hint="default"/>
          <w:spacing w:val="-56"/>
        </w:rPr>
        <w:t> </w:t>
      </w:r>
      <w:r>
        <w:rPr/>
        <w:t>月</w:t>
      </w:r>
      <w:r>
        <w:rPr>
          <w:spacing w:val="-54"/>
        </w:rPr>
        <w:t> </w:t>
      </w:r>
      <w:r>
        <w:rPr>
          <w:rFonts w:ascii="宋体" w:hAnsi="宋体" w:cs="宋体" w:eastAsia="宋体" w:hint="default"/>
        </w:rPr>
        <w:t>1</w:t>
      </w:r>
      <w:r>
        <w:rPr>
          <w:rFonts w:ascii="宋体" w:hAnsi="宋体" w:cs="宋体" w:eastAsia="宋体" w:hint="default"/>
          <w:spacing w:val="-56"/>
        </w:rPr>
        <w:t> </w:t>
      </w:r>
      <w:r>
        <w:rPr/>
        <w:t>日起，本公司及本公司北京分公司销售其自行开发生产的计</w:t>
      </w:r>
      <w:r>
        <w:rPr>
          <w:w w:val="100"/>
        </w:rPr>
        <w:t> </w:t>
      </w:r>
      <w:r>
        <w:rPr/>
        <w:t>算机软件产品，可按法定</w:t>
      </w:r>
      <w:r>
        <w:rPr>
          <w:spacing w:val="-58"/>
        </w:rPr>
        <w:t> </w:t>
      </w:r>
      <w:r>
        <w:rPr>
          <w:rFonts w:ascii="宋体" w:hAnsi="宋体" w:cs="宋体" w:eastAsia="宋体" w:hint="default"/>
        </w:rPr>
        <w:t>17%</w:t>
      </w:r>
      <w:r>
        <w:rPr/>
        <w:t>的税率征收增值税后，对其增值税实际税负超过</w:t>
      </w:r>
      <w:r>
        <w:rPr>
          <w:spacing w:val="-58"/>
        </w:rPr>
        <w:t> </w:t>
      </w:r>
      <w:r>
        <w:rPr>
          <w:rFonts w:ascii="宋体" w:hAnsi="宋体" w:cs="宋体" w:eastAsia="宋体" w:hint="default"/>
        </w:rPr>
        <w:t>3%</w:t>
      </w:r>
      <w:r>
        <w:rPr/>
        <w:t>的部分实行即征</w:t>
      </w:r>
      <w:r>
        <w:rPr>
          <w:w w:val="100"/>
        </w:rPr>
        <w:t> </w:t>
      </w:r>
      <w:r>
        <w:rPr>
          <w:spacing w:val="-2"/>
        </w:rPr>
        <w:t>即退政策。本公司的子公司用友政务、上海用友政务软件有限公司、厦门用友烟草软件有限责任</w:t>
      </w:r>
      <w:r>
        <w:rPr>
          <w:spacing w:val="-25"/>
        </w:rPr>
        <w:t> </w:t>
      </w:r>
      <w:r>
        <w:rPr>
          <w:spacing w:val="-25"/>
        </w:rPr>
      </w:r>
      <w:r>
        <w:rPr>
          <w:spacing w:val="-2"/>
        </w:rPr>
        <w:t>公司</w:t>
      </w:r>
      <w:r>
        <w:rPr>
          <w:rFonts w:ascii="宋体" w:hAnsi="宋体" w:cs="宋体" w:eastAsia="宋体" w:hint="default"/>
          <w:spacing w:val="-2"/>
        </w:rPr>
        <w:t>(</w:t>
      </w:r>
      <w:r>
        <w:rPr>
          <w:spacing w:val="-2"/>
        </w:rPr>
        <w:t>以下简称“厦门烟草”)、用友医疗卫生信息系统有限公司</w:t>
      </w:r>
      <w:r>
        <w:rPr>
          <w:rFonts w:ascii="宋体" w:hAnsi="宋体" w:cs="宋体" w:eastAsia="宋体" w:hint="default"/>
          <w:spacing w:val="-2"/>
        </w:rPr>
        <w:t>(</w:t>
      </w:r>
      <w:r>
        <w:rPr>
          <w:spacing w:val="-2"/>
        </w:rPr>
        <w:t>以下简称“用友医疗”)、畅捷</w:t>
      </w:r>
      <w:r>
        <w:rPr>
          <w:spacing w:val="-30"/>
        </w:rPr>
        <w:t> </w:t>
      </w:r>
      <w:r>
        <w:rPr>
          <w:spacing w:val="-30"/>
        </w:rPr>
      </w:r>
      <w:r>
        <w:rPr>
          <w:spacing w:val="-4"/>
        </w:rPr>
        <w:t>通信息技术股份有限公司</w:t>
      </w:r>
      <w:r>
        <w:rPr>
          <w:rFonts w:ascii="宋体" w:hAnsi="宋体" w:cs="宋体" w:eastAsia="宋体" w:hint="default"/>
          <w:spacing w:val="-4"/>
        </w:rPr>
        <w:t>(</w:t>
      </w:r>
      <w:r>
        <w:rPr>
          <w:spacing w:val="-4"/>
        </w:rPr>
        <w:t>以下简称“畅捷通”</w:t>
      </w:r>
      <w:r>
        <w:rPr>
          <w:rFonts w:ascii="宋体" w:hAnsi="宋体" w:cs="宋体" w:eastAsia="宋体" w:hint="default"/>
          <w:spacing w:val="-4"/>
        </w:rPr>
        <w:t>)</w:t>
      </w:r>
      <w:r>
        <w:rPr>
          <w:spacing w:val="-4"/>
        </w:rPr>
        <w:t>、用友金融信息技术股份有限公司</w:t>
      </w:r>
      <w:r>
        <w:rPr>
          <w:rFonts w:ascii="宋体" w:hAnsi="宋体" w:cs="宋体" w:eastAsia="宋体" w:hint="default"/>
          <w:spacing w:val="-4"/>
        </w:rPr>
        <w:t>(</w:t>
      </w:r>
      <w:r>
        <w:rPr>
          <w:spacing w:val="-4"/>
        </w:rPr>
        <w:t>以下简称“用</w:t>
      </w:r>
      <w:r>
        <w:rPr>
          <w:spacing w:val="-31"/>
        </w:rPr>
        <w:t> </w:t>
      </w:r>
      <w:r>
        <w:rPr>
          <w:spacing w:val="-31"/>
        </w:rPr>
      </w:r>
      <w:r>
        <w:rPr>
          <w:spacing w:val="-2"/>
        </w:rPr>
        <w:t>友金融”)、用友审计软件有限公司</w:t>
      </w:r>
      <w:r>
        <w:rPr>
          <w:rFonts w:ascii="宋体" w:hAnsi="宋体" w:cs="宋体" w:eastAsia="宋体" w:hint="default"/>
          <w:spacing w:val="-2"/>
        </w:rPr>
        <w:t>(</w:t>
      </w:r>
      <w:r>
        <w:rPr>
          <w:spacing w:val="-2"/>
        </w:rPr>
        <w:t>以下简称“用友审计”)、新道科技股份有限公司</w:t>
      </w:r>
      <w:r>
        <w:rPr>
          <w:rFonts w:ascii="宋体" w:hAnsi="宋体" w:cs="宋体" w:eastAsia="宋体" w:hint="default"/>
          <w:spacing w:val="-2"/>
        </w:rPr>
        <w:t>(</w:t>
      </w:r>
      <w:r>
        <w:rPr>
          <w:spacing w:val="-2"/>
        </w:rPr>
        <w:t>以下简称</w:t>
      </w:r>
      <w:r>
        <w:rPr>
          <w:spacing w:val="-31"/>
        </w:rPr>
        <w:t> </w:t>
      </w:r>
      <w:r>
        <w:rPr>
          <w:spacing w:val="-31"/>
        </w:rPr>
      </w:r>
      <w:r>
        <w:rPr>
          <w:spacing w:val="-4"/>
        </w:rPr>
        <w:t>“新道科技”)、用友汽车、用友优普信息技术有限公司</w:t>
      </w:r>
      <w:r>
        <w:rPr>
          <w:rFonts w:ascii="宋体" w:hAnsi="宋体" w:cs="宋体" w:eastAsia="宋体" w:hint="default"/>
          <w:spacing w:val="-4"/>
        </w:rPr>
        <w:t>(</w:t>
      </w:r>
      <w:r>
        <w:rPr>
          <w:spacing w:val="-4"/>
        </w:rPr>
        <w:t>以下简称“用友优普”)、用友能源科技</w:t>
      </w:r>
      <w:r>
        <w:rPr>
          <w:spacing w:val="-30"/>
        </w:rPr>
        <w:t> </w:t>
      </w:r>
      <w:r>
        <w:rPr>
          <w:spacing w:val="-30"/>
        </w:rPr>
      </w:r>
      <w:r>
        <w:rPr>
          <w:spacing w:val="-2"/>
        </w:rPr>
        <w:t>有限公司</w:t>
      </w:r>
      <w:r>
        <w:rPr>
          <w:rFonts w:ascii="宋体" w:hAnsi="宋体" w:cs="宋体" w:eastAsia="宋体" w:hint="default"/>
          <w:spacing w:val="-2"/>
        </w:rPr>
        <w:t>(</w:t>
      </w:r>
      <w:r>
        <w:rPr>
          <w:spacing w:val="-2"/>
        </w:rPr>
        <w:t>以下简称“用友能源”)、用友广信网络科技有限公司(“用友广信”)和北京用友艾福</w:t>
      </w:r>
      <w:r>
        <w:rPr>
          <w:spacing w:val="-31"/>
        </w:rPr>
        <w:t> </w:t>
      </w:r>
      <w:r>
        <w:rPr>
          <w:spacing w:val="-31"/>
        </w:rPr>
      </w:r>
      <w:r>
        <w:rPr>
          <w:spacing w:val="-2"/>
        </w:rPr>
        <w:t>斯软件系统有限公司</w:t>
      </w:r>
      <w:r>
        <w:rPr>
          <w:rFonts w:ascii="宋体" w:hAnsi="宋体" w:cs="宋体" w:eastAsia="宋体" w:hint="default"/>
          <w:spacing w:val="-2"/>
        </w:rPr>
        <w:t>(</w:t>
      </w:r>
      <w:r>
        <w:rPr>
          <w:spacing w:val="-2"/>
        </w:rPr>
        <w:t>以下简称“用友艾福斯”)亦已经获得税务局的批准可实施与本公司同一政</w:t>
      </w:r>
      <w:r>
        <w:rPr>
          <w:spacing w:val="-30"/>
        </w:rPr>
        <w:t> </w:t>
      </w:r>
      <w:r>
        <w:rPr>
          <w:spacing w:val="-30"/>
        </w:rPr>
      </w:r>
      <w:r>
        <w:rPr>
          <w:spacing w:val="-2"/>
        </w:rPr>
        <w:t>策；其他分公司及子公司按法定</w:t>
      </w:r>
      <w:r>
        <w:rPr>
          <w:spacing w:val="5"/>
        </w:rPr>
        <w:t> </w:t>
      </w:r>
      <w:r>
        <w:rPr>
          <w:rFonts w:ascii="宋体" w:hAnsi="宋体" w:cs="宋体" w:eastAsia="宋体" w:hint="default"/>
          <w:spacing w:val="-2"/>
        </w:rPr>
        <w:t>17%</w:t>
      </w:r>
      <w:r>
        <w:rPr>
          <w:spacing w:val="-2"/>
        </w:rPr>
        <w:t>的税率征收增值税，不作退还。</w:t>
      </w:r>
    </w:p>
    <w:p>
      <w:pPr>
        <w:spacing w:line="240" w:lineRule="auto" w:before="11"/>
        <w:rPr>
          <w:rFonts w:ascii="宋体" w:hAnsi="宋体" w:cs="宋体" w:eastAsia="宋体" w:hint="default"/>
          <w:sz w:val="20"/>
          <w:szCs w:val="20"/>
        </w:rPr>
      </w:pPr>
    </w:p>
    <w:p>
      <w:pPr>
        <w:pStyle w:val="BodyText"/>
        <w:spacing w:line="237" w:lineRule="auto"/>
        <w:ind w:left="138" w:right="310"/>
        <w:jc w:val="both"/>
      </w:pPr>
      <w:r>
        <w:rPr>
          <w:spacing w:val="-2"/>
        </w:rPr>
        <w:t>另有个别分公司或子公司由增值税一般纳税人转为商业企业小规模纳税人或由商业企业小规模纳</w:t>
      </w:r>
      <w:r>
        <w:rPr>
          <w:spacing w:val="-25"/>
        </w:rPr>
        <w:t> </w:t>
      </w:r>
      <w:r>
        <w:rPr>
          <w:spacing w:val="-25"/>
        </w:rPr>
      </w:r>
      <w:r>
        <w:rPr>
          <w:spacing w:val="-2"/>
        </w:rPr>
        <w:t>税人转为一般纳税人。当其为增值税一般纳税人时，依照以上方法计征增值税。而在被认定为商</w:t>
      </w:r>
      <w:r>
        <w:rPr>
          <w:spacing w:val="-25"/>
        </w:rPr>
        <w:t> </w:t>
      </w:r>
      <w:r>
        <w:rPr>
          <w:spacing w:val="-25"/>
        </w:rPr>
      </w:r>
      <w:r>
        <w:rPr>
          <w:spacing w:val="-3"/>
        </w:rPr>
        <w:t>业企业小规模纳税人期间，在小规模纳税人制度下，其增值税由买方按销售额</w:t>
      </w:r>
      <w:r>
        <w:rPr>
          <w:spacing w:val="-17"/>
        </w:rPr>
        <w:t> </w:t>
      </w:r>
      <w:r>
        <w:rPr>
          <w:rFonts w:ascii="宋体" w:hAnsi="宋体" w:cs="宋体" w:eastAsia="宋体" w:hint="default"/>
        </w:rPr>
        <w:t>3%</w:t>
      </w:r>
      <w:r>
        <w:rPr/>
        <w:t>计算连同销售金</w:t>
      </w:r>
      <w:r>
        <w:rPr>
          <w:spacing w:val="-91"/>
        </w:rPr>
        <w:t> </w:t>
      </w:r>
      <w:r>
        <w:rPr>
          <w:spacing w:val="-91"/>
        </w:rPr>
      </w:r>
      <w:r>
        <w:rPr>
          <w:spacing w:val="-2"/>
        </w:rPr>
        <w:t>额一并支付有关的分公司或子公司，在此简易方法下，那些因购进货物所支付的增值税不能作销</w:t>
      </w:r>
      <w:r>
        <w:rPr>
          <w:spacing w:val="-25"/>
        </w:rPr>
        <w:t> </w:t>
      </w:r>
      <w:r>
        <w:rPr>
          <w:spacing w:val="-25"/>
        </w:rPr>
      </w:r>
      <w:r>
        <w:rPr/>
        <w:t>项抵扣，分公司及子公司直接上缴销项所获取的增值税予税务机关。</w:t>
      </w:r>
    </w:p>
    <w:p>
      <w:pPr>
        <w:spacing w:line="240" w:lineRule="auto" w:before="11"/>
        <w:rPr>
          <w:rFonts w:ascii="宋体" w:hAnsi="宋体" w:cs="宋体" w:eastAsia="宋体" w:hint="default"/>
          <w:sz w:val="20"/>
          <w:szCs w:val="20"/>
        </w:rPr>
      </w:pPr>
    </w:p>
    <w:p>
      <w:pPr>
        <w:pStyle w:val="BodyText"/>
        <w:spacing w:line="237" w:lineRule="auto"/>
        <w:ind w:left="138" w:right="99"/>
        <w:jc w:val="left"/>
      </w:pPr>
      <w:r>
        <w:rPr>
          <w:rFonts w:ascii="宋体" w:hAnsi="宋体" w:cs="宋体" w:eastAsia="宋体" w:hint="default"/>
        </w:rPr>
        <w:t>(2)</w:t>
      </w:r>
      <w:r>
        <w:rPr>
          <w:rFonts w:ascii="宋体" w:hAnsi="宋体" w:cs="宋体" w:eastAsia="宋体" w:hint="default"/>
          <w:spacing w:val="-3"/>
        </w:rPr>
        <w:t> </w:t>
      </w:r>
      <w:r>
        <w:rPr/>
        <w:t>城巿维护建设税–根据国家有关税务法规，除注册地在上海的用友汽车、注册地在北京的用</w:t>
      </w:r>
      <w:r>
        <w:rPr>
          <w:w w:val="100"/>
        </w:rPr>
        <w:t> </w:t>
      </w:r>
      <w:r>
        <w:rPr/>
        <w:t>友优普、用友移动通信技术服务有限公司</w:t>
      </w:r>
      <w:r>
        <w:rPr>
          <w:rFonts w:ascii="宋体" w:hAnsi="宋体" w:cs="宋体" w:eastAsia="宋体" w:hint="default"/>
        </w:rPr>
        <w:t>(</w:t>
      </w:r>
      <w:r>
        <w:rPr/>
        <w:t>以下简称“用友移动”)、畅捷通、用友能源及用友艾</w:t>
      </w:r>
      <w:r>
        <w:rPr>
          <w:w w:val="100"/>
        </w:rPr>
        <w:t> </w:t>
      </w:r>
      <w:r>
        <w:rPr>
          <w:spacing w:val="-4"/>
        </w:rPr>
        <w:t>福斯因另有当地规定而减征外，本集团按实际缴纳的流转税的 </w:t>
      </w:r>
      <w:r>
        <w:rPr>
          <w:rFonts w:ascii="宋体" w:hAnsi="宋体" w:cs="宋体" w:eastAsia="宋体" w:hint="default"/>
          <w:spacing w:val="-6"/>
        </w:rPr>
        <w:t>7%</w:t>
      </w:r>
      <w:r>
        <w:rPr>
          <w:spacing w:val="-6"/>
        </w:rPr>
        <w:t>计缴城巿维护建设税。用友汽车、</w:t>
      </w:r>
      <w:r>
        <w:rPr>
          <w:spacing w:val="-97"/>
        </w:rPr>
        <w:t> </w:t>
      </w:r>
      <w:r>
        <w:rPr>
          <w:spacing w:val="-97"/>
        </w:rPr>
      </w:r>
      <w:r>
        <w:rPr/>
        <w:t>用友优普、用友移动、畅捷通、用友能源及用友艾福斯根据当地税务局认定分别按增值税净额和</w:t>
      </w:r>
      <w:r>
        <w:rPr>
          <w:w w:val="100"/>
        </w:rPr>
        <w:t> </w:t>
      </w:r>
      <w:r>
        <w:rPr/>
        <w:t>营业税税额的</w:t>
      </w:r>
      <w:r>
        <w:rPr>
          <w:spacing w:val="-57"/>
        </w:rPr>
        <w:t> </w:t>
      </w:r>
      <w:r>
        <w:rPr>
          <w:rFonts w:ascii="宋体" w:hAnsi="宋体" w:cs="宋体" w:eastAsia="宋体" w:hint="default"/>
        </w:rPr>
        <w:t>5%</w:t>
      </w:r>
      <w:r>
        <w:rPr/>
        <w:t>计缴此税。</w:t>
      </w:r>
    </w:p>
    <w:p>
      <w:pPr>
        <w:spacing w:line="240" w:lineRule="auto" w:before="11"/>
        <w:rPr>
          <w:rFonts w:ascii="宋体" w:hAnsi="宋体" w:cs="宋体" w:eastAsia="宋体" w:hint="default"/>
          <w:sz w:val="20"/>
          <w:szCs w:val="20"/>
        </w:rPr>
      </w:pPr>
    </w:p>
    <w:p>
      <w:pPr>
        <w:pStyle w:val="BodyText"/>
        <w:spacing w:line="237" w:lineRule="auto"/>
        <w:ind w:left="138" w:right="308"/>
        <w:jc w:val="both"/>
      </w:pPr>
      <w:r>
        <w:rPr>
          <w:spacing w:val="-2"/>
        </w:rPr>
        <w:t>教育费附加–根据国家有关税务法规及当地有关规定，本公司及本公司的各分公司及子公司按应</w:t>
      </w:r>
      <w:r>
        <w:rPr>
          <w:spacing w:val="-25"/>
        </w:rPr>
        <w:t> </w:t>
      </w:r>
      <w:r>
        <w:rPr>
          <w:spacing w:val="-25"/>
        </w:rPr>
      </w:r>
      <w:r>
        <w:rPr/>
        <w:t>缴纳的增值税净额和营业税额的</w:t>
      </w:r>
      <w:r>
        <w:rPr>
          <w:spacing w:val="-26"/>
        </w:rPr>
        <w:t> </w:t>
      </w:r>
      <w:r>
        <w:rPr>
          <w:rFonts w:ascii="宋体" w:hAnsi="宋体" w:cs="宋体" w:eastAsia="宋体" w:hint="default"/>
          <w:spacing w:val="-3"/>
        </w:rPr>
        <w:t>3%</w:t>
      </w:r>
      <w:r>
        <w:rPr>
          <w:spacing w:val="-3"/>
        </w:rPr>
        <w:t>缴纳教育费附加；部分分公司及子公司再按缴纳的增值税净额</w:t>
      </w:r>
      <w:r>
        <w:rPr>
          <w:spacing w:val="-95"/>
        </w:rPr>
        <w:t> </w:t>
      </w:r>
      <w:r>
        <w:rPr>
          <w:spacing w:val="-95"/>
        </w:rPr>
      </w:r>
      <w:r>
        <w:rPr/>
        <w:t>和营业税额的</w:t>
      </w:r>
      <w:r>
        <w:rPr>
          <w:spacing w:val="-57"/>
        </w:rPr>
        <w:t> </w:t>
      </w:r>
      <w:r>
        <w:rPr>
          <w:rFonts w:ascii="宋体" w:hAnsi="宋体" w:cs="宋体" w:eastAsia="宋体" w:hint="default"/>
        </w:rPr>
        <w:t>2%</w:t>
      </w:r>
      <w:r>
        <w:rPr/>
        <w:t>缴纳地方教育费附加。</w:t>
      </w:r>
    </w:p>
    <w:p>
      <w:pPr>
        <w:spacing w:line="240" w:lineRule="auto" w:before="9"/>
        <w:rPr>
          <w:rFonts w:ascii="宋体" w:hAnsi="宋体" w:cs="宋体" w:eastAsia="宋体" w:hint="default"/>
          <w:sz w:val="20"/>
          <w:szCs w:val="20"/>
        </w:rPr>
      </w:pPr>
    </w:p>
    <w:p>
      <w:pPr>
        <w:pStyle w:val="BodyText"/>
        <w:spacing w:line="240" w:lineRule="auto"/>
        <w:ind w:left="138" w:right="310"/>
        <w:jc w:val="both"/>
      </w:pPr>
      <w:r>
        <w:rPr>
          <w:rFonts w:ascii="宋体" w:hAnsi="宋体" w:cs="宋体" w:eastAsia="宋体" w:hint="default"/>
        </w:rPr>
        <w:t>(3)</w:t>
      </w:r>
      <w:r>
        <w:rPr>
          <w:rFonts w:ascii="宋体" w:hAnsi="宋体" w:cs="宋体" w:eastAsia="宋体" w:hint="default"/>
          <w:spacing w:val="9"/>
        </w:rPr>
        <w:t> </w:t>
      </w:r>
      <w:r>
        <w:rPr/>
        <w:t>企业所得税–本集团依照</w:t>
      </w:r>
      <w:r>
        <w:rPr>
          <w:spacing w:val="-50"/>
        </w:rPr>
        <w:t> </w:t>
      </w:r>
      <w:r>
        <w:rPr>
          <w:rFonts w:ascii="宋体" w:hAnsi="宋体" w:cs="宋体" w:eastAsia="宋体" w:hint="default"/>
        </w:rPr>
        <w:t>2008</w:t>
      </w:r>
      <w:r>
        <w:rPr>
          <w:rFonts w:ascii="宋体" w:hAnsi="宋体" w:cs="宋体" w:eastAsia="宋体" w:hint="default"/>
          <w:spacing w:val="-50"/>
        </w:rPr>
        <w:t> </w:t>
      </w:r>
      <w:r>
        <w:rPr/>
        <w:t>年</w:t>
      </w:r>
      <w:r>
        <w:rPr>
          <w:spacing w:val="-48"/>
        </w:rPr>
        <w:t> </w:t>
      </w:r>
      <w:r>
        <w:rPr>
          <w:rFonts w:ascii="宋体" w:hAnsi="宋体" w:cs="宋体" w:eastAsia="宋体" w:hint="default"/>
        </w:rPr>
        <w:t>1</w:t>
      </w:r>
      <w:r>
        <w:rPr>
          <w:rFonts w:ascii="宋体" w:hAnsi="宋体" w:cs="宋体" w:eastAsia="宋体" w:hint="default"/>
          <w:spacing w:val="-50"/>
        </w:rPr>
        <w:t> </w:t>
      </w:r>
      <w:r>
        <w:rPr/>
        <w:t>月</w:t>
      </w:r>
      <w:r>
        <w:rPr>
          <w:spacing w:val="-48"/>
        </w:rPr>
        <w:t> </w:t>
      </w:r>
      <w:r>
        <w:rPr>
          <w:rFonts w:ascii="宋体" w:hAnsi="宋体" w:cs="宋体" w:eastAsia="宋体" w:hint="default"/>
        </w:rPr>
        <w:t>1</w:t>
      </w:r>
      <w:r>
        <w:rPr>
          <w:rFonts w:ascii="宋体" w:hAnsi="宋体" w:cs="宋体" w:eastAsia="宋体" w:hint="default"/>
          <w:spacing w:val="-50"/>
        </w:rPr>
        <w:t> </w:t>
      </w:r>
      <w:r>
        <w:rPr>
          <w:spacing w:val="-6"/>
        </w:rPr>
        <w:t>日起施行的《中华人民共和国企业所得税法》，按应</w:t>
      </w:r>
      <w:r>
        <w:rPr>
          <w:spacing w:val="-103"/>
        </w:rPr>
        <w:t> </w:t>
      </w:r>
      <w:r>
        <w:rPr>
          <w:spacing w:val="-103"/>
        </w:rPr>
      </w:r>
      <w:r>
        <w:rPr/>
        <w:t>纳税所得额计算企业所得税。</w:t>
      </w:r>
    </w:p>
    <w:p>
      <w:pPr>
        <w:spacing w:after="0" w:line="240" w:lineRule="auto"/>
        <w:jc w:val="both"/>
        <w:sectPr>
          <w:pgSz w:w="11910" w:h="16840"/>
          <w:pgMar w:header="857" w:footer="1195" w:top="1320" w:bottom="1380" w:left="1660" w:right="960"/>
        </w:sectPr>
      </w:pPr>
    </w:p>
    <w:p>
      <w:pPr>
        <w:spacing w:line="240" w:lineRule="auto" w:before="0"/>
        <w:rPr>
          <w:rFonts w:ascii="宋体" w:hAnsi="宋体" w:cs="宋体" w:eastAsia="宋体" w:hint="default"/>
          <w:sz w:val="20"/>
          <w:szCs w:val="20"/>
        </w:rPr>
      </w:pPr>
    </w:p>
    <w:p>
      <w:pPr>
        <w:pStyle w:val="BodyText"/>
        <w:spacing w:line="240" w:lineRule="auto" w:before="168"/>
        <w:ind w:left="138" w:right="0"/>
        <w:jc w:val="both"/>
      </w:pPr>
      <w:r>
        <w:rPr>
          <w:w w:val="100"/>
        </w:rPr>
        <w:t>公司于</w:t>
      </w:r>
      <w:r>
        <w:rPr>
          <w:spacing w:val="-70"/>
        </w:rPr>
        <w:t> </w:t>
      </w:r>
      <w:r>
        <w:rPr>
          <w:rFonts w:ascii="宋体" w:hAnsi="宋体" w:cs="宋体" w:eastAsia="宋体" w:hint="default"/>
          <w:w w:val="100"/>
        </w:rPr>
        <w:t>2</w:t>
      </w:r>
      <w:r>
        <w:rPr>
          <w:rFonts w:ascii="宋体" w:hAnsi="宋体" w:cs="宋体" w:eastAsia="宋体" w:hint="default"/>
          <w:spacing w:val="-3"/>
          <w:w w:val="100"/>
        </w:rPr>
        <w:t>0</w:t>
      </w:r>
      <w:r>
        <w:rPr>
          <w:rFonts w:ascii="宋体" w:hAnsi="宋体" w:cs="宋体" w:eastAsia="宋体" w:hint="default"/>
          <w:w w:val="100"/>
        </w:rPr>
        <w:t>17</w:t>
      </w:r>
      <w:r>
        <w:rPr>
          <w:rFonts w:ascii="宋体" w:hAnsi="宋体" w:cs="宋体" w:eastAsia="宋体" w:hint="default"/>
          <w:spacing w:val="-70"/>
        </w:rPr>
        <w:t> </w:t>
      </w:r>
      <w:r>
        <w:rPr>
          <w:w w:val="100"/>
        </w:rPr>
        <w:t>年</w:t>
      </w:r>
      <w:r>
        <w:rPr>
          <w:spacing w:val="-3"/>
          <w:w w:val="100"/>
        </w:rPr>
        <w:t>获</w:t>
      </w:r>
      <w:r>
        <w:rPr>
          <w:w w:val="100"/>
        </w:rPr>
        <w:t>得</w:t>
      </w:r>
      <w:r>
        <w:rPr>
          <w:spacing w:val="-3"/>
          <w:w w:val="100"/>
        </w:rPr>
        <w:t>有</w:t>
      </w:r>
      <w:r>
        <w:rPr>
          <w:w w:val="100"/>
        </w:rPr>
        <w:t>效</w:t>
      </w:r>
      <w:r>
        <w:rPr>
          <w:spacing w:val="-3"/>
          <w:w w:val="100"/>
        </w:rPr>
        <w:t>期</w:t>
      </w:r>
      <w:r>
        <w:rPr>
          <w:w w:val="100"/>
        </w:rPr>
        <w:t>为三</w:t>
      </w:r>
      <w:r>
        <w:rPr>
          <w:spacing w:val="-3"/>
          <w:w w:val="100"/>
        </w:rPr>
        <w:t>年</w:t>
      </w:r>
      <w:r>
        <w:rPr>
          <w:w w:val="100"/>
        </w:rPr>
        <w:t>的</w:t>
      </w:r>
      <w:r>
        <w:rPr>
          <w:spacing w:val="-3"/>
          <w:w w:val="100"/>
        </w:rPr>
        <w:t>高</w:t>
      </w:r>
      <w:r>
        <w:rPr>
          <w:w w:val="100"/>
        </w:rPr>
        <w:t>新</w:t>
      </w:r>
      <w:r>
        <w:rPr>
          <w:spacing w:val="-3"/>
          <w:w w:val="100"/>
        </w:rPr>
        <w:t>技</w:t>
      </w:r>
      <w:r>
        <w:rPr>
          <w:w w:val="100"/>
        </w:rPr>
        <w:t>术</w:t>
      </w:r>
      <w:r>
        <w:rPr>
          <w:spacing w:val="-3"/>
          <w:w w:val="100"/>
        </w:rPr>
        <w:t>企</w:t>
      </w:r>
      <w:r>
        <w:rPr>
          <w:w w:val="100"/>
        </w:rPr>
        <w:t>业</w:t>
      </w:r>
      <w:r>
        <w:rPr>
          <w:spacing w:val="-3"/>
          <w:w w:val="100"/>
        </w:rPr>
        <w:t>认</w:t>
      </w:r>
      <w:r>
        <w:rPr>
          <w:w w:val="100"/>
        </w:rPr>
        <w:t>证</w:t>
      </w:r>
      <w:r>
        <w:rPr>
          <w:spacing w:val="-106"/>
          <w:w w:val="100"/>
        </w:rPr>
        <w:t>，</w:t>
      </w:r>
      <w:r>
        <w:rPr>
          <w:rFonts w:ascii="宋体" w:hAnsi="宋体" w:cs="宋体" w:eastAsia="宋体" w:hint="default"/>
          <w:w w:val="100"/>
        </w:rPr>
        <w:t>2016</w:t>
      </w:r>
      <w:r>
        <w:rPr>
          <w:rFonts w:ascii="宋体" w:hAnsi="宋体" w:cs="宋体" w:eastAsia="宋体" w:hint="default"/>
          <w:spacing w:val="-72"/>
        </w:rPr>
        <w:t> </w:t>
      </w:r>
      <w:r>
        <w:rPr>
          <w:w w:val="100"/>
        </w:rPr>
        <w:t>年及</w:t>
      </w:r>
      <w:r>
        <w:rPr>
          <w:spacing w:val="-69"/>
        </w:rPr>
        <w:t> </w:t>
      </w:r>
      <w:r>
        <w:rPr>
          <w:rFonts w:ascii="宋体" w:hAnsi="宋体" w:cs="宋体" w:eastAsia="宋体" w:hint="default"/>
          <w:w w:val="100"/>
        </w:rPr>
        <w:t>2017</w:t>
      </w:r>
      <w:r>
        <w:rPr>
          <w:rFonts w:ascii="宋体" w:hAnsi="宋体" w:cs="宋体" w:eastAsia="宋体" w:hint="default"/>
          <w:spacing w:val="-72"/>
        </w:rPr>
        <w:t> </w:t>
      </w:r>
      <w:r>
        <w:rPr>
          <w:w w:val="100"/>
        </w:rPr>
        <w:t>年</w:t>
      </w:r>
      <w:r>
        <w:rPr>
          <w:spacing w:val="-3"/>
          <w:w w:val="100"/>
        </w:rPr>
        <w:t>均享</w:t>
      </w:r>
      <w:r>
        <w:rPr>
          <w:w w:val="100"/>
        </w:rPr>
        <w:t>受</w:t>
      </w:r>
      <w:r>
        <w:rPr>
          <w:spacing w:val="-69"/>
        </w:rPr>
        <w:t> </w:t>
      </w:r>
      <w:r>
        <w:rPr>
          <w:rFonts w:ascii="宋体" w:hAnsi="宋体" w:cs="宋体" w:eastAsia="宋体" w:hint="default"/>
          <w:w w:val="100"/>
        </w:rPr>
        <w:t>15%</w:t>
      </w:r>
      <w:r>
        <w:rPr>
          <w:spacing w:val="-3"/>
          <w:w w:val="100"/>
        </w:rPr>
        <w:t>的</w:t>
      </w:r>
      <w:r>
        <w:rPr>
          <w:w w:val="100"/>
        </w:rPr>
        <w:t>优</w:t>
      </w:r>
      <w:r>
        <w:rPr>
          <w:spacing w:val="-3"/>
          <w:w w:val="100"/>
        </w:rPr>
        <w:t>惠税率</w:t>
      </w:r>
      <w:r>
        <w:rPr>
          <w:w w:val="100"/>
        </w:rPr>
        <w:t>。</w:t>
      </w:r>
    </w:p>
    <w:p>
      <w:pPr>
        <w:spacing w:line="240" w:lineRule="auto" w:before="11"/>
        <w:rPr>
          <w:rFonts w:ascii="宋体" w:hAnsi="宋体" w:cs="宋体" w:eastAsia="宋体" w:hint="default"/>
          <w:sz w:val="20"/>
          <w:szCs w:val="20"/>
        </w:rPr>
      </w:pPr>
    </w:p>
    <w:p>
      <w:pPr>
        <w:pStyle w:val="BodyText"/>
        <w:spacing w:line="237" w:lineRule="auto"/>
        <w:ind w:left="138" w:right="102"/>
        <w:jc w:val="left"/>
      </w:pPr>
      <w:r>
        <w:rPr/>
        <w:t>根据《中华人民共和国企业所得税法》和国税发</w:t>
      </w:r>
      <w:r>
        <w:rPr>
          <w:spacing w:val="-54"/>
        </w:rPr>
        <w:t> </w:t>
      </w:r>
      <w:r>
        <w:rPr>
          <w:rFonts w:ascii="宋体" w:hAnsi="宋体" w:cs="宋体" w:eastAsia="宋体" w:hint="default"/>
        </w:rPr>
        <w:t>2008[28]</w:t>
      </w:r>
      <w:r>
        <w:rPr/>
        <w:t>号文的要求，本公司于</w:t>
      </w:r>
      <w:r>
        <w:rPr>
          <w:spacing w:val="-53"/>
        </w:rPr>
        <w:t> </w:t>
      </w:r>
      <w:r>
        <w:rPr>
          <w:rFonts w:ascii="宋体" w:hAnsi="宋体" w:cs="宋体" w:eastAsia="宋体" w:hint="default"/>
        </w:rPr>
        <w:t>2017</w:t>
      </w:r>
      <w:r>
        <w:rPr>
          <w:rFonts w:ascii="宋体" w:hAnsi="宋体" w:cs="宋体" w:eastAsia="宋体" w:hint="default"/>
          <w:spacing w:val="-56"/>
        </w:rPr>
        <w:t> </w:t>
      </w:r>
      <w:r>
        <w:rPr/>
        <w:t>年对所有</w:t>
      </w:r>
      <w:r>
        <w:rPr>
          <w:w w:val="100"/>
        </w:rPr>
        <w:t> </w:t>
      </w:r>
      <w:r>
        <w:rPr>
          <w:spacing w:val="-3"/>
        </w:rPr>
        <w:t>的分支机构合并缴纳企业所得税。即按合并季度报表的应纳税所得额乘以</w:t>
      </w:r>
      <w:r>
        <w:rPr>
          <w:spacing w:val="-18"/>
        </w:rPr>
        <w:t> </w:t>
      </w:r>
      <w:r>
        <w:rPr>
          <w:rFonts w:ascii="宋体" w:hAnsi="宋体" w:cs="宋体" w:eastAsia="宋体" w:hint="default"/>
        </w:rPr>
        <w:t>15%</w:t>
      </w:r>
      <w:r>
        <w:rPr/>
        <w:t>的企业所得税税率，</w:t>
      </w:r>
      <w:r>
        <w:rPr>
          <w:spacing w:val="-92"/>
        </w:rPr>
        <w:t> </w:t>
      </w:r>
      <w:r>
        <w:rPr>
          <w:spacing w:val="-92"/>
        </w:rPr>
      </w:r>
      <w:r>
        <w:rPr>
          <w:spacing w:val="-6"/>
          <w:w w:val="100"/>
        </w:rPr>
        <w:t>预缴本年度应纳所得税额。待年度汇算清缴时，以年度合并税前利润计算的应纳税所得额为基础，</w:t>
      </w:r>
      <w:r>
        <w:rPr>
          <w:spacing w:val="-104"/>
          <w:w w:val="100"/>
        </w:rPr>
        <w:t> </w:t>
      </w:r>
      <w:r>
        <w:rPr>
          <w:spacing w:val="-104"/>
          <w:w w:val="100"/>
        </w:rPr>
      </w:r>
      <w:r>
        <w:rPr/>
        <w:t>按照税务机构备案的比例在总分支机构之间进行分配，然后总分支机构以分配到的应纳税所得额</w:t>
      </w:r>
      <w:r>
        <w:rPr>
          <w:w w:val="100"/>
        </w:rPr>
        <w:t> </w:t>
      </w:r>
      <w:r>
        <w:rPr/>
        <w:t>乘以各自适用的税率计算得到实际应纳所得税费用，根据其与预缴的所得税额之差额进行补缴或</w:t>
      </w:r>
      <w:r>
        <w:rPr>
          <w:w w:val="100"/>
        </w:rPr>
        <w:t> </w:t>
      </w:r>
      <w:r>
        <w:rPr/>
        <w:t>退税。</w:t>
      </w:r>
    </w:p>
    <w:p>
      <w:pPr>
        <w:spacing w:line="240" w:lineRule="auto" w:before="9"/>
        <w:rPr>
          <w:rFonts w:ascii="宋体" w:hAnsi="宋体" w:cs="宋体" w:eastAsia="宋体" w:hint="default"/>
          <w:sz w:val="20"/>
          <w:szCs w:val="20"/>
        </w:rPr>
      </w:pPr>
    </w:p>
    <w:p>
      <w:pPr>
        <w:pStyle w:val="BodyText"/>
        <w:spacing w:line="240" w:lineRule="auto"/>
        <w:ind w:left="138" w:right="208"/>
        <w:jc w:val="both"/>
      </w:pPr>
      <w:r>
        <w:rPr>
          <w:spacing w:val="-4"/>
        </w:rPr>
        <w:t>除下述税收优惠提到的子公司外，本公司的其他子公司于</w:t>
      </w:r>
      <w:r>
        <w:rPr>
          <w:spacing w:val="-22"/>
        </w:rPr>
        <w:t> </w:t>
      </w:r>
      <w:r>
        <w:rPr>
          <w:rFonts w:ascii="宋体" w:hAnsi="宋体" w:cs="宋体" w:eastAsia="宋体" w:hint="default"/>
        </w:rPr>
        <w:t>2017</w:t>
      </w:r>
      <w:r>
        <w:rPr>
          <w:rFonts w:ascii="宋体" w:hAnsi="宋体" w:cs="宋体" w:eastAsia="宋体" w:hint="default"/>
          <w:spacing w:val="-22"/>
        </w:rPr>
        <w:t> </w:t>
      </w:r>
      <w:r>
        <w:rPr>
          <w:spacing w:val="-5"/>
        </w:rPr>
        <w:t>年执行《中华人民共和国企业所得</w:t>
      </w:r>
      <w:r>
        <w:rPr>
          <w:spacing w:val="-94"/>
        </w:rPr>
        <w:t> </w:t>
      </w:r>
      <w:r>
        <w:rPr>
          <w:spacing w:val="-94"/>
        </w:rPr>
      </w:r>
      <w:r>
        <w:rPr/>
        <w:t>税法》，按应纳税所得额的</w:t>
      </w:r>
      <w:r>
        <w:rPr>
          <w:spacing w:val="-55"/>
        </w:rPr>
        <w:t> </w:t>
      </w:r>
      <w:r>
        <w:rPr>
          <w:rFonts w:ascii="宋体" w:hAnsi="宋体" w:cs="宋体" w:eastAsia="宋体" w:hint="default"/>
        </w:rPr>
        <w:t>25%</w:t>
      </w:r>
      <w:r>
        <w:rPr/>
        <w:t>计缴企业所得税。</w:t>
      </w:r>
    </w:p>
    <w:p>
      <w:pPr>
        <w:spacing w:line="240" w:lineRule="auto" w:before="3"/>
        <w:rPr>
          <w:rFonts w:ascii="宋体" w:hAnsi="宋体" w:cs="宋体" w:eastAsia="宋体" w:hint="default"/>
          <w:sz w:val="25"/>
          <w:szCs w:val="25"/>
        </w:rPr>
      </w:pPr>
    </w:p>
    <w:p>
      <w:pPr>
        <w:pStyle w:val="Heading3"/>
        <w:spacing w:line="240" w:lineRule="auto"/>
        <w:ind w:left="138" w:right="0"/>
        <w:jc w:val="both"/>
        <w:rPr>
          <w:b w:val="0"/>
          <w:bCs w:val="0"/>
        </w:rPr>
      </w:pPr>
      <w:r>
        <w:rPr>
          <w:rFonts w:ascii="宋体" w:hAnsi="宋体" w:cs="宋体" w:eastAsia="宋体" w:hint="default"/>
        </w:rPr>
        <w:t>2. </w:t>
      </w:r>
      <w:r>
        <w:rPr>
          <w:rFonts w:ascii="宋体" w:hAnsi="宋体" w:cs="宋体" w:eastAsia="宋体" w:hint="default"/>
          <w:spacing w:val="2"/>
        </w:rPr>
        <w:t> </w:t>
      </w:r>
      <w:r>
        <w:rPr/>
        <w:t>税收优惠</w:t>
      </w:r>
      <w:r>
        <w:rPr>
          <w:b w:val="0"/>
          <w:bCs w:val="0"/>
        </w:rPr>
      </w:r>
    </w:p>
    <w:p>
      <w:pPr>
        <w:pStyle w:val="BodyText"/>
        <w:spacing w:line="274" w:lineRule="exact" w:before="56"/>
        <w:ind w:left="138" w:right="0"/>
        <w:jc w:val="both"/>
      </w:pPr>
      <w:r>
        <w:rPr/>
        <w:t>√适用</w:t>
      </w:r>
      <w:r>
        <w:rPr>
          <w:spacing w:val="104"/>
        </w:rPr>
        <w:t> </w:t>
      </w:r>
      <w:r>
        <w:rPr/>
        <w:t>□不适用</w:t>
      </w:r>
    </w:p>
    <w:p>
      <w:pPr>
        <w:pStyle w:val="BodyText"/>
        <w:spacing w:line="237" w:lineRule="auto" w:before="2"/>
        <w:ind w:left="138" w:right="207"/>
        <w:jc w:val="both"/>
      </w:pPr>
      <w:r>
        <w:rPr/>
        <w:t>根据</w:t>
      </w:r>
      <w:r>
        <w:rPr>
          <w:spacing w:val="-41"/>
        </w:rPr>
        <w:t> </w:t>
      </w:r>
      <w:r>
        <w:rPr>
          <w:rFonts w:ascii="宋体" w:hAnsi="宋体" w:cs="宋体" w:eastAsia="宋体" w:hint="default"/>
        </w:rPr>
        <w:t>2016</w:t>
      </w:r>
      <w:r>
        <w:rPr>
          <w:rFonts w:ascii="宋体" w:hAnsi="宋体" w:cs="宋体" w:eastAsia="宋体" w:hint="default"/>
          <w:spacing w:val="-44"/>
        </w:rPr>
        <w:t> </w:t>
      </w:r>
      <w:r>
        <w:rPr/>
        <w:t>年</w:t>
      </w:r>
      <w:r>
        <w:rPr>
          <w:spacing w:val="-41"/>
        </w:rPr>
        <w:t> </w:t>
      </w:r>
      <w:r>
        <w:rPr>
          <w:rFonts w:ascii="宋体" w:hAnsi="宋体" w:cs="宋体" w:eastAsia="宋体" w:hint="default"/>
        </w:rPr>
        <w:t>5</w:t>
      </w:r>
      <w:r>
        <w:rPr>
          <w:rFonts w:ascii="宋体" w:hAnsi="宋体" w:cs="宋体" w:eastAsia="宋体" w:hint="default"/>
          <w:spacing w:val="-44"/>
        </w:rPr>
        <w:t> </w:t>
      </w:r>
      <w:r>
        <w:rPr/>
        <w:t>月</w:t>
      </w:r>
      <w:r>
        <w:rPr>
          <w:spacing w:val="-41"/>
        </w:rPr>
        <w:t> </w:t>
      </w:r>
      <w:r>
        <w:rPr>
          <w:rFonts w:ascii="宋体" w:hAnsi="宋体" w:cs="宋体" w:eastAsia="宋体" w:hint="default"/>
        </w:rPr>
        <w:t>4</w:t>
      </w:r>
      <w:r>
        <w:rPr>
          <w:rFonts w:ascii="宋体" w:hAnsi="宋体" w:cs="宋体" w:eastAsia="宋体" w:hint="default"/>
          <w:spacing w:val="-44"/>
        </w:rPr>
        <w:t> </w:t>
      </w:r>
      <w:r>
        <w:rPr>
          <w:spacing w:val="-5"/>
        </w:rPr>
        <w:t>日财政部、国家税务总局、发展改革委和工业和信息化部颁布的《关于软件和</w:t>
      </w:r>
      <w:r>
        <w:rPr>
          <w:spacing w:val="-100"/>
        </w:rPr>
        <w:t> </w:t>
      </w:r>
      <w:r>
        <w:rPr>
          <w:spacing w:val="-100"/>
        </w:rPr>
      </w:r>
      <w:r>
        <w:rPr>
          <w:spacing w:val="-3"/>
        </w:rPr>
        <w:t>集成电路产业企业所得税优惠政策有关问题的通知》</w:t>
      </w:r>
      <w:r>
        <w:rPr>
          <w:rFonts w:ascii="宋体" w:hAnsi="宋体" w:cs="宋体" w:eastAsia="宋体" w:hint="default"/>
          <w:spacing w:val="-3"/>
        </w:rPr>
        <w:t>(</w:t>
      </w:r>
      <w:r>
        <w:rPr>
          <w:spacing w:val="-3"/>
        </w:rPr>
        <w:t>财税</w:t>
      </w:r>
      <w:r>
        <w:rPr>
          <w:rFonts w:ascii="宋体" w:hAnsi="宋体" w:cs="宋体" w:eastAsia="宋体" w:hint="default"/>
          <w:spacing w:val="-3"/>
        </w:rPr>
        <w:t>[2016]49</w:t>
      </w:r>
      <w:r>
        <w:rPr>
          <w:rFonts w:ascii="宋体" w:hAnsi="宋体" w:cs="宋体" w:eastAsia="宋体" w:hint="default"/>
          <w:spacing w:val="-27"/>
        </w:rPr>
        <w:t> </w:t>
      </w:r>
      <w:r>
        <w:rPr/>
        <w:t>号</w:t>
      </w:r>
      <w:r>
        <w:rPr>
          <w:rFonts w:ascii="宋体" w:hAnsi="宋体" w:cs="宋体" w:eastAsia="宋体" w:hint="default"/>
        </w:rPr>
        <w:t>)(49</w:t>
      </w:r>
      <w:r>
        <w:rPr>
          <w:rFonts w:ascii="宋体" w:hAnsi="宋体" w:cs="宋体" w:eastAsia="宋体" w:hint="default"/>
          <w:spacing w:val="-30"/>
        </w:rPr>
        <w:t> </w:t>
      </w:r>
      <w:r>
        <w:rPr>
          <w:spacing w:val="-6"/>
        </w:rPr>
        <w:t>号文</w:t>
      </w:r>
      <w:r>
        <w:rPr>
          <w:rFonts w:ascii="宋体" w:hAnsi="宋体" w:cs="宋体" w:eastAsia="宋体" w:hint="default"/>
          <w:spacing w:val="-6"/>
        </w:rPr>
        <w:t>)</w:t>
      </w:r>
      <w:r>
        <w:rPr>
          <w:spacing w:val="-6"/>
        </w:rPr>
        <w:t>文件，国家规划</w:t>
      </w:r>
      <w:r>
        <w:rPr>
          <w:spacing w:val="-94"/>
        </w:rPr>
        <w:t> </w:t>
      </w:r>
      <w:r>
        <w:rPr>
          <w:spacing w:val="-94"/>
        </w:rPr>
      </w:r>
      <w:r>
        <w:rPr/>
        <w:t>布局内重点软件企业可享受</w:t>
      </w:r>
      <w:r>
        <w:rPr>
          <w:spacing w:val="-54"/>
        </w:rPr>
        <w:t> </w:t>
      </w:r>
      <w:r>
        <w:rPr>
          <w:rFonts w:ascii="宋体" w:hAnsi="宋体" w:cs="宋体" w:eastAsia="宋体" w:hint="default"/>
        </w:rPr>
        <w:t>10%</w:t>
      </w:r>
      <w:r>
        <w:rPr/>
        <w:t>的优惠税率。</w:t>
      </w:r>
    </w:p>
    <w:p>
      <w:pPr>
        <w:spacing w:line="240" w:lineRule="auto" w:before="9"/>
        <w:rPr>
          <w:rFonts w:ascii="宋体" w:hAnsi="宋体" w:cs="宋体" w:eastAsia="宋体" w:hint="default"/>
          <w:sz w:val="20"/>
          <w:szCs w:val="20"/>
        </w:rPr>
      </w:pPr>
    </w:p>
    <w:p>
      <w:pPr>
        <w:pStyle w:val="BodyText"/>
        <w:spacing w:line="237" w:lineRule="auto"/>
        <w:ind w:left="138" w:right="207"/>
        <w:jc w:val="both"/>
      </w:pPr>
      <w:r>
        <w:rPr/>
        <w:t>本公司之子公司用友金融于</w:t>
      </w:r>
      <w:r>
        <w:rPr>
          <w:spacing w:val="-55"/>
        </w:rPr>
        <w:t> </w:t>
      </w:r>
      <w:r>
        <w:rPr>
          <w:rFonts w:ascii="宋体" w:hAnsi="宋体" w:cs="宋体" w:eastAsia="宋体" w:hint="default"/>
        </w:rPr>
        <w:t>2017</w:t>
      </w:r>
      <w:r>
        <w:rPr>
          <w:rFonts w:ascii="宋体" w:hAnsi="宋体" w:cs="宋体" w:eastAsia="宋体" w:hint="default"/>
          <w:spacing w:val="-55"/>
        </w:rPr>
        <w:t> </w:t>
      </w:r>
      <w:r>
        <w:rPr/>
        <w:t>年</w:t>
      </w:r>
      <w:r>
        <w:rPr>
          <w:spacing w:val="-57"/>
        </w:rPr>
        <w:t> </w:t>
      </w:r>
      <w:r>
        <w:rPr>
          <w:rFonts w:ascii="宋体" w:hAnsi="宋体" w:cs="宋体" w:eastAsia="宋体" w:hint="default"/>
        </w:rPr>
        <w:t>5</w:t>
      </w:r>
      <w:r>
        <w:rPr>
          <w:rFonts w:ascii="宋体" w:hAnsi="宋体" w:cs="宋体" w:eastAsia="宋体" w:hint="default"/>
          <w:spacing w:val="-55"/>
        </w:rPr>
        <w:t> </w:t>
      </w:r>
      <w:r>
        <w:rPr/>
        <w:t>月在北京市海淀区国家税务局对公司</w:t>
      </w:r>
      <w:r>
        <w:rPr>
          <w:spacing w:val="-55"/>
        </w:rPr>
        <w:t> </w:t>
      </w:r>
      <w:r>
        <w:rPr>
          <w:rFonts w:ascii="宋体" w:hAnsi="宋体" w:cs="宋体" w:eastAsia="宋体" w:hint="default"/>
        </w:rPr>
        <w:t>2016</w:t>
      </w:r>
      <w:r>
        <w:rPr>
          <w:rFonts w:ascii="宋体" w:hAnsi="宋体" w:cs="宋体" w:eastAsia="宋体" w:hint="default"/>
          <w:spacing w:val="-54"/>
        </w:rPr>
        <w:t> </w:t>
      </w:r>
      <w:r>
        <w:rPr/>
        <w:t>年度符合“国家</w:t>
      </w:r>
      <w:r>
        <w:rPr>
          <w:w w:val="100"/>
        </w:rPr>
        <w:t> </w:t>
      </w:r>
      <w:r>
        <w:rPr>
          <w:spacing w:val="-6"/>
          <w:w w:val="100"/>
        </w:rPr>
        <w:t>规划布局内重点软件企业”的事项进行备案，并按照</w:t>
      </w:r>
      <w:r>
        <w:rPr>
          <w:spacing w:val="-67"/>
          <w:w w:val="100"/>
        </w:rPr>
        <w:t> </w:t>
      </w:r>
      <w:r>
        <w:rPr>
          <w:rFonts w:ascii="宋体" w:hAnsi="宋体" w:cs="宋体" w:eastAsia="宋体" w:hint="default"/>
          <w:spacing w:val="-1"/>
          <w:w w:val="100"/>
        </w:rPr>
        <w:t>10%</w:t>
      </w:r>
      <w:r>
        <w:rPr>
          <w:spacing w:val="-1"/>
          <w:w w:val="100"/>
        </w:rPr>
        <w:t>的优惠税率进行</w:t>
      </w:r>
      <w:r>
        <w:rPr>
          <w:spacing w:val="-65"/>
          <w:w w:val="100"/>
        </w:rPr>
        <w:t> </w:t>
      </w:r>
      <w:r>
        <w:rPr>
          <w:rFonts w:ascii="宋体" w:hAnsi="宋体" w:cs="宋体" w:eastAsia="宋体" w:hint="default"/>
          <w:spacing w:val="-1"/>
          <w:w w:val="100"/>
        </w:rPr>
        <w:t>2016</w:t>
      </w:r>
      <w:r>
        <w:rPr>
          <w:rFonts w:ascii="宋体" w:hAnsi="宋体" w:cs="宋体" w:eastAsia="宋体" w:hint="default"/>
          <w:spacing w:val="-65"/>
          <w:w w:val="100"/>
        </w:rPr>
        <w:t> </w:t>
      </w:r>
      <w:r>
        <w:rPr>
          <w:spacing w:val="-11"/>
          <w:w w:val="100"/>
        </w:rPr>
        <w:t>年度汇算清缴。</w:t>
      </w:r>
      <w:r>
        <w:rPr>
          <w:rFonts w:ascii="宋体" w:hAnsi="宋体" w:cs="宋体" w:eastAsia="宋体" w:hint="default"/>
          <w:spacing w:val="-11"/>
          <w:w w:val="100"/>
        </w:rPr>
        <w:t>2017</w:t>
      </w:r>
      <w:r>
        <w:rPr>
          <w:rFonts w:ascii="宋体" w:hAnsi="宋体" w:cs="宋体" w:eastAsia="宋体" w:hint="default"/>
          <w:w w:val="100"/>
        </w:rPr>
        <w:t> </w:t>
      </w:r>
      <w:r>
        <w:rPr>
          <w:spacing w:val="-4"/>
        </w:rPr>
        <w:t>年度，用友金融仍符合</w:t>
      </w:r>
      <w:r>
        <w:rPr>
          <w:spacing w:val="-35"/>
        </w:rPr>
        <w:t> </w:t>
      </w:r>
      <w:r>
        <w:rPr>
          <w:rFonts w:ascii="宋体" w:hAnsi="宋体" w:cs="宋体" w:eastAsia="宋体" w:hint="default"/>
        </w:rPr>
        <w:t>49</w:t>
      </w:r>
      <w:r>
        <w:rPr>
          <w:rFonts w:ascii="宋体" w:hAnsi="宋体" w:cs="宋体" w:eastAsia="宋体" w:hint="default"/>
          <w:spacing w:val="-35"/>
        </w:rPr>
        <w:t> </w:t>
      </w:r>
      <w:r>
        <w:rPr>
          <w:spacing w:val="-3"/>
        </w:rPr>
        <w:t>号文规定的“国家规划布局内重点软件企业”要求，继续享受</w:t>
      </w:r>
      <w:r>
        <w:rPr>
          <w:spacing w:val="-31"/>
        </w:rPr>
        <w:t> </w:t>
      </w:r>
      <w:r>
        <w:rPr>
          <w:rFonts w:ascii="宋体" w:hAnsi="宋体" w:cs="宋体" w:eastAsia="宋体" w:hint="default"/>
        </w:rPr>
        <w:t>10%</w:t>
      </w:r>
      <w:r>
        <w:rPr/>
        <w:t>的优</w:t>
      </w:r>
      <w:r>
        <w:rPr>
          <w:spacing w:val="-95"/>
        </w:rPr>
        <w:t> </w:t>
      </w:r>
      <w:r>
        <w:rPr/>
        <w:t>惠税率。</w:t>
      </w:r>
    </w:p>
    <w:p>
      <w:pPr>
        <w:spacing w:line="240" w:lineRule="auto" w:before="9"/>
        <w:rPr>
          <w:rFonts w:ascii="宋体" w:hAnsi="宋体" w:cs="宋体" w:eastAsia="宋体" w:hint="default"/>
          <w:sz w:val="20"/>
          <w:szCs w:val="20"/>
        </w:rPr>
      </w:pPr>
    </w:p>
    <w:p>
      <w:pPr>
        <w:pStyle w:val="BodyText"/>
        <w:spacing w:line="273" w:lineRule="exact"/>
        <w:ind w:left="138" w:right="0"/>
        <w:jc w:val="both"/>
      </w:pPr>
      <w:r>
        <w:rPr/>
        <w:t>本公司之子公司用友医疗于</w:t>
      </w:r>
      <w:r>
        <w:rPr>
          <w:spacing w:val="-53"/>
        </w:rPr>
        <w:t> </w:t>
      </w:r>
      <w:r>
        <w:rPr>
          <w:rFonts w:ascii="宋体" w:hAnsi="宋体" w:cs="宋体" w:eastAsia="宋体" w:hint="default"/>
        </w:rPr>
        <w:t>2014</w:t>
      </w:r>
      <w:r>
        <w:rPr>
          <w:rFonts w:ascii="宋体" w:hAnsi="宋体" w:cs="宋体" w:eastAsia="宋体" w:hint="default"/>
          <w:spacing w:val="-53"/>
        </w:rPr>
        <w:t> </w:t>
      </w:r>
      <w:r>
        <w:rPr/>
        <w:t>年</w:t>
      </w:r>
      <w:r>
        <w:rPr>
          <w:spacing w:val="-55"/>
        </w:rPr>
        <w:t> </w:t>
      </w:r>
      <w:r>
        <w:rPr>
          <w:rFonts w:ascii="宋体" w:hAnsi="宋体" w:cs="宋体" w:eastAsia="宋体" w:hint="default"/>
        </w:rPr>
        <w:t>7</w:t>
      </w:r>
      <w:r>
        <w:rPr>
          <w:rFonts w:ascii="宋体" w:hAnsi="宋体" w:cs="宋体" w:eastAsia="宋体" w:hint="default"/>
          <w:spacing w:val="-53"/>
        </w:rPr>
        <w:t> </w:t>
      </w:r>
      <w:r>
        <w:rPr/>
        <w:t>月</w:t>
      </w:r>
      <w:r>
        <w:rPr>
          <w:spacing w:val="-55"/>
        </w:rPr>
        <w:t> </w:t>
      </w:r>
      <w:r>
        <w:rPr>
          <w:rFonts w:ascii="宋体" w:hAnsi="宋体" w:cs="宋体" w:eastAsia="宋体" w:hint="default"/>
        </w:rPr>
        <w:t>30</w:t>
      </w:r>
      <w:r>
        <w:rPr>
          <w:rFonts w:ascii="宋体" w:hAnsi="宋体" w:cs="宋体" w:eastAsia="宋体" w:hint="default"/>
          <w:spacing w:val="-53"/>
        </w:rPr>
        <w:t> </w:t>
      </w:r>
      <w:r>
        <w:rPr/>
        <w:t>日取得了有效期为三年的高新技术企业证书，证书编</w:t>
      </w:r>
    </w:p>
    <w:p>
      <w:pPr>
        <w:pStyle w:val="BodyText"/>
        <w:spacing w:line="240" w:lineRule="auto"/>
        <w:ind w:left="138" w:right="208"/>
        <w:jc w:val="both"/>
      </w:pPr>
      <w:r>
        <w:rPr/>
        <w:t>号为</w:t>
      </w:r>
      <w:r>
        <w:rPr>
          <w:spacing w:val="-51"/>
        </w:rPr>
        <w:t> </w:t>
      </w:r>
      <w:r>
        <w:rPr>
          <w:rFonts w:ascii="宋体" w:hAnsi="宋体" w:cs="宋体" w:eastAsia="宋体" w:hint="default"/>
          <w:spacing w:val="-4"/>
        </w:rPr>
        <w:t>GF201411000058</w:t>
      </w:r>
      <w:r>
        <w:rPr>
          <w:spacing w:val="-4"/>
        </w:rPr>
        <w:t>，</w:t>
      </w:r>
      <w:r>
        <w:rPr>
          <w:rFonts w:ascii="宋体" w:hAnsi="宋体" w:cs="宋体" w:eastAsia="宋体" w:hint="default"/>
          <w:spacing w:val="-4"/>
        </w:rPr>
        <w:t>2017</w:t>
      </w:r>
      <w:r>
        <w:rPr>
          <w:rFonts w:ascii="宋体" w:hAnsi="宋体" w:cs="宋体" w:eastAsia="宋体" w:hint="default"/>
          <w:spacing w:val="-51"/>
        </w:rPr>
        <w:t> </w:t>
      </w:r>
      <w:r>
        <w:rPr/>
        <w:t>年</w:t>
      </w:r>
      <w:r>
        <w:rPr>
          <w:spacing w:val="-51"/>
        </w:rPr>
        <w:t> </w:t>
      </w:r>
      <w:r>
        <w:rPr>
          <w:rFonts w:ascii="宋体" w:hAnsi="宋体" w:cs="宋体" w:eastAsia="宋体" w:hint="default"/>
        </w:rPr>
        <w:t>7</w:t>
      </w:r>
      <w:r>
        <w:rPr>
          <w:rFonts w:ascii="宋体" w:hAnsi="宋体" w:cs="宋体" w:eastAsia="宋体" w:hint="default"/>
          <w:spacing w:val="-53"/>
        </w:rPr>
        <w:t> </w:t>
      </w:r>
      <w:r>
        <w:rPr/>
        <w:t>月</w:t>
      </w:r>
      <w:r>
        <w:rPr>
          <w:spacing w:val="-51"/>
        </w:rPr>
        <w:t> </w:t>
      </w:r>
      <w:r>
        <w:rPr>
          <w:rFonts w:ascii="宋体" w:hAnsi="宋体" w:cs="宋体" w:eastAsia="宋体" w:hint="default"/>
        </w:rPr>
        <w:t>30</w:t>
      </w:r>
      <w:r>
        <w:rPr>
          <w:rFonts w:ascii="宋体" w:hAnsi="宋体" w:cs="宋体" w:eastAsia="宋体" w:hint="default"/>
          <w:spacing w:val="-51"/>
        </w:rPr>
        <w:t> </w:t>
      </w:r>
      <w:r>
        <w:rPr>
          <w:spacing w:val="-11"/>
        </w:rPr>
        <w:t>日到期。于</w:t>
      </w:r>
      <w:r>
        <w:rPr>
          <w:spacing w:val="-53"/>
        </w:rPr>
        <w:t> </w:t>
      </w:r>
      <w:r>
        <w:rPr>
          <w:rFonts w:ascii="宋体" w:hAnsi="宋体" w:cs="宋体" w:eastAsia="宋体" w:hint="default"/>
        </w:rPr>
        <w:t>2017</w:t>
      </w:r>
      <w:r>
        <w:rPr>
          <w:rFonts w:ascii="宋体" w:hAnsi="宋体" w:cs="宋体" w:eastAsia="宋体" w:hint="default"/>
          <w:spacing w:val="-51"/>
        </w:rPr>
        <w:t> </w:t>
      </w:r>
      <w:r>
        <w:rPr/>
        <w:t>年</w:t>
      </w:r>
      <w:r>
        <w:rPr>
          <w:spacing w:val="-51"/>
        </w:rPr>
        <w:t> </w:t>
      </w:r>
      <w:r>
        <w:rPr>
          <w:rFonts w:ascii="宋体" w:hAnsi="宋体" w:cs="宋体" w:eastAsia="宋体" w:hint="default"/>
        </w:rPr>
        <w:t>10</w:t>
      </w:r>
      <w:r>
        <w:rPr>
          <w:rFonts w:ascii="宋体" w:hAnsi="宋体" w:cs="宋体" w:eastAsia="宋体" w:hint="default"/>
          <w:spacing w:val="-51"/>
        </w:rPr>
        <w:t> </w:t>
      </w:r>
      <w:r>
        <w:rPr/>
        <w:t>月</w:t>
      </w:r>
      <w:r>
        <w:rPr>
          <w:spacing w:val="-53"/>
        </w:rPr>
        <w:t> </w:t>
      </w:r>
      <w:r>
        <w:rPr>
          <w:rFonts w:ascii="宋体" w:hAnsi="宋体" w:cs="宋体" w:eastAsia="宋体" w:hint="default"/>
        </w:rPr>
        <w:t>25</w:t>
      </w:r>
      <w:r>
        <w:rPr>
          <w:rFonts w:ascii="宋体" w:hAnsi="宋体" w:cs="宋体" w:eastAsia="宋体" w:hint="default"/>
          <w:spacing w:val="-53"/>
        </w:rPr>
        <w:t> </w:t>
      </w:r>
      <w:r>
        <w:rPr/>
        <w:t>日取得了有效期为三年的高新</w:t>
      </w:r>
      <w:r>
        <w:rPr>
          <w:w w:val="100"/>
        </w:rPr>
        <w:t> </w:t>
      </w:r>
      <w:r>
        <w:rPr/>
        <w:t>技术企业证书，证书编号为</w:t>
      </w:r>
      <w:r>
        <w:rPr>
          <w:spacing w:val="-53"/>
        </w:rPr>
        <w:t> </w:t>
      </w:r>
      <w:r>
        <w:rPr>
          <w:rFonts w:ascii="宋体" w:hAnsi="宋体" w:cs="宋体" w:eastAsia="宋体" w:hint="default"/>
        </w:rPr>
        <w:t>GR201711001964</w:t>
      </w:r>
      <w:r>
        <w:rPr/>
        <w:t>。</w:t>
      </w:r>
      <w:r>
        <w:rPr>
          <w:rFonts w:ascii="宋体" w:hAnsi="宋体" w:cs="宋体" w:eastAsia="宋体" w:hint="default"/>
        </w:rPr>
        <w:t>2016</w:t>
      </w:r>
      <w:r>
        <w:rPr>
          <w:rFonts w:ascii="宋体" w:hAnsi="宋体" w:cs="宋体" w:eastAsia="宋体" w:hint="default"/>
          <w:spacing w:val="-55"/>
        </w:rPr>
        <w:t> </w:t>
      </w:r>
      <w:r>
        <w:rPr/>
        <w:t>年及</w:t>
      </w:r>
      <w:r>
        <w:rPr>
          <w:spacing w:val="-53"/>
        </w:rPr>
        <w:t> </w:t>
      </w:r>
      <w:r>
        <w:rPr>
          <w:rFonts w:ascii="宋体" w:hAnsi="宋体" w:cs="宋体" w:eastAsia="宋体" w:hint="default"/>
        </w:rPr>
        <w:t>2017</w:t>
      </w:r>
      <w:r>
        <w:rPr>
          <w:rFonts w:ascii="宋体" w:hAnsi="宋体" w:cs="宋体" w:eastAsia="宋体" w:hint="default"/>
          <w:spacing w:val="-55"/>
        </w:rPr>
        <w:t> </w:t>
      </w:r>
      <w:r>
        <w:rPr/>
        <w:t>年均享受</w:t>
      </w:r>
      <w:r>
        <w:rPr>
          <w:spacing w:val="-55"/>
        </w:rPr>
        <w:t> </w:t>
      </w:r>
      <w:r>
        <w:rPr>
          <w:rFonts w:ascii="宋体" w:hAnsi="宋体" w:cs="宋体" w:eastAsia="宋体" w:hint="default"/>
        </w:rPr>
        <w:t>15%</w:t>
      </w:r>
      <w:r>
        <w:rPr/>
        <w:t>的优惠税率。</w:t>
      </w:r>
    </w:p>
    <w:p>
      <w:pPr>
        <w:spacing w:line="240" w:lineRule="auto" w:before="11"/>
        <w:rPr>
          <w:rFonts w:ascii="宋体" w:hAnsi="宋体" w:cs="宋体" w:eastAsia="宋体" w:hint="default"/>
          <w:sz w:val="20"/>
          <w:szCs w:val="20"/>
        </w:rPr>
      </w:pPr>
    </w:p>
    <w:p>
      <w:pPr>
        <w:pStyle w:val="BodyText"/>
        <w:spacing w:line="237" w:lineRule="auto"/>
        <w:ind w:left="138" w:right="208"/>
        <w:jc w:val="both"/>
      </w:pPr>
      <w:r>
        <w:rPr>
          <w:spacing w:val="-2"/>
          <w:w w:val="100"/>
        </w:rPr>
        <w:t>本公司之子公司用友汽车于</w:t>
      </w:r>
      <w:r>
        <w:rPr>
          <w:spacing w:val="-50"/>
          <w:w w:val="100"/>
        </w:rPr>
        <w:t> </w:t>
      </w:r>
      <w:r>
        <w:rPr>
          <w:rFonts w:ascii="宋体" w:hAnsi="宋体" w:cs="宋体" w:eastAsia="宋体" w:hint="default"/>
          <w:spacing w:val="-1"/>
          <w:w w:val="100"/>
        </w:rPr>
        <w:t>2017</w:t>
      </w:r>
      <w:r>
        <w:rPr>
          <w:rFonts w:ascii="宋体" w:hAnsi="宋体" w:cs="宋体" w:eastAsia="宋体" w:hint="default"/>
          <w:spacing w:val="-50"/>
          <w:w w:val="100"/>
        </w:rPr>
        <w:t> </w:t>
      </w:r>
      <w:r>
        <w:rPr>
          <w:w w:val="100"/>
        </w:rPr>
        <w:t>年</w:t>
      </w:r>
      <w:r>
        <w:rPr>
          <w:spacing w:val="-52"/>
          <w:w w:val="100"/>
        </w:rPr>
        <w:t> </w:t>
      </w:r>
      <w:r>
        <w:rPr>
          <w:rFonts w:ascii="宋体" w:hAnsi="宋体" w:cs="宋体" w:eastAsia="宋体" w:hint="default"/>
          <w:w w:val="100"/>
        </w:rPr>
        <w:t>10</w:t>
      </w:r>
      <w:r>
        <w:rPr>
          <w:rFonts w:ascii="宋体" w:hAnsi="宋体" w:cs="宋体" w:eastAsia="宋体" w:hint="default"/>
          <w:spacing w:val="-52"/>
          <w:w w:val="100"/>
        </w:rPr>
        <w:t> </w:t>
      </w:r>
      <w:r>
        <w:rPr>
          <w:w w:val="100"/>
        </w:rPr>
        <w:t>月</w:t>
      </w:r>
      <w:r>
        <w:rPr>
          <w:spacing w:val="-50"/>
          <w:w w:val="100"/>
        </w:rPr>
        <w:t> </w:t>
      </w:r>
      <w:r>
        <w:rPr>
          <w:rFonts w:ascii="宋体" w:hAnsi="宋体" w:cs="宋体" w:eastAsia="宋体" w:hint="default"/>
          <w:w w:val="100"/>
        </w:rPr>
        <w:t>23</w:t>
      </w:r>
      <w:r>
        <w:rPr>
          <w:rFonts w:ascii="宋体" w:hAnsi="宋体" w:cs="宋体" w:eastAsia="宋体" w:hint="default"/>
          <w:spacing w:val="-52"/>
          <w:w w:val="100"/>
        </w:rPr>
        <w:t> </w:t>
      </w:r>
      <w:r>
        <w:rPr>
          <w:spacing w:val="-6"/>
          <w:w w:val="100"/>
        </w:rPr>
        <w:t>日取得了有效期为三年的高新技术企业证书，证书编</w:t>
      </w:r>
      <w:r>
        <w:rPr>
          <w:w w:val="100"/>
        </w:rPr>
        <w:t> </w:t>
      </w:r>
      <w:r>
        <w:rPr/>
        <w:t>号为</w:t>
      </w:r>
      <w:r>
        <w:rPr>
          <w:spacing w:val="-55"/>
        </w:rPr>
        <w:t> </w:t>
      </w:r>
      <w:r>
        <w:rPr>
          <w:rFonts w:ascii="宋体" w:hAnsi="宋体" w:cs="宋体" w:eastAsia="宋体" w:hint="default"/>
        </w:rPr>
        <w:t>GR201731000908</w:t>
      </w:r>
      <w:r>
        <w:rPr/>
        <w:t>，</w:t>
      </w:r>
      <w:r>
        <w:rPr>
          <w:rFonts w:ascii="宋体" w:hAnsi="宋体" w:cs="宋体" w:eastAsia="宋体" w:hint="default"/>
        </w:rPr>
        <w:t>2017</w:t>
      </w:r>
      <w:r>
        <w:rPr>
          <w:rFonts w:ascii="宋体" w:hAnsi="宋体" w:cs="宋体" w:eastAsia="宋体" w:hint="default"/>
          <w:spacing w:val="-55"/>
        </w:rPr>
        <w:t> </w:t>
      </w:r>
      <w:r>
        <w:rPr/>
        <w:t>年可享受</w:t>
      </w:r>
      <w:r>
        <w:rPr>
          <w:spacing w:val="-55"/>
        </w:rPr>
        <w:t> </w:t>
      </w:r>
      <w:r>
        <w:rPr>
          <w:rFonts w:ascii="宋体" w:hAnsi="宋体" w:cs="宋体" w:eastAsia="宋体" w:hint="default"/>
        </w:rPr>
        <w:t>15%</w:t>
      </w:r>
      <w:r>
        <w:rPr/>
        <w:t>的优惠税率。用友汽车在</w:t>
      </w:r>
      <w:r>
        <w:rPr>
          <w:spacing w:val="-55"/>
        </w:rPr>
        <w:t> </w:t>
      </w:r>
      <w:r>
        <w:rPr>
          <w:rFonts w:ascii="宋体" w:hAnsi="宋体" w:cs="宋体" w:eastAsia="宋体" w:hint="default"/>
        </w:rPr>
        <w:t>2017</w:t>
      </w:r>
      <w:r>
        <w:rPr>
          <w:rFonts w:ascii="宋体" w:hAnsi="宋体" w:cs="宋体" w:eastAsia="宋体" w:hint="default"/>
          <w:spacing w:val="-55"/>
        </w:rPr>
        <w:t> </w:t>
      </w:r>
      <w:r>
        <w:rPr/>
        <w:t>年成功备案国家规划布</w:t>
      </w:r>
      <w:r>
        <w:rPr>
          <w:w w:val="100"/>
        </w:rPr>
        <w:t> </w:t>
      </w:r>
      <w:r>
        <w:rPr/>
        <w:t>局内重点软件企业，在</w:t>
      </w:r>
      <w:r>
        <w:rPr>
          <w:spacing w:val="-56"/>
        </w:rPr>
        <w:t> </w:t>
      </w:r>
      <w:r>
        <w:rPr>
          <w:rFonts w:ascii="宋体" w:hAnsi="宋体" w:cs="宋体" w:eastAsia="宋体" w:hint="default"/>
        </w:rPr>
        <w:t>2016</w:t>
      </w:r>
      <w:r>
        <w:rPr>
          <w:rFonts w:ascii="宋体" w:hAnsi="宋体" w:cs="宋体" w:eastAsia="宋体" w:hint="default"/>
          <w:spacing w:val="-57"/>
        </w:rPr>
        <w:t> </w:t>
      </w:r>
      <w:r>
        <w:rPr/>
        <w:t>年所得税汇算清缴时，减按</w:t>
      </w:r>
      <w:r>
        <w:rPr>
          <w:spacing w:val="-57"/>
        </w:rPr>
        <w:t> </w:t>
      </w:r>
      <w:r>
        <w:rPr>
          <w:rFonts w:ascii="宋体" w:hAnsi="宋体" w:cs="宋体" w:eastAsia="宋体" w:hint="default"/>
        </w:rPr>
        <w:t>10%</w:t>
      </w:r>
      <w:r>
        <w:rPr/>
        <w:t>的税率征收企业所得税。</w:t>
      </w:r>
    </w:p>
    <w:p>
      <w:pPr>
        <w:spacing w:line="240" w:lineRule="auto" w:before="11"/>
        <w:rPr>
          <w:rFonts w:ascii="宋体" w:hAnsi="宋体" w:cs="宋体" w:eastAsia="宋体" w:hint="default"/>
          <w:sz w:val="20"/>
          <w:szCs w:val="20"/>
        </w:rPr>
      </w:pPr>
    </w:p>
    <w:p>
      <w:pPr>
        <w:pStyle w:val="BodyText"/>
        <w:spacing w:line="237" w:lineRule="auto"/>
        <w:ind w:left="138" w:right="210"/>
        <w:jc w:val="both"/>
      </w:pPr>
      <w:r>
        <w:rPr>
          <w:spacing w:val="-2"/>
          <w:w w:val="100"/>
        </w:rPr>
        <w:t>本公司之子公司畅捷通于</w:t>
      </w:r>
      <w:r>
        <w:rPr>
          <w:spacing w:val="-52"/>
          <w:w w:val="100"/>
        </w:rPr>
        <w:t> </w:t>
      </w:r>
      <w:r>
        <w:rPr>
          <w:rFonts w:ascii="宋体" w:hAnsi="宋体" w:cs="宋体" w:eastAsia="宋体" w:hint="default"/>
          <w:w w:val="100"/>
        </w:rPr>
        <w:t>2014</w:t>
      </w:r>
      <w:r>
        <w:rPr>
          <w:rFonts w:ascii="宋体" w:hAnsi="宋体" w:cs="宋体" w:eastAsia="宋体" w:hint="default"/>
          <w:spacing w:val="-52"/>
          <w:w w:val="100"/>
        </w:rPr>
        <w:t> </w:t>
      </w:r>
      <w:r>
        <w:rPr>
          <w:w w:val="100"/>
        </w:rPr>
        <w:t>年</w:t>
      </w:r>
      <w:r>
        <w:rPr>
          <w:spacing w:val="-50"/>
          <w:w w:val="100"/>
        </w:rPr>
        <w:t> </w:t>
      </w:r>
      <w:r>
        <w:rPr>
          <w:rFonts w:ascii="宋体" w:hAnsi="宋体" w:cs="宋体" w:eastAsia="宋体" w:hint="default"/>
          <w:w w:val="100"/>
        </w:rPr>
        <w:t>10</w:t>
      </w:r>
      <w:r>
        <w:rPr>
          <w:rFonts w:ascii="宋体" w:hAnsi="宋体" w:cs="宋体" w:eastAsia="宋体" w:hint="default"/>
          <w:spacing w:val="-52"/>
          <w:w w:val="100"/>
        </w:rPr>
        <w:t> </w:t>
      </w:r>
      <w:r>
        <w:rPr>
          <w:w w:val="100"/>
        </w:rPr>
        <w:t>月</w:t>
      </w:r>
      <w:r>
        <w:rPr>
          <w:spacing w:val="-50"/>
          <w:w w:val="100"/>
        </w:rPr>
        <w:t> </w:t>
      </w:r>
      <w:r>
        <w:rPr>
          <w:rFonts w:ascii="宋体" w:hAnsi="宋体" w:cs="宋体" w:eastAsia="宋体" w:hint="default"/>
          <w:spacing w:val="-2"/>
          <w:w w:val="100"/>
        </w:rPr>
        <w:t>22</w:t>
      </w:r>
      <w:r>
        <w:rPr>
          <w:rFonts w:ascii="宋体" w:hAnsi="宋体" w:cs="宋体" w:eastAsia="宋体" w:hint="default"/>
          <w:spacing w:val="-50"/>
          <w:w w:val="100"/>
        </w:rPr>
        <w:t> </w:t>
      </w:r>
      <w:r>
        <w:rPr>
          <w:spacing w:val="-6"/>
          <w:w w:val="100"/>
        </w:rPr>
        <w:t>日取得了有效期为三年的高新技术企业证书，证书编号</w:t>
      </w:r>
      <w:r>
        <w:rPr>
          <w:w w:val="100"/>
        </w:rPr>
        <w:t> </w:t>
      </w:r>
      <w:r>
        <w:rPr/>
        <w:t>为</w:t>
      </w:r>
      <w:r>
        <w:rPr>
          <w:spacing w:val="-56"/>
        </w:rPr>
        <w:t> </w:t>
      </w:r>
      <w:r>
        <w:rPr>
          <w:rFonts w:ascii="宋体" w:hAnsi="宋体" w:cs="宋体" w:eastAsia="宋体" w:hint="default"/>
        </w:rPr>
        <w:t>GF201411000681</w:t>
      </w:r>
      <w:r>
        <w:rPr/>
        <w:t>，证书到期后未进行复审。</w:t>
      </w:r>
      <w:r>
        <w:rPr>
          <w:rFonts w:ascii="宋体" w:hAnsi="宋体" w:cs="宋体" w:eastAsia="宋体" w:hint="default"/>
        </w:rPr>
        <w:t>2017</w:t>
      </w:r>
      <w:r>
        <w:rPr>
          <w:rFonts w:ascii="宋体" w:hAnsi="宋体" w:cs="宋体" w:eastAsia="宋体" w:hint="default"/>
          <w:spacing w:val="-57"/>
        </w:rPr>
        <w:t> </w:t>
      </w:r>
      <w:r>
        <w:rPr/>
        <w:t>年畅捷通预计符合</w:t>
      </w:r>
      <w:r>
        <w:rPr>
          <w:spacing w:val="-56"/>
        </w:rPr>
        <w:t> </w:t>
      </w:r>
      <w:r>
        <w:rPr>
          <w:rFonts w:ascii="宋体" w:hAnsi="宋体" w:cs="宋体" w:eastAsia="宋体" w:hint="default"/>
        </w:rPr>
        <w:t>49</w:t>
      </w:r>
      <w:r>
        <w:rPr>
          <w:rFonts w:ascii="宋体" w:hAnsi="宋体" w:cs="宋体" w:eastAsia="宋体" w:hint="default"/>
          <w:spacing w:val="-56"/>
        </w:rPr>
        <w:t> </w:t>
      </w:r>
      <w:r>
        <w:rPr/>
        <w:t>号文规定的“国家规划</w:t>
      </w:r>
      <w:r>
        <w:rPr>
          <w:w w:val="100"/>
        </w:rPr>
        <w:t> </w:t>
      </w:r>
      <w:r>
        <w:rPr/>
        <w:t>布局内重点软件企业”要求，可享受</w:t>
      </w:r>
      <w:r>
        <w:rPr>
          <w:spacing w:val="-55"/>
        </w:rPr>
        <w:t> </w:t>
      </w:r>
      <w:r>
        <w:rPr>
          <w:rFonts w:ascii="宋体" w:hAnsi="宋体" w:cs="宋体" w:eastAsia="宋体" w:hint="default"/>
        </w:rPr>
        <w:t>10%</w:t>
      </w:r>
      <w:r>
        <w:rPr/>
        <w:t>的优惠税率。</w:t>
      </w:r>
    </w:p>
    <w:p>
      <w:pPr>
        <w:spacing w:line="240" w:lineRule="auto" w:before="12"/>
        <w:rPr>
          <w:rFonts w:ascii="宋体" w:hAnsi="宋体" w:cs="宋体" w:eastAsia="宋体" w:hint="default"/>
          <w:sz w:val="20"/>
          <w:szCs w:val="20"/>
        </w:rPr>
      </w:pPr>
    </w:p>
    <w:p>
      <w:pPr>
        <w:pStyle w:val="BodyText"/>
        <w:spacing w:line="237" w:lineRule="auto"/>
        <w:ind w:left="138" w:right="208"/>
        <w:jc w:val="both"/>
      </w:pPr>
      <w:r>
        <w:rPr>
          <w:spacing w:val="-2"/>
          <w:w w:val="100"/>
        </w:rPr>
        <w:t>本公司之子公司用友审计于</w:t>
      </w:r>
      <w:r>
        <w:rPr>
          <w:spacing w:val="-50"/>
          <w:w w:val="100"/>
        </w:rPr>
        <w:t> </w:t>
      </w:r>
      <w:r>
        <w:rPr>
          <w:rFonts w:ascii="宋体" w:hAnsi="宋体" w:cs="宋体" w:eastAsia="宋体" w:hint="default"/>
          <w:spacing w:val="-1"/>
          <w:w w:val="100"/>
        </w:rPr>
        <w:t>2014</w:t>
      </w:r>
      <w:r>
        <w:rPr>
          <w:rFonts w:ascii="宋体" w:hAnsi="宋体" w:cs="宋体" w:eastAsia="宋体" w:hint="default"/>
          <w:spacing w:val="-50"/>
          <w:w w:val="100"/>
        </w:rPr>
        <w:t> </w:t>
      </w:r>
      <w:r>
        <w:rPr>
          <w:w w:val="100"/>
        </w:rPr>
        <w:t>年</w:t>
      </w:r>
      <w:r>
        <w:rPr>
          <w:spacing w:val="-52"/>
          <w:w w:val="100"/>
        </w:rPr>
        <w:t> </w:t>
      </w:r>
      <w:r>
        <w:rPr>
          <w:rFonts w:ascii="宋体" w:hAnsi="宋体" w:cs="宋体" w:eastAsia="宋体" w:hint="default"/>
          <w:w w:val="100"/>
        </w:rPr>
        <w:t>10</w:t>
      </w:r>
      <w:r>
        <w:rPr>
          <w:rFonts w:ascii="宋体" w:hAnsi="宋体" w:cs="宋体" w:eastAsia="宋体" w:hint="default"/>
          <w:spacing w:val="-52"/>
          <w:w w:val="100"/>
        </w:rPr>
        <w:t> </w:t>
      </w:r>
      <w:r>
        <w:rPr>
          <w:w w:val="100"/>
        </w:rPr>
        <w:t>月</w:t>
      </w:r>
      <w:r>
        <w:rPr>
          <w:spacing w:val="-50"/>
          <w:w w:val="100"/>
        </w:rPr>
        <w:t> </w:t>
      </w:r>
      <w:r>
        <w:rPr>
          <w:rFonts w:ascii="宋体" w:hAnsi="宋体" w:cs="宋体" w:eastAsia="宋体" w:hint="default"/>
          <w:w w:val="100"/>
        </w:rPr>
        <w:t>30</w:t>
      </w:r>
      <w:r>
        <w:rPr>
          <w:rFonts w:ascii="宋体" w:hAnsi="宋体" w:cs="宋体" w:eastAsia="宋体" w:hint="default"/>
          <w:spacing w:val="-52"/>
          <w:w w:val="100"/>
        </w:rPr>
        <w:t> </w:t>
      </w:r>
      <w:r>
        <w:rPr>
          <w:spacing w:val="-6"/>
          <w:w w:val="100"/>
        </w:rPr>
        <w:t>日取得了有效期为三年的高新技术企业证书，证书编</w:t>
      </w:r>
      <w:r>
        <w:rPr>
          <w:w w:val="100"/>
        </w:rPr>
        <w:t> </w:t>
      </w:r>
      <w:r>
        <w:rPr/>
        <w:t>号为</w:t>
      </w:r>
      <w:r>
        <w:rPr>
          <w:spacing w:val="-56"/>
        </w:rPr>
        <w:t> </w:t>
      </w:r>
      <w:r>
        <w:rPr>
          <w:rFonts w:ascii="宋体" w:hAnsi="宋体" w:cs="宋体" w:eastAsia="宋体" w:hint="default"/>
        </w:rPr>
        <w:t>GF201411001347</w:t>
      </w:r>
      <w:r>
        <w:rPr/>
        <w:t>，证书于</w:t>
      </w:r>
      <w:r>
        <w:rPr>
          <w:spacing w:val="-55"/>
        </w:rPr>
        <w:t> </w:t>
      </w:r>
      <w:r>
        <w:rPr>
          <w:rFonts w:ascii="宋体" w:hAnsi="宋体" w:cs="宋体" w:eastAsia="宋体" w:hint="default"/>
        </w:rPr>
        <w:t>2017</w:t>
      </w:r>
      <w:r>
        <w:rPr>
          <w:rFonts w:ascii="宋体" w:hAnsi="宋体" w:cs="宋体" w:eastAsia="宋体" w:hint="default"/>
          <w:spacing w:val="-58"/>
        </w:rPr>
        <w:t> </w:t>
      </w:r>
      <w:r>
        <w:rPr/>
        <w:t>年到期后已复审通过，新证书编号为</w:t>
      </w:r>
      <w:r>
        <w:rPr>
          <w:spacing w:val="-56"/>
        </w:rPr>
        <w:t> </w:t>
      </w:r>
      <w:r>
        <w:rPr>
          <w:rFonts w:ascii="宋体" w:hAnsi="宋体" w:cs="宋体" w:eastAsia="宋体" w:hint="default"/>
        </w:rPr>
        <w:t>GR201711008235</w:t>
      </w:r>
      <w:r>
        <w:rPr/>
        <w:t>，</w:t>
      </w:r>
      <w:r>
        <w:rPr>
          <w:rFonts w:ascii="宋体" w:hAnsi="宋体" w:cs="宋体" w:eastAsia="宋体" w:hint="default"/>
        </w:rPr>
        <w:t>2016</w:t>
      </w:r>
      <w:r>
        <w:rPr>
          <w:rFonts w:ascii="宋体" w:hAnsi="宋体" w:cs="宋体" w:eastAsia="宋体" w:hint="default"/>
          <w:w w:val="100"/>
        </w:rPr>
        <w:t> </w:t>
      </w:r>
      <w:r>
        <w:rPr/>
        <w:t>年及</w:t>
      </w:r>
      <w:r>
        <w:rPr>
          <w:spacing w:val="-52"/>
        </w:rPr>
        <w:t> </w:t>
      </w:r>
      <w:r>
        <w:rPr>
          <w:rFonts w:ascii="宋体" w:hAnsi="宋体" w:cs="宋体" w:eastAsia="宋体" w:hint="default"/>
        </w:rPr>
        <w:t>2017</w:t>
      </w:r>
      <w:r>
        <w:rPr>
          <w:rFonts w:ascii="宋体" w:hAnsi="宋体" w:cs="宋体" w:eastAsia="宋体" w:hint="default"/>
          <w:spacing w:val="-54"/>
        </w:rPr>
        <w:t> </w:t>
      </w:r>
      <w:r>
        <w:rPr/>
        <w:t>年均享受</w:t>
      </w:r>
      <w:r>
        <w:rPr>
          <w:spacing w:val="-54"/>
        </w:rPr>
        <w:t> </w:t>
      </w:r>
      <w:r>
        <w:rPr>
          <w:rFonts w:ascii="宋体" w:hAnsi="宋体" w:cs="宋体" w:eastAsia="宋体" w:hint="default"/>
        </w:rPr>
        <w:t>15%</w:t>
      </w:r>
      <w:r>
        <w:rPr/>
        <w:t>的优惠税率。</w:t>
      </w:r>
    </w:p>
    <w:p>
      <w:pPr>
        <w:spacing w:line="240" w:lineRule="auto" w:before="9"/>
        <w:rPr>
          <w:rFonts w:ascii="宋体" w:hAnsi="宋体" w:cs="宋体" w:eastAsia="宋体" w:hint="default"/>
          <w:sz w:val="20"/>
          <w:szCs w:val="20"/>
        </w:rPr>
      </w:pPr>
    </w:p>
    <w:p>
      <w:pPr>
        <w:pStyle w:val="BodyText"/>
        <w:spacing w:line="237" w:lineRule="auto"/>
        <w:ind w:left="138" w:right="207"/>
        <w:jc w:val="both"/>
      </w:pPr>
      <w:r>
        <w:rPr/>
        <w:t>本公司之子公司用友政务于</w:t>
      </w:r>
      <w:r>
        <w:rPr>
          <w:spacing w:val="-55"/>
        </w:rPr>
        <w:t> </w:t>
      </w:r>
      <w:r>
        <w:rPr>
          <w:rFonts w:ascii="宋体" w:hAnsi="宋体" w:cs="宋体" w:eastAsia="宋体" w:hint="default"/>
        </w:rPr>
        <w:t>2017</w:t>
      </w:r>
      <w:r>
        <w:rPr>
          <w:rFonts w:ascii="宋体" w:hAnsi="宋体" w:cs="宋体" w:eastAsia="宋体" w:hint="default"/>
          <w:spacing w:val="-55"/>
        </w:rPr>
        <w:t> </w:t>
      </w:r>
      <w:r>
        <w:rPr/>
        <w:t>年</w:t>
      </w:r>
      <w:r>
        <w:rPr>
          <w:spacing w:val="-57"/>
        </w:rPr>
        <w:t> </w:t>
      </w:r>
      <w:r>
        <w:rPr>
          <w:rFonts w:ascii="宋体" w:hAnsi="宋体" w:cs="宋体" w:eastAsia="宋体" w:hint="default"/>
        </w:rPr>
        <w:t>5</w:t>
      </w:r>
      <w:r>
        <w:rPr>
          <w:rFonts w:ascii="宋体" w:hAnsi="宋体" w:cs="宋体" w:eastAsia="宋体" w:hint="default"/>
          <w:spacing w:val="-55"/>
        </w:rPr>
        <w:t> </w:t>
      </w:r>
      <w:r>
        <w:rPr/>
        <w:t>月在北京市海淀区国家税务局对公司</w:t>
      </w:r>
      <w:r>
        <w:rPr>
          <w:spacing w:val="-55"/>
        </w:rPr>
        <w:t> </w:t>
      </w:r>
      <w:r>
        <w:rPr>
          <w:rFonts w:ascii="宋体" w:hAnsi="宋体" w:cs="宋体" w:eastAsia="宋体" w:hint="default"/>
        </w:rPr>
        <w:t>2016</w:t>
      </w:r>
      <w:r>
        <w:rPr>
          <w:rFonts w:ascii="宋体" w:hAnsi="宋体" w:cs="宋体" w:eastAsia="宋体" w:hint="default"/>
          <w:spacing w:val="-54"/>
        </w:rPr>
        <w:t> </w:t>
      </w:r>
      <w:r>
        <w:rPr/>
        <w:t>年度符合“国家</w:t>
      </w:r>
      <w:r>
        <w:rPr>
          <w:w w:val="100"/>
        </w:rPr>
        <w:t> </w:t>
      </w:r>
      <w:r>
        <w:rPr>
          <w:spacing w:val="-6"/>
          <w:w w:val="100"/>
        </w:rPr>
        <w:t>规划布局内重点软件企业”的事项进行备案，并按照</w:t>
      </w:r>
      <w:r>
        <w:rPr>
          <w:spacing w:val="-67"/>
          <w:w w:val="100"/>
        </w:rPr>
        <w:t> </w:t>
      </w:r>
      <w:r>
        <w:rPr>
          <w:rFonts w:ascii="宋体" w:hAnsi="宋体" w:cs="宋体" w:eastAsia="宋体" w:hint="default"/>
          <w:spacing w:val="-1"/>
          <w:w w:val="100"/>
        </w:rPr>
        <w:t>10%</w:t>
      </w:r>
      <w:r>
        <w:rPr>
          <w:spacing w:val="-1"/>
          <w:w w:val="100"/>
        </w:rPr>
        <w:t>的优惠税率进行</w:t>
      </w:r>
      <w:r>
        <w:rPr>
          <w:spacing w:val="-65"/>
          <w:w w:val="100"/>
        </w:rPr>
        <w:t> </w:t>
      </w:r>
      <w:r>
        <w:rPr>
          <w:rFonts w:ascii="宋体" w:hAnsi="宋体" w:cs="宋体" w:eastAsia="宋体" w:hint="default"/>
          <w:spacing w:val="-1"/>
          <w:w w:val="100"/>
        </w:rPr>
        <w:t>2016</w:t>
      </w:r>
      <w:r>
        <w:rPr>
          <w:rFonts w:ascii="宋体" w:hAnsi="宋体" w:cs="宋体" w:eastAsia="宋体" w:hint="default"/>
          <w:spacing w:val="-65"/>
          <w:w w:val="100"/>
        </w:rPr>
        <w:t> </w:t>
      </w:r>
      <w:r>
        <w:rPr>
          <w:spacing w:val="-11"/>
          <w:w w:val="100"/>
        </w:rPr>
        <w:t>年度汇算清缴。</w:t>
      </w:r>
      <w:r>
        <w:rPr>
          <w:rFonts w:ascii="宋体" w:hAnsi="宋体" w:cs="宋体" w:eastAsia="宋体" w:hint="default"/>
          <w:spacing w:val="-11"/>
          <w:w w:val="100"/>
        </w:rPr>
        <w:t>2017</w:t>
      </w:r>
      <w:r>
        <w:rPr>
          <w:rFonts w:ascii="宋体" w:hAnsi="宋体" w:cs="宋体" w:eastAsia="宋体" w:hint="default"/>
          <w:w w:val="100"/>
        </w:rPr>
        <w:t> </w:t>
      </w:r>
      <w:r>
        <w:rPr>
          <w:spacing w:val="-4"/>
        </w:rPr>
        <w:t>年度，公司仍符合</w:t>
      </w:r>
      <w:r>
        <w:rPr>
          <w:spacing w:val="-36"/>
        </w:rPr>
        <w:t> </w:t>
      </w:r>
      <w:r>
        <w:rPr>
          <w:rFonts w:ascii="宋体" w:hAnsi="宋体" w:cs="宋体" w:eastAsia="宋体" w:hint="default"/>
        </w:rPr>
        <w:t>49</w:t>
      </w:r>
      <w:r>
        <w:rPr>
          <w:rFonts w:ascii="宋体" w:hAnsi="宋体" w:cs="宋体" w:eastAsia="宋体" w:hint="default"/>
          <w:spacing w:val="-34"/>
        </w:rPr>
        <w:t> </w:t>
      </w:r>
      <w:r>
        <w:rPr>
          <w:spacing w:val="-3"/>
        </w:rPr>
        <w:t>号文规定的“国家规划布局内重点软件企业”要求，继续享受</w:t>
      </w:r>
      <w:r>
        <w:rPr>
          <w:spacing w:val="-32"/>
        </w:rPr>
        <w:t> </w:t>
      </w:r>
      <w:r>
        <w:rPr>
          <w:rFonts w:ascii="宋体" w:hAnsi="宋体" w:cs="宋体" w:eastAsia="宋体" w:hint="default"/>
        </w:rPr>
        <w:t>10%</w:t>
      </w:r>
      <w:r>
        <w:rPr/>
        <w:t>的优惠税</w:t>
      </w:r>
      <w:r>
        <w:rPr>
          <w:spacing w:val="-97"/>
        </w:rPr>
        <w:t> </w:t>
      </w:r>
      <w:r>
        <w:rPr>
          <w:spacing w:val="-97"/>
        </w:rPr>
      </w:r>
      <w:r>
        <w:rPr/>
        <w:t>率。</w:t>
      </w:r>
    </w:p>
    <w:p>
      <w:pPr>
        <w:spacing w:line="240" w:lineRule="auto" w:before="10"/>
        <w:rPr>
          <w:rFonts w:ascii="宋体" w:hAnsi="宋体" w:cs="宋体" w:eastAsia="宋体" w:hint="default"/>
          <w:sz w:val="22"/>
          <w:szCs w:val="22"/>
        </w:rPr>
      </w:pPr>
    </w:p>
    <w:p>
      <w:pPr>
        <w:pStyle w:val="BodyText"/>
        <w:spacing w:line="272" w:lineRule="exact"/>
        <w:ind w:left="138" w:right="208"/>
        <w:jc w:val="both"/>
      </w:pPr>
      <w:r>
        <w:rPr>
          <w:spacing w:val="-2"/>
          <w:w w:val="100"/>
        </w:rPr>
        <w:t>本公司之子公司厦门烟草于</w:t>
      </w:r>
      <w:r>
        <w:rPr>
          <w:spacing w:val="-50"/>
          <w:w w:val="100"/>
        </w:rPr>
        <w:t> </w:t>
      </w:r>
      <w:r>
        <w:rPr>
          <w:rFonts w:ascii="宋体" w:hAnsi="宋体" w:cs="宋体" w:eastAsia="宋体" w:hint="default"/>
          <w:spacing w:val="-1"/>
          <w:w w:val="100"/>
        </w:rPr>
        <w:t>2015</w:t>
      </w:r>
      <w:r>
        <w:rPr>
          <w:rFonts w:ascii="宋体" w:hAnsi="宋体" w:cs="宋体" w:eastAsia="宋体" w:hint="default"/>
          <w:spacing w:val="-50"/>
          <w:w w:val="100"/>
        </w:rPr>
        <w:t> </w:t>
      </w:r>
      <w:r>
        <w:rPr>
          <w:w w:val="100"/>
        </w:rPr>
        <w:t>年</w:t>
      </w:r>
      <w:r>
        <w:rPr>
          <w:spacing w:val="-52"/>
          <w:w w:val="100"/>
        </w:rPr>
        <w:t> </w:t>
      </w:r>
      <w:r>
        <w:rPr>
          <w:rFonts w:ascii="宋体" w:hAnsi="宋体" w:cs="宋体" w:eastAsia="宋体" w:hint="default"/>
          <w:w w:val="100"/>
        </w:rPr>
        <w:t>10</w:t>
      </w:r>
      <w:r>
        <w:rPr>
          <w:rFonts w:ascii="宋体" w:hAnsi="宋体" w:cs="宋体" w:eastAsia="宋体" w:hint="default"/>
          <w:spacing w:val="-52"/>
          <w:w w:val="100"/>
        </w:rPr>
        <w:t> </w:t>
      </w:r>
      <w:r>
        <w:rPr>
          <w:w w:val="100"/>
        </w:rPr>
        <w:t>月</w:t>
      </w:r>
      <w:r>
        <w:rPr>
          <w:spacing w:val="-50"/>
          <w:w w:val="100"/>
        </w:rPr>
        <w:t> </w:t>
      </w:r>
      <w:r>
        <w:rPr>
          <w:rFonts w:ascii="宋体" w:hAnsi="宋体" w:cs="宋体" w:eastAsia="宋体" w:hint="default"/>
          <w:w w:val="100"/>
        </w:rPr>
        <w:t>12</w:t>
      </w:r>
      <w:r>
        <w:rPr>
          <w:rFonts w:ascii="宋体" w:hAnsi="宋体" w:cs="宋体" w:eastAsia="宋体" w:hint="default"/>
          <w:spacing w:val="-52"/>
          <w:w w:val="100"/>
        </w:rPr>
        <w:t> </w:t>
      </w:r>
      <w:r>
        <w:rPr>
          <w:spacing w:val="-6"/>
          <w:w w:val="100"/>
        </w:rPr>
        <w:t>日取得了有效期为三年的高新技术企业证书，证书编</w:t>
      </w:r>
      <w:r>
        <w:rPr>
          <w:w w:val="100"/>
        </w:rPr>
        <w:t> </w:t>
      </w:r>
      <w:r>
        <w:rPr/>
        <w:t>号为</w:t>
      </w:r>
      <w:r>
        <w:rPr>
          <w:spacing w:val="-55"/>
        </w:rPr>
        <w:t> </w:t>
      </w:r>
      <w:r>
        <w:rPr>
          <w:rFonts w:ascii="宋体" w:hAnsi="宋体" w:cs="宋体" w:eastAsia="宋体" w:hint="default"/>
        </w:rPr>
        <w:t>GR201535100003</w:t>
      </w:r>
      <w:r>
        <w:rPr/>
        <w:t>，</w:t>
      </w:r>
      <w:r>
        <w:rPr>
          <w:rFonts w:ascii="宋体" w:hAnsi="宋体" w:cs="宋体" w:eastAsia="宋体" w:hint="default"/>
        </w:rPr>
        <w:t>2016</w:t>
      </w:r>
      <w:r>
        <w:rPr>
          <w:rFonts w:ascii="宋体" w:hAnsi="宋体" w:cs="宋体" w:eastAsia="宋体" w:hint="default"/>
          <w:spacing w:val="-55"/>
        </w:rPr>
        <w:t> </w:t>
      </w:r>
      <w:r>
        <w:rPr/>
        <w:t>年及</w:t>
      </w:r>
      <w:r>
        <w:rPr>
          <w:spacing w:val="-55"/>
        </w:rPr>
        <w:t> </w:t>
      </w:r>
      <w:r>
        <w:rPr>
          <w:rFonts w:ascii="宋体" w:hAnsi="宋体" w:cs="宋体" w:eastAsia="宋体" w:hint="default"/>
        </w:rPr>
        <w:t>2017</w:t>
      </w:r>
      <w:r>
        <w:rPr>
          <w:rFonts w:ascii="宋体" w:hAnsi="宋体" w:cs="宋体" w:eastAsia="宋体" w:hint="default"/>
          <w:spacing w:val="-55"/>
        </w:rPr>
        <w:t> </w:t>
      </w:r>
      <w:r>
        <w:rPr/>
        <w:t>年均享受</w:t>
      </w:r>
      <w:r>
        <w:rPr>
          <w:spacing w:val="-55"/>
        </w:rPr>
        <w:t> </w:t>
      </w:r>
      <w:r>
        <w:rPr>
          <w:rFonts w:ascii="宋体" w:hAnsi="宋体" w:cs="宋体" w:eastAsia="宋体" w:hint="default"/>
        </w:rPr>
        <w:t>15%</w:t>
      </w:r>
      <w:r>
        <w:rPr/>
        <w:t>的优惠税率。</w:t>
      </w:r>
    </w:p>
    <w:p>
      <w:pPr>
        <w:spacing w:line="240" w:lineRule="auto" w:before="10"/>
        <w:rPr>
          <w:rFonts w:ascii="宋体" w:hAnsi="宋体" w:cs="宋体" w:eastAsia="宋体" w:hint="default"/>
          <w:sz w:val="18"/>
          <w:szCs w:val="18"/>
        </w:rPr>
      </w:pPr>
    </w:p>
    <w:p>
      <w:pPr>
        <w:pStyle w:val="BodyText"/>
        <w:spacing w:line="240" w:lineRule="auto"/>
        <w:ind w:left="138" w:right="208"/>
        <w:jc w:val="both"/>
      </w:pPr>
      <w:r>
        <w:rPr>
          <w:spacing w:val="-2"/>
          <w:w w:val="100"/>
        </w:rPr>
        <w:t>本公司之子公司用友移动于</w:t>
      </w:r>
      <w:r>
        <w:rPr>
          <w:spacing w:val="-50"/>
          <w:w w:val="100"/>
        </w:rPr>
        <w:t> </w:t>
      </w:r>
      <w:r>
        <w:rPr>
          <w:rFonts w:ascii="宋体" w:hAnsi="宋体" w:cs="宋体" w:eastAsia="宋体" w:hint="default"/>
          <w:spacing w:val="-1"/>
          <w:w w:val="100"/>
        </w:rPr>
        <w:t>2015</w:t>
      </w:r>
      <w:r>
        <w:rPr>
          <w:rFonts w:ascii="宋体" w:hAnsi="宋体" w:cs="宋体" w:eastAsia="宋体" w:hint="default"/>
          <w:spacing w:val="-50"/>
          <w:w w:val="100"/>
        </w:rPr>
        <w:t> </w:t>
      </w:r>
      <w:r>
        <w:rPr>
          <w:w w:val="100"/>
        </w:rPr>
        <w:t>年</w:t>
      </w:r>
      <w:r>
        <w:rPr>
          <w:spacing w:val="-52"/>
          <w:w w:val="100"/>
        </w:rPr>
        <w:t> </w:t>
      </w:r>
      <w:r>
        <w:rPr>
          <w:rFonts w:ascii="宋体" w:hAnsi="宋体" w:cs="宋体" w:eastAsia="宋体" w:hint="default"/>
          <w:w w:val="100"/>
        </w:rPr>
        <w:t>12</w:t>
      </w:r>
      <w:r>
        <w:rPr>
          <w:rFonts w:ascii="宋体" w:hAnsi="宋体" w:cs="宋体" w:eastAsia="宋体" w:hint="default"/>
          <w:spacing w:val="-52"/>
          <w:w w:val="100"/>
        </w:rPr>
        <w:t> </w:t>
      </w:r>
      <w:r>
        <w:rPr>
          <w:w w:val="100"/>
        </w:rPr>
        <w:t>月</w:t>
      </w:r>
      <w:r>
        <w:rPr>
          <w:spacing w:val="-50"/>
          <w:w w:val="100"/>
        </w:rPr>
        <w:t> </w:t>
      </w:r>
      <w:r>
        <w:rPr>
          <w:rFonts w:ascii="宋体" w:hAnsi="宋体" w:cs="宋体" w:eastAsia="宋体" w:hint="default"/>
          <w:w w:val="100"/>
        </w:rPr>
        <w:t>24</w:t>
      </w:r>
      <w:r>
        <w:rPr>
          <w:rFonts w:ascii="宋体" w:hAnsi="宋体" w:cs="宋体" w:eastAsia="宋体" w:hint="default"/>
          <w:spacing w:val="-52"/>
          <w:w w:val="100"/>
        </w:rPr>
        <w:t> </w:t>
      </w:r>
      <w:r>
        <w:rPr>
          <w:spacing w:val="-6"/>
          <w:w w:val="100"/>
        </w:rPr>
        <w:t>日取得了有效期为三年的高新技术企业证书，证书编</w:t>
      </w:r>
      <w:r>
        <w:rPr>
          <w:w w:val="100"/>
        </w:rPr>
        <w:t> </w:t>
      </w:r>
      <w:r>
        <w:rPr/>
        <w:t>号为</w:t>
      </w:r>
      <w:r>
        <w:rPr>
          <w:spacing w:val="-55"/>
        </w:rPr>
        <w:t> </w:t>
      </w:r>
      <w:r>
        <w:rPr>
          <w:rFonts w:ascii="宋体" w:hAnsi="宋体" w:cs="宋体" w:eastAsia="宋体" w:hint="default"/>
        </w:rPr>
        <w:t>GR201511002979</w:t>
      </w:r>
      <w:r>
        <w:rPr/>
        <w:t>，</w:t>
      </w:r>
      <w:r>
        <w:rPr>
          <w:rFonts w:ascii="宋体" w:hAnsi="宋体" w:cs="宋体" w:eastAsia="宋体" w:hint="default"/>
        </w:rPr>
        <w:t>2016</w:t>
      </w:r>
      <w:r>
        <w:rPr>
          <w:rFonts w:ascii="宋体" w:hAnsi="宋体" w:cs="宋体" w:eastAsia="宋体" w:hint="default"/>
          <w:spacing w:val="-55"/>
        </w:rPr>
        <w:t> </w:t>
      </w:r>
      <w:r>
        <w:rPr/>
        <w:t>年及</w:t>
      </w:r>
      <w:r>
        <w:rPr>
          <w:spacing w:val="-55"/>
        </w:rPr>
        <w:t> </w:t>
      </w:r>
      <w:r>
        <w:rPr>
          <w:rFonts w:ascii="宋体" w:hAnsi="宋体" w:cs="宋体" w:eastAsia="宋体" w:hint="default"/>
        </w:rPr>
        <w:t>2017</w:t>
      </w:r>
      <w:r>
        <w:rPr>
          <w:rFonts w:ascii="宋体" w:hAnsi="宋体" w:cs="宋体" w:eastAsia="宋体" w:hint="default"/>
          <w:spacing w:val="-55"/>
        </w:rPr>
        <w:t> </w:t>
      </w:r>
      <w:r>
        <w:rPr/>
        <w:t>年均可享受</w:t>
      </w:r>
      <w:r>
        <w:rPr>
          <w:spacing w:val="-57"/>
        </w:rPr>
        <w:t> </w:t>
      </w:r>
      <w:r>
        <w:rPr>
          <w:rFonts w:ascii="宋体" w:hAnsi="宋体" w:cs="宋体" w:eastAsia="宋体" w:hint="default"/>
        </w:rPr>
        <w:t>15%</w:t>
      </w:r>
      <w:r>
        <w:rPr/>
        <w:t>的优惠税率。</w:t>
      </w:r>
    </w:p>
    <w:p>
      <w:pPr>
        <w:spacing w:after="0" w:line="240" w:lineRule="auto"/>
        <w:jc w:val="both"/>
        <w:sectPr>
          <w:pgSz w:w="11910" w:h="16840"/>
          <w:pgMar w:header="857" w:footer="1195" w:top="1320" w:bottom="1380" w:left="1660" w:right="1060"/>
        </w:sectPr>
      </w:pPr>
    </w:p>
    <w:p>
      <w:pPr>
        <w:spacing w:line="240" w:lineRule="auto" w:before="0"/>
        <w:rPr>
          <w:rFonts w:ascii="宋体" w:hAnsi="宋体" w:cs="宋体" w:eastAsia="宋体" w:hint="default"/>
          <w:sz w:val="20"/>
          <w:szCs w:val="20"/>
        </w:rPr>
      </w:pPr>
    </w:p>
    <w:p>
      <w:pPr>
        <w:pStyle w:val="BodyText"/>
        <w:spacing w:line="237" w:lineRule="auto" w:before="170"/>
        <w:ind w:left="138" w:right="207"/>
        <w:jc w:val="both"/>
      </w:pPr>
      <w:r>
        <w:rPr>
          <w:spacing w:val="-2"/>
        </w:rPr>
        <w:t>本公司之子公司用友能源，符合《鼓励软件产业和集成电路产业发展的若干政策》和《软件企业</w:t>
      </w:r>
      <w:r>
        <w:rPr>
          <w:spacing w:val="-25"/>
        </w:rPr>
        <w:t> </w:t>
      </w:r>
      <w:r>
        <w:rPr>
          <w:spacing w:val="-25"/>
        </w:rPr>
      </w:r>
      <w:r>
        <w:rPr>
          <w:spacing w:val="-3"/>
        </w:rPr>
        <w:t>认定标准及管理办法》的有关规定，被认定为软件企业，享受两免三减半的优惠政策，</w:t>
      </w:r>
      <w:r>
        <w:rPr>
          <w:rFonts w:ascii="宋体" w:hAnsi="宋体" w:cs="宋体" w:eastAsia="宋体" w:hint="default"/>
          <w:spacing w:val="-3"/>
        </w:rPr>
        <w:t>2017 </w:t>
      </w:r>
      <w:r>
        <w:rPr>
          <w:spacing w:val="-3"/>
        </w:rPr>
        <w:t>年为</w:t>
      </w:r>
      <w:r>
        <w:rPr>
          <w:spacing w:val="-82"/>
        </w:rPr>
        <w:t> </w:t>
      </w:r>
      <w:r>
        <w:rPr/>
        <w:t>免征收的第二年，可享受</w:t>
      </w:r>
      <w:r>
        <w:rPr>
          <w:spacing w:val="-55"/>
        </w:rPr>
        <w:t> </w:t>
      </w:r>
      <w:r>
        <w:rPr>
          <w:rFonts w:ascii="宋体" w:hAnsi="宋体" w:cs="宋体" w:eastAsia="宋体" w:hint="default"/>
        </w:rPr>
        <w:t>0%</w:t>
      </w:r>
      <w:r>
        <w:rPr/>
        <w:t>的优惠税率。</w:t>
      </w:r>
    </w:p>
    <w:p>
      <w:pPr>
        <w:spacing w:line="240" w:lineRule="auto" w:before="11"/>
        <w:rPr>
          <w:rFonts w:ascii="宋体" w:hAnsi="宋体" w:cs="宋体" w:eastAsia="宋体" w:hint="default"/>
          <w:sz w:val="20"/>
          <w:szCs w:val="20"/>
        </w:rPr>
      </w:pPr>
    </w:p>
    <w:p>
      <w:pPr>
        <w:pStyle w:val="BodyText"/>
        <w:spacing w:line="237" w:lineRule="auto"/>
        <w:ind w:left="138" w:right="207"/>
        <w:jc w:val="both"/>
      </w:pPr>
      <w:r>
        <w:rPr/>
        <w:t>本公司之子公司上海秉钧网络科技有限公司</w:t>
      </w:r>
      <w:r>
        <w:rPr>
          <w:rFonts w:ascii="宋体" w:hAnsi="宋体" w:cs="宋体" w:eastAsia="宋体" w:hint="default"/>
        </w:rPr>
        <w:t>(</w:t>
      </w:r>
      <w:r>
        <w:rPr/>
        <w:t>以下简称“秉钧网络”)于</w:t>
      </w:r>
      <w:r>
        <w:rPr>
          <w:spacing w:val="-69"/>
        </w:rPr>
        <w:t> </w:t>
      </w:r>
      <w:r>
        <w:rPr>
          <w:rFonts w:ascii="宋体" w:hAnsi="宋体" w:cs="宋体" w:eastAsia="宋体" w:hint="default"/>
        </w:rPr>
        <w:t>2016</w:t>
      </w:r>
      <w:r>
        <w:rPr>
          <w:rFonts w:ascii="宋体" w:hAnsi="宋体" w:cs="宋体" w:eastAsia="宋体" w:hint="default"/>
          <w:spacing w:val="-72"/>
        </w:rPr>
        <w:t> </w:t>
      </w:r>
      <w:r>
        <w:rPr/>
        <w:t>年</w:t>
      </w:r>
      <w:r>
        <w:rPr>
          <w:spacing w:val="-69"/>
        </w:rPr>
        <w:t> </w:t>
      </w:r>
      <w:r>
        <w:rPr>
          <w:rFonts w:ascii="宋体" w:hAnsi="宋体" w:cs="宋体" w:eastAsia="宋体" w:hint="default"/>
        </w:rPr>
        <w:t>11</w:t>
      </w:r>
      <w:r>
        <w:rPr>
          <w:rFonts w:ascii="宋体" w:hAnsi="宋体" w:cs="宋体" w:eastAsia="宋体" w:hint="default"/>
          <w:spacing w:val="-69"/>
        </w:rPr>
        <w:t> </w:t>
      </w:r>
      <w:r>
        <w:rPr/>
        <w:t>月</w:t>
      </w:r>
      <w:r>
        <w:rPr>
          <w:spacing w:val="-69"/>
        </w:rPr>
        <w:t> </w:t>
      </w:r>
      <w:r>
        <w:rPr>
          <w:rFonts w:ascii="宋体" w:hAnsi="宋体" w:cs="宋体" w:eastAsia="宋体" w:hint="default"/>
        </w:rPr>
        <w:t>24</w:t>
      </w:r>
      <w:r>
        <w:rPr>
          <w:rFonts w:ascii="宋体" w:hAnsi="宋体" w:cs="宋体" w:eastAsia="宋体" w:hint="default"/>
          <w:spacing w:val="-69"/>
        </w:rPr>
        <w:t> </w:t>
      </w:r>
      <w:r>
        <w:rPr/>
        <w:t>日取得了</w:t>
      </w:r>
      <w:r>
        <w:rPr>
          <w:w w:val="100"/>
        </w:rPr>
        <w:t> </w:t>
      </w:r>
      <w:r>
        <w:rPr>
          <w:spacing w:val="-3"/>
        </w:rPr>
        <w:t>有效期为三年的高新技术企业证书，证书编号为</w:t>
      </w:r>
      <w:r>
        <w:rPr>
          <w:spacing w:val="-52"/>
        </w:rPr>
        <w:t> </w:t>
      </w:r>
      <w:r>
        <w:rPr>
          <w:rFonts w:ascii="宋体" w:hAnsi="宋体" w:cs="宋体" w:eastAsia="宋体" w:hint="default"/>
        </w:rPr>
        <w:t>GR20631002061</w:t>
      </w:r>
      <w:r>
        <w:rPr/>
        <w:t>，</w:t>
      </w:r>
      <w:r>
        <w:rPr>
          <w:rFonts w:ascii="宋体" w:hAnsi="宋体" w:cs="宋体" w:eastAsia="宋体" w:hint="default"/>
        </w:rPr>
        <w:t>2016</w:t>
      </w:r>
      <w:r>
        <w:rPr>
          <w:rFonts w:ascii="宋体" w:hAnsi="宋体" w:cs="宋体" w:eastAsia="宋体" w:hint="default"/>
          <w:spacing w:val="-52"/>
        </w:rPr>
        <w:t> </w:t>
      </w:r>
      <w:r>
        <w:rPr/>
        <w:t>年及</w:t>
      </w:r>
      <w:r>
        <w:rPr>
          <w:spacing w:val="-52"/>
        </w:rPr>
        <w:t> </w:t>
      </w:r>
      <w:r>
        <w:rPr>
          <w:rFonts w:ascii="宋体" w:hAnsi="宋体" w:cs="宋体" w:eastAsia="宋体" w:hint="default"/>
        </w:rPr>
        <w:t>2017</w:t>
      </w:r>
      <w:r>
        <w:rPr>
          <w:rFonts w:ascii="宋体" w:hAnsi="宋体" w:cs="宋体" w:eastAsia="宋体" w:hint="default"/>
          <w:spacing w:val="-48"/>
        </w:rPr>
        <w:t> </w:t>
      </w:r>
      <w:r>
        <w:rPr/>
        <w:t>年均享受</w:t>
      </w:r>
      <w:r>
        <w:rPr>
          <w:spacing w:val="-49"/>
        </w:rPr>
        <w:t> </w:t>
      </w:r>
      <w:r>
        <w:rPr>
          <w:rFonts w:ascii="宋体" w:hAnsi="宋体" w:cs="宋体" w:eastAsia="宋体" w:hint="default"/>
        </w:rPr>
        <w:t>15%</w:t>
      </w:r>
      <w:r>
        <w:rPr/>
        <w:t>的</w:t>
      </w:r>
      <w:r>
        <w:rPr>
          <w:w w:val="100"/>
        </w:rPr>
        <w:t> </w:t>
      </w:r>
      <w:r>
        <w:rPr/>
        <w:t>优惠税率。</w:t>
      </w:r>
    </w:p>
    <w:p>
      <w:pPr>
        <w:spacing w:line="240" w:lineRule="auto" w:before="11"/>
        <w:rPr>
          <w:rFonts w:ascii="宋体" w:hAnsi="宋体" w:cs="宋体" w:eastAsia="宋体" w:hint="default"/>
          <w:sz w:val="20"/>
          <w:szCs w:val="20"/>
        </w:rPr>
      </w:pPr>
    </w:p>
    <w:p>
      <w:pPr>
        <w:pStyle w:val="BodyText"/>
        <w:spacing w:line="237" w:lineRule="auto"/>
        <w:ind w:left="138" w:right="215"/>
        <w:jc w:val="both"/>
      </w:pPr>
      <w:r>
        <w:rPr>
          <w:spacing w:val="-2"/>
        </w:rPr>
        <w:t>本公司之子公司用友广信，符合《鼓励软件产业和集成电路产业发展的若干政策》和《软件企业</w:t>
      </w:r>
      <w:r>
        <w:rPr>
          <w:spacing w:val="-25"/>
        </w:rPr>
        <w:t> </w:t>
      </w:r>
      <w:r>
        <w:rPr>
          <w:spacing w:val="-25"/>
        </w:rPr>
      </w:r>
      <w:r>
        <w:rPr>
          <w:spacing w:val="-3"/>
        </w:rPr>
        <w:t>认定标准及管理办法》的有关规定，被认定为软件企业，享受两免三减半的优惠政策，</w:t>
      </w:r>
      <w:r>
        <w:rPr>
          <w:rFonts w:ascii="宋体" w:hAnsi="宋体" w:cs="宋体" w:eastAsia="宋体" w:hint="default"/>
          <w:spacing w:val="-3"/>
        </w:rPr>
        <w:t>2017 </w:t>
      </w:r>
      <w:r>
        <w:rPr>
          <w:spacing w:val="-3"/>
        </w:rPr>
        <w:t>年为</w:t>
      </w:r>
      <w:r>
        <w:rPr>
          <w:spacing w:val="-82"/>
        </w:rPr>
        <w:t> </w:t>
      </w:r>
      <w:r>
        <w:rPr/>
        <w:t>免征收的第二年，可享受</w:t>
      </w:r>
      <w:r>
        <w:rPr>
          <w:spacing w:val="-55"/>
        </w:rPr>
        <w:t> </w:t>
      </w:r>
      <w:r>
        <w:rPr>
          <w:rFonts w:ascii="宋体" w:hAnsi="宋体" w:cs="宋体" w:eastAsia="宋体" w:hint="default"/>
        </w:rPr>
        <w:t>0%</w:t>
      </w:r>
      <w:r>
        <w:rPr/>
        <w:t>的优惠税率。</w:t>
      </w:r>
    </w:p>
    <w:p>
      <w:pPr>
        <w:spacing w:line="240" w:lineRule="auto" w:before="9"/>
        <w:rPr>
          <w:rFonts w:ascii="宋体" w:hAnsi="宋体" w:cs="宋体" w:eastAsia="宋体" w:hint="default"/>
          <w:sz w:val="20"/>
          <w:szCs w:val="20"/>
        </w:rPr>
      </w:pPr>
    </w:p>
    <w:p>
      <w:pPr>
        <w:pStyle w:val="BodyText"/>
        <w:spacing w:line="273" w:lineRule="exact"/>
        <w:ind w:left="138" w:right="0"/>
        <w:jc w:val="both"/>
      </w:pPr>
      <w:r>
        <w:rPr/>
        <w:t>本公司之子公司新道科技，于</w:t>
      </w:r>
      <w:r>
        <w:rPr>
          <w:spacing w:val="-53"/>
        </w:rPr>
        <w:t> </w:t>
      </w:r>
      <w:r>
        <w:rPr>
          <w:rFonts w:ascii="宋体" w:hAnsi="宋体" w:cs="宋体" w:eastAsia="宋体" w:hint="default"/>
        </w:rPr>
        <w:t>2014</w:t>
      </w:r>
      <w:r>
        <w:rPr>
          <w:rFonts w:ascii="宋体" w:hAnsi="宋体" w:cs="宋体" w:eastAsia="宋体" w:hint="default"/>
          <w:spacing w:val="-55"/>
        </w:rPr>
        <w:t> </w:t>
      </w:r>
      <w:r>
        <w:rPr/>
        <w:t>年</w:t>
      </w:r>
      <w:r>
        <w:rPr>
          <w:spacing w:val="-53"/>
        </w:rPr>
        <w:t> </w:t>
      </w:r>
      <w:r>
        <w:rPr>
          <w:rFonts w:ascii="宋体" w:hAnsi="宋体" w:cs="宋体" w:eastAsia="宋体" w:hint="default"/>
        </w:rPr>
        <w:t>9</w:t>
      </w:r>
      <w:r>
        <w:rPr>
          <w:rFonts w:ascii="宋体" w:hAnsi="宋体" w:cs="宋体" w:eastAsia="宋体" w:hint="default"/>
          <w:spacing w:val="-55"/>
        </w:rPr>
        <w:t> </w:t>
      </w:r>
      <w:r>
        <w:rPr/>
        <w:t>月</w:t>
      </w:r>
      <w:r>
        <w:rPr>
          <w:spacing w:val="-53"/>
        </w:rPr>
        <w:t> </w:t>
      </w:r>
      <w:r>
        <w:rPr>
          <w:rFonts w:ascii="宋体" w:hAnsi="宋体" w:cs="宋体" w:eastAsia="宋体" w:hint="default"/>
        </w:rPr>
        <w:t>25</w:t>
      </w:r>
      <w:r>
        <w:rPr>
          <w:rFonts w:ascii="宋体" w:hAnsi="宋体" w:cs="宋体" w:eastAsia="宋体" w:hint="default"/>
          <w:spacing w:val="-55"/>
        </w:rPr>
        <w:t> </w:t>
      </w:r>
      <w:r>
        <w:rPr/>
        <w:t>日取得了有效期为三年的高新技术企业证书，证书</w:t>
      </w:r>
    </w:p>
    <w:p>
      <w:pPr>
        <w:pStyle w:val="BodyText"/>
        <w:spacing w:line="240" w:lineRule="auto"/>
        <w:ind w:left="138" w:right="210"/>
        <w:jc w:val="both"/>
      </w:pPr>
      <w:r>
        <w:rPr/>
        <w:t>编号为</w:t>
      </w:r>
      <w:r>
        <w:rPr>
          <w:spacing w:val="-50"/>
        </w:rPr>
        <w:t> </w:t>
      </w:r>
      <w:r>
        <w:rPr>
          <w:rFonts w:ascii="宋体" w:hAnsi="宋体" w:cs="宋体" w:eastAsia="宋体" w:hint="default"/>
          <w:spacing w:val="-4"/>
        </w:rPr>
        <w:t>GR201446000016</w:t>
      </w:r>
      <w:r>
        <w:rPr>
          <w:spacing w:val="-4"/>
        </w:rPr>
        <w:t>，</w:t>
      </w:r>
      <w:r>
        <w:rPr>
          <w:rFonts w:ascii="宋体" w:hAnsi="宋体" w:cs="宋体" w:eastAsia="宋体" w:hint="default"/>
          <w:spacing w:val="-4"/>
        </w:rPr>
        <w:t>2017</w:t>
      </w:r>
      <w:r>
        <w:rPr>
          <w:rFonts w:ascii="宋体" w:hAnsi="宋体" w:cs="宋体" w:eastAsia="宋体" w:hint="default"/>
          <w:spacing w:val="-50"/>
        </w:rPr>
        <w:t> </w:t>
      </w:r>
      <w:r>
        <w:rPr/>
        <w:t>年</w:t>
      </w:r>
      <w:r>
        <w:rPr>
          <w:spacing w:val="-52"/>
        </w:rPr>
        <w:t> </w:t>
      </w:r>
      <w:r>
        <w:rPr>
          <w:rFonts w:ascii="宋体" w:hAnsi="宋体" w:cs="宋体" w:eastAsia="宋体" w:hint="default"/>
        </w:rPr>
        <w:t>9</w:t>
      </w:r>
      <w:r>
        <w:rPr>
          <w:rFonts w:ascii="宋体" w:hAnsi="宋体" w:cs="宋体" w:eastAsia="宋体" w:hint="default"/>
          <w:spacing w:val="-50"/>
        </w:rPr>
        <w:t> </w:t>
      </w:r>
      <w:r>
        <w:rPr/>
        <w:t>月</w:t>
      </w:r>
      <w:r>
        <w:rPr>
          <w:spacing w:val="-52"/>
        </w:rPr>
        <w:t> </w:t>
      </w:r>
      <w:r>
        <w:rPr>
          <w:rFonts w:ascii="宋体" w:hAnsi="宋体" w:cs="宋体" w:eastAsia="宋体" w:hint="default"/>
        </w:rPr>
        <w:t>25</w:t>
      </w:r>
      <w:r>
        <w:rPr>
          <w:rFonts w:ascii="宋体" w:hAnsi="宋体" w:cs="宋体" w:eastAsia="宋体" w:hint="default"/>
          <w:spacing w:val="-52"/>
        </w:rPr>
        <w:t> </w:t>
      </w:r>
      <w:r>
        <w:rPr>
          <w:spacing w:val="-11"/>
        </w:rPr>
        <w:t>日到期。于</w:t>
      </w:r>
      <w:r>
        <w:rPr>
          <w:spacing w:val="-52"/>
        </w:rPr>
        <w:t> </w:t>
      </w:r>
      <w:r>
        <w:rPr>
          <w:rFonts w:ascii="宋体" w:hAnsi="宋体" w:cs="宋体" w:eastAsia="宋体" w:hint="default"/>
        </w:rPr>
        <w:t>2017</w:t>
      </w:r>
      <w:r>
        <w:rPr>
          <w:rFonts w:ascii="宋体" w:hAnsi="宋体" w:cs="宋体" w:eastAsia="宋体" w:hint="default"/>
          <w:spacing w:val="-52"/>
        </w:rPr>
        <w:t> </w:t>
      </w:r>
      <w:r>
        <w:rPr/>
        <w:t>年</w:t>
      </w:r>
      <w:r>
        <w:rPr>
          <w:spacing w:val="-50"/>
        </w:rPr>
        <w:t> </w:t>
      </w:r>
      <w:r>
        <w:rPr>
          <w:rFonts w:ascii="宋体" w:hAnsi="宋体" w:cs="宋体" w:eastAsia="宋体" w:hint="default"/>
        </w:rPr>
        <w:t>11</w:t>
      </w:r>
      <w:r>
        <w:rPr>
          <w:rFonts w:ascii="宋体" w:hAnsi="宋体" w:cs="宋体" w:eastAsia="宋体" w:hint="default"/>
          <w:spacing w:val="-52"/>
        </w:rPr>
        <w:t> </w:t>
      </w:r>
      <w:r>
        <w:rPr/>
        <w:t>月</w:t>
      </w:r>
      <w:r>
        <w:rPr>
          <w:spacing w:val="-50"/>
        </w:rPr>
        <w:t> </w:t>
      </w:r>
      <w:r>
        <w:rPr>
          <w:rFonts w:ascii="宋体" w:hAnsi="宋体" w:cs="宋体" w:eastAsia="宋体" w:hint="default"/>
        </w:rPr>
        <w:t>27</w:t>
      </w:r>
      <w:r>
        <w:rPr>
          <w:rFonts w:ascii="宋体" w:hAnsi="宋体" w:cs="宋体" w:eastAsia="宋体" w:hint="default"/>
          <w:spacing w:val="-50"/>
        </w:rPr>
        <w:t> </w:t>
      </w:r>
      <w:r>
        <w:rPr/>
        <w:t>日取得了有效期为三年的高</w:t>
      </w:r>
      <w:r>
        <w:rPr>
          <w:w w:val="100"/>
        </w:rPr>
        <w:t> </w:t>
      </w:r>
      <w:r>
        <w:rPr/>
        <w:t>新技术企业证书，证书编号为</w:t>
      </w:r>
      <w:r>
        <w:rPr>
          <w:spacing w:val="-56"/>
        </w:rPr>
        <w:t> </w:t>
      </w:r>
      <w:r>
        <w:rPr>
          <w:rFonts w:ascii="宋体" w:hAnsi="宋体" w:cs="宋体" w:eastAsia="宋体" w:hint="default"/>
        </w:rPr>
        <w:t>GR201746000035</w:t>
      </w:r>
      <w:r>
        <w:rPr/>
        <w:t>，</w:t>
      </w:r>
      <w:r>
        <w:rPr>
          <w:rFonts w:ascii="宋体" w:hAnsi="宋体" w:cs="宋体" w:eastAsia="宋体" w:hint="default"/>
        </w:rPr>
        <w:t>2017</w:t>
      </w:r>
      <w:r>
        <w:rPr>
          <w:rFonts w:ascii="宋体" w:hAnsi="宋体" w:cs="宋体" w:eastAsia="宋体" w:hint="default"/>
          <w:spacing w:val="-55"/>
        </w:rPr>
        <w:t> </w:t>
      </w:r>
      <w:r>
        <w:rPr/>
        <w:t>年可享受</w:t>
      </w:r>
      <w:r>
        <w:rPr>
          <w:spacing w:val="-56"/>
        </w:rPr>
        <w:t> </w:t>
      </w:r>
      <w:r>
        <w:rPr>
          <w:rFonts w:ascii="宋体" w:hAnsi="宋体" w:cs="宋体" w:eastAsia="宋体" w:hint="default"/>
        </w:rPr>
        <w:t>15%</w:t>
      </w:r>
      <w:r>
        <w:rPr/>
        <w:t>的优惠税率。</w:t>
      </w:r>
    </w:p>
    <w:p>
      <w:pPr>
        <w:spacing w:line="240" w:lineRule="auto" w:before="10"/>
        <w:rPr>
          <w:rFonts w:ascii="宋体" w:hAnsi="宋体" w:cs="宋体" w:eastAsia="宋体" w:hint="default"/>
          <w:sz w:val="22"/>
          <w:szCs w:val="22"/>
        </w:rPr>
      </w:pPr>
    </w:p>
    <w:p>
      <w:pPr>
        <w:pStyle w:val="BodyText"/>
        <w:spacing w:line="272" w:lineRule="exact"/>
        <w:ind w:left="138" w:right="208"/>
        <w:jc w:val="both"/>
      </w:pPr>
      <w:r>
        <w:rPr/>
        <w:t>本公司之子公司用友优普，于</w:t>
      </w:r>
      <w:r>
        <w:rPr>
          <w:spacing w:val="-52"/>
        </w:rPr>
        <w:t> </w:t>
      </w:r>
      <w:r>
        <w:rPr>
          <w:rFonts w:ascii="宋体" w:hAnsi="宋体" w:cs="宋体" w:eastAsia="宋体" w:hint="default"/>
        </w:rPr>
        <w:t>2015</w:t>
      </w:r>
      <w:r>
        <w:rPr>
          <w:rFonts w:ascii="宋体" w:hAnsi="宋体" w:cs="宋体" w:eastAsia="宋体" w:hint="default"/>
          <w:spacing w:val="-55"/>
        </w:rPr>
        <w:t> </w:t>
      </w:r>
      <w:r>
        <w:rPr/>
        <w:t>年</w:t>
      </w:r>
      <w:r>
        <w:rPr>
          <w:spacing w:val="-53"/>
        </w:rPr>
        <w:t> </w:t>
      </w:r>
      <w:r>
        <w:rPr>
          <w:rFonts w:ascii="宋体" w:hAnsi="宋体" w:cs="宋体" w:eastAsia="宋体" w:hint="default"/>
        </w:rPr>
        <w:t>7</w:t>
      </w:r>
      <w:r>
        <w:rPr>
          <w:rFonts w:ascii="宋体" w:hAnsi="宋体" w:cs="宋体" w:eastAsia="宋体" w:hint="default"/>
          <w:spacing w:val="-55"/>
        </w:rPr>
        <w:t> </w:t>
      </w:r>
      <w:r>
        <w:rPr/>
        <w:t>月</w:t>
      </w:r>
      <w:r>
        <w:rPr>
          <w:spacing w:val="-53"/>
        </w:rPr>
        <w:t> </w:t>
      </w:r>
      <w:r>
        <w:rPr>
          <w:rFonts w:ascii="宋体" w:hAnsi="宋体" w:cs="宋体" w:eastAsia="宋体" w:hint="default"/>
        </w:rPr>
        <w:t>21</w:t>
      </w:r>
      <w:r>
        <w:rPr>
          <w:rFonts w:ascii="宋体" w:hAnsi="宋体" w:cs="宋体" w:eastAsia="宋体" w:hint="default"/>
          <w:spacing w:val="-55"/>
        </w:rPr>
        <w:t> </w:t>
      </w:r>
      <w:r>
        <w:rPr/>
        <w:t>日取得了有效期为三年的高新技术企业证书，证书</w:t>
      </w:r>
      <w:r>
        <w:rPr>
          <w:w w:val="100"/>
        </w:rPr>
        <w:t> </w:t>
      </w:r>
      <w:r>
        <w:rPr/>
        <w:t>编号为</w:t>
      </w:r>
      <w:r>
        <w:rPr>
          <w:spacing w:val="-54"/>
        </w:rPr>
        <w:t> </w:t>
      </w:r>
      <w:r>
        <w:rPr>
          <w:rFonts w:ascii="宋体" w:hAnsi="宋体" w:cs="宋体" w:eastAsia="宋体" w:hint="default"/>
        </w:rPr>
        <w:t>GR201511000292</w:t>
      </w:r>
      <w:r>
        <w:rPr/>
        <w:t>，</w:t>
      </w:r>
      <w:r>
        <w:rPr>
          <w:rFonts w:ascii="宋体" w:hAnsi="宋体" w:cs="宋体" w:eastAsia="宋体" w:hint="default"/>
        </w:rPr>
        <w:t>2017</w:t>
      </w:r>
      <w:r>
        <w:rPr>
          <w:rFonts w:ascii="宋体" w:hAnsi="宋体" w:cs="宋体" w:eastAsia="宋体" w:hint="default"/>
          <w:spacing w:val="-56"/>
        </w:rPr>
        <w:t> </w:t>
      </w:r>
      <w:r>
        <w:rPr/>
        <w:t>年可享受</w:t>
      </w:r>
      <w:r>
        <w:rPr>
          <w:spacing w:val="-54"/>
        </w:rPr>
        <w:t> </w:t>
      </w:r>
      <w:r>
        <w:rPr>
          <w:rFonts w:ascii="宋体" w:hAnsi="宋体" w:cs="宋体" w:eastAsia="宋体" w:hint="default"/>
        </w:rPr>
        <w:t>15%</w:t>
      </w:r>
      <w:r>
        <w:rPr/>
        <w:t>的优惠税率。</w:t>
      </w:r>
    </w:p>
    <w:p>
      <w:pPr>
        <w:spacing w:line="240" w:lineRule="auto" w:before="12"/>
        <w:rPr>
          <w:rFonts w:ascii="宋体" w:hAnsi="宋体" w:cs="宋体" w:eastAsia="宋体" w:hint="default"/>
          <w:sz w:val="18"/>
          <w:szCs w:val="18"/>
        </w:rPr>
      </w:pPr>
    </w:p>
    <w:p>
      <w:pPr>
        <w:pStyle w:val="BodyText"/>
        <w:spacing w:line="237" w:lineRule="auto"/>
        <w:ind w:left="138" w:right="207"/>
        <w:jc w:val="both"/>
      </w:pPr>
      <w:r>
        <w:rPr>
          <w:spacing w:val="-5"/>
          <w:w w:val="100"/>
        </w:rPr>
        <w:t>本公司之子公司北京畅捷通支付技术有限公司</w:t>
      </w:r>
      <w:r>
        <w:rPr>
          <w:rFonts w:ascii="宋体" w:hAnsi="宋体" w:cs="宋体" w:eastAsia="宋体" w:hint="default"/>
          <w:spacing w:val="-5"/>
          <w:w w:val="100"/>
        </w:rPr>
        <w:t>(</w:t>
      </w:r>
      <w:r>
        <w:rPr>
          <w:spacing w:val="-5"/>
          <w:w w:val="100"/>
        </w:rPr>
        <w:t>以下简称“畅捷支付”)，于</w:t>
      </w:r>
      <w:r>
        <w:rPr>
          <w:spacing w:val="-49"/>
          <w:w w:val="100"/>
        </w:rPr>
        <w:t> </w:t>
      </w:r>
      <w:r>
        <w:rPr>
          <w:rFonts w:ascii="宋体" w:hAnsi="宋体" w:cs="宋体" w:eastAsia="宋体" w:hint="default"/>
          <w:spacing w:val="-1"/>
          <w:w w:val="100"/>
        </w:rPr>
        <w:t>2016</w:t>
      </w:r>
      <w:r>
        <w:rPr>
          <w:rFonts w:ascii="宋体" w:hAnsi="宋体" w:cs="宋体" w:eastAsia="宋体" w:hint="default"/>
          <w:spacing w:val="-48"/>
          <w:w w:val="100"/>
        </w:rPr>
        <w:t> </w:t>
      </w:r>
      <w:r>
        <w:rPr>
          <w:w w:val="100"/>
        </w:rPr>
        <w:t>年</w:t>
      </w:r>
      <w:r>
        <w:rPr>
          <w:spacing w:val="-49"/>
          <w:w w:val="100"/>
        </w:rPr>
        <w:t> </w:t>
      </w:r>
      <w:r>
        <w:rPr>
          <w:rFonts w:ascii="宋体" w:hAnsi="宋体" w:cs="宋体" w:eastAsia="宋体" w:hint="default"/>
          <w:spacing w:val="-2"/>
          <w:w w:val="100"/>
        </w:rPr>
        <w:t>12</w:t>
      </w:r>
      <w:r>
        <w:rPr>
          <w:rFonts w:ascii="宋体" w:hAnsi="宋体" w:cs="宋体" w:eastAsia="宋体" w:hint="default"/>
          <w:spacing w:val="-49"/>
          <w:w w:val="100"/>
        </w:rPr>
        <w:t> </w:t>
      </w:r>
      <w:r>
        <w:rPr>
          <w:w w:val="100"/>
        </w:rPr>
        <w:t>月</w:t>
      </w:r>
      <w:r>
        <w:rPr>
          <w:spacing w:val="-51"/>
          <w:w w:val="100"/>
        </w:rPr>
        <w:t> </w:t>
      </w:r>
      <w:r>
        <w:rPr>
          <w:rFonts w:ascii="宋体" w:hAnsi="宋体" w:cs="宋体" w:eastAsia="宋体" w:hint="default"/>
          <w:w w:val="100"/>
        </w:rPr>
        <w:t>22</w:t>
      </w:r>
      <w:r>
        <w:rPr>
          <w:rFonts w:ascii="宋体" w:hAnsi="宋体" w:cs="宋体" w:eastAsia="宋体" w:hint="default"/>
          <w:spacing w:val="-51"/>
          <w:w w:val="100"/>
        </w:rPr>
        <w:t> </w:t>
      </w:r>
      <w:r>
        <w:rPr>
          <w:w w:val="100"/>
        </w:rPr>
        <w:t>日取</w:t>
      </w:r>
      <w:r>
        <w:rPr>
          <w:spacing w:val="-104"/>
          <w:w w:val="100"/>
        </w:rPr>
        <w:t> </w:t>
      </w:r>
      <w:r>
        <w:rPr>
          <w:spacing w:val="-3"/>
        </w:rPr>
        <w:t>得了有效期为三年的高新技术企业证书，证书编号为</w:t>
      </w:r>
      <w:r>
        <w:rPr>
          <w:spacing w:val="-47"/>
        </w:rPr>
        <w:t> </w:t>
      </w:r>
      <w:r>
        <w:rPr>
          <w:rFonts w:ascii="宋体" w:hAnsi="宋体" w:cs="宋体" w:eastAsia="宋体" w:hint="default"/>
        </w:rPr>
        <w:t>GR201611003847</w:t>
      </w:r>
      <w:r>
        <w:rPr/>
        <w:t>，</w:t>
      </w:r>
      <w:r>
        <w:rPr>
          <w:rFonts w:ascii="宋体" w:hAnsi="宋体" w:cs="宋体" w:eastAsia="宋体" w:hint="default"/>
        </w:rPr>
        <w:t>2017</w:t>
      </w:r>
      <w:r>
        <w:rPr>
          <w:rFonts w:ascii="宋体" w:hAnsi="宋体" w:cs="宋体" w:eastAsia="宋体" w:hint="default"/>
          <w:spacing w:val="-50"/>
        </w:rPr>
        <w:t> </w:t>
      </w:r>
      <w:r>
        <w:rPr/>
        <w:t>年可享受</w:t>
      </w:r>
      <w:r>
        <w:rPr>
          <w:spacing w:val="-46"/>
        </w:rPr>
        <w:t> </w:t>
      </w:r>
      <w:r>
        <w:rPr>
          <w:rFonts w:ascii="宋体" w:hAnsi="宋体" w:cs="宋体" w:eastAsia="宋体" w:hint="default"/>
        </w:rPr>
        <w:t>15%</w:t>
      </w:r>
      <w:r>
        <w:rPr/>
        <w:t>的优惠</w:t>
      </w:r>
      <w:r>
        <w:rPr>
          <w:spacing w:val="-103"/>
        </w:rPr>
        <w:t> </w:t>
      </w:r>
      <w:r>
        <w:rPr>
          <w:spacing w:val="-103"/>
        </w:rPr>
      </w:r>
      <w:r>
        <w:rPr/>
        <w:t>税率。</w:t>
      </w:r>
    </w:p>
    <w:p>
      <w:pPr>
        <w:spacing w:line="240" w:lineRule="auto" w:before="4"/>
        <w:rPr>
          <w:rFonts w:ascii="宋体" w:hAnsi="宋体" w:cs="宋体" w:eastAsia="宋体" w:hint="default"/>
          <w:sz w:val="25"/>
          <w:szCs w:val="25"/>
        </w:rPr>
      </w:pPr>
    </w:p>
    <w:p>
      <w:pPr>
        <w:pStyle w:val="Heading3"/>
        <w:spacing w:line="240" w:lineRule="auto"/>
        <w:ind w:left="138" w:right="0"/>
        <w:jc w:val="both"/>
        <w:rPr>
          <w:b w:val="0"/>
          <w:bCs w:val="0"/>
        </w:rPr>
      </w:pPr>
      <w:r>
        <w:rPr>
          <w:rFonts w:ascii="宋体" w:hAnsi="宋体" w:cs="宋体" w:eastAsia="宋体" w:hint="default"/>
        </w:rPr>
        <w:t>3. </w:t>
      </w:r>
      <w:r>
        <w:rPr>
          <w:rFonts w:ascii="宋体" w:hAnsi="宋体" w:cs="宋体" w:eastAsia="宋体" w:hint="default"/>
          <w:spacing w:val="1"/>
        </w:rPr>
        <w:t> </w:t>
      </w:r>
      <w:r>
        <w:rPr/>
        <w:t>其他</w:t>
      </w:r>
      <w:r>
        <w:rPr>
          <w:b w:val="0"/>
          <w:bCs w:val="0"/>
        </w:rPr>
      </w:r>
    </w:p>
    <w:p>
      <w:pPr>
        <w:pStyle w:val="BodyText"/>
        <w:spacing w:line="240" w:lineRule="auto" w:before="56"/>
        <w:ind w:left="138" w:right="0"/>
        <w:jc w:val="both"/>
      </w:pPr>
      <w:r>
        <w:rPr/>
        <w:t>□适用</w:t>
      </w:r>
      <w:r>
        <w:rPr>
          <w:spacing w:val="104"/>
        </w:rPr>
        <w:t> </w:t>
      </w:r>
      <w:r>
        <w:rPr/>
        <w:t>√不适用</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57" w:footer="1195" w:top="1320" w:bottom="1380" w:left="1660" w:right="1060"/>
        </w:sectPr>
      </w:pPr>
    </w:p>
    <w:p>
      <w:pPr>
        <w:pStyle w:val="Heading3"/>
        <w:spacing w:line="290" w:lineRule="auto" w:before="36"/>
        <w:ind w:left="138" w:right="-16"/>
        <w:jc w:val="left"/>
        <w:rPr>
          <w:b w:val="0"/>
          <w:bCs w:val="0"/>
        </w:rPr>
      </w:pPr>
      <w:r>
        <w:rPr/>
        <w:t>七、合并财务报表项目注释</w:t>
      </w:r>
      <w:r>
        <w:rPr>
          <w:spacing w:val="-103"/>
        </w:rPr>
        <w:t> </w:t>
      </w:r>
      <w:r>
        <w:rPr>
          <w:spacing w:val="-103"/>
        </w:rPr>
      </w:r>
      <w:r>
        <w:rPr>
          <w:rFonts w:ascii="宋体" w:hAnsi="宋体" w:cs="宋体" w:eastAsia="宋体" w:hint="default"/>
        </w:rPr>
        <w:t>1</w:t>
      </w:r>
      <w:r>
        <w:rPr/>
        <w:t>、</w:t>
      </w:r>
      <w:r>
        <w:rPr>
          <w:spacing w:val="-2"/>
        </w:rPr>
        <w:t> </w:t>
      </w:r>
      <w:r>
        <w:rPr/>
        <w:t>货币资金</w:t>
      </w:r>
      <w:r>
        <w:rPr>
          <w:b w:val="0"/>
          <w:bCs w:val="0"/>
        </w:rPr>
      </w:r>
    </w:p>
    <w:p>
      <w:pPr>
        <w:pStyle w:val="BodyText"/>
        <w:tabs>
          <w:tab w:pos="980" w:val="left" w:leader="none"/>
        </w:tabs>
        <w:spacing w:line="240" w:lineRule="auto" w:before="12"/>
        <w:ind w:left="138" w:right="-16"/>
        <w:jc w:val="left"/>
      </w:pPr>
      <w:r>
        <w:rPr>
          <w:spacing w:val="-1"/>
        </w:rPr>
        <w:t>√适用</w:t>
        <w:tab/>
      </w:r>
      <w:r>
        <w:rPr>
          <w:spacing w:val="-2"/>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BodyText"/>
        <w:tabs>
          <w:tab w:pos="1189" w:val="left" w:leader="none"/>
        </w:tabs>
        <w:spacing w:line="240" w:lineRule="auto"/>
        <w:ind w:left="138" w:right="0"/>
        <w:jc w:val="left"/>
      </w:pPr>
      <w:r>
        <w:rPr>
          <w:spacing w:val="-1"/>
        </w:rPr>
        <w:t>单位：元</w:t>
        <w:tab/>
      </w:r>
      <w:r>
        <w:rPr>
          <w:spacing w:val="-2"/>
        </w:rPr>
        <w:t>币种：人民币</w:t>
      </w:r>
    </w:p>
    <w:p>
      <w:pPr>
        <w:spacing w:after="0" w:line="240" w:lineRule="auto"/>
        <w:jc w:val="left"/>
        <w:sectPr>
          <w:type w:val="continuous"/>
          <w:pgSz w:w="11910" w:h="16840"/>
          <w:pgMar w:top="1320" w:bottom="1380" w:left="1660" w:right="1060"/>
          <w:cols w:num="2" w:equalWidth="0">
            <w:col w:w="2673" w:space="3849"/>
            <w:col w:w="2668"/>
          </w:cols>
        </w:sectPr>
      </w:pPr>
    </w:p>
    <w:p>
      <w:pPr>
        <w:spacing w:line="240" w:lineRule="auto" w:before="4"/>
        <w:rPr>
          <w:rFonts w:ascii="宋体" w:hAnsi="宋体" w:cs="宋体" w:eastAsia="宋体" w:hint="default"/>
          <w:sz w:val="2"/>
          <w:szCs w:val="2"/>
        </w:rPr>
      </w:pPr>
    </w:p>
    <w:tbl>
      <w:tblPr>
        <w:tblW w:w="0" w:type="auto"/>
        <w:jc w:val="left"/>
        <w:tblInd w:w="128" w:type="dxa"/>
        <w:tblLayout w:type="fixed"/>
        <w:tblCellMar>
          <w:top w:w="0" w:type="dxa"/>
          <w:left w:w="0" w:type="dxa"/>
          <w:bottom w:w="0" w:type="dxa"/>
          <w:right w:w="0" w:type="dxa"/>
        </w:tblCellMar>
        <w:tblLook w:val="01E0"/>
      </w:tblPr>
      <w:tblGrid>
        <w:gridCol w:w="2223"/>
        <w:gridCol w:w="3298"/>
        <w:gridCol w:w="3325"/>
      </w:tblGrid>
      <w:tr>
        <w:trPr>
          <w:trHeight w:val="283" w:hRule="exact"/>
        </w:trPr>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81" w:hRule="exact"/>
        </w:trPr>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left"/>
              <w:rPr>
                <w:rFonts w:ascii="宋体" w:hAnsi="宋体" w:cs="宋体" w:eastAsia="宋体" w:hint="default"/>
                <w:sz w:val="21"/>
                <w:szCs w:val="21"/>
              </w:rPr>
            </w:pPr>
            <w:r>
              <w:rPr>
                <w:rFonts w:ascii="宋体" w:hAnsi="宋体" w:cs="宋体" w:eastAsia="宋体" w:hint="default"/>
                <w:sz w:val="21"/>
                <w:szCs w:val="21"/>
              </w:rPr>
              <w:t>库存现金</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6,540,051</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7,999,758</w:t>
            </w:r>
          </w:p>
        </w:tc>
      </w:tr>
      <w:tr>
        <w:trPr>
          <w:trHeight w:val="283" w:hRule="exact"/>
        </w:trPr>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 w:right="0"/>
              <w:jc w:val="left"/>
              <w:rPr>
                <w:rFonts w:ascii="宋体" w:hAnsi="宋体" w:cs="宋体" w:eastAsia="宋体" w:hint="default"/>
                <w:sz w:val="21"/>
                <w:szCs w:val="21"/>
              </w:rPr>
            </w:pPr>
            <w:r>
              <w:rPr>
                <w:rFonts w:ascii="宋体" w:hAnsi="宋体" w:cs="宋体" w:eastAsia="宋体" w:hint="default"/>
                <w:sz w:val="21"/>
                <w:szCs w:val="21"/>
              </w:rPr>
              <w:t>银行存款</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3,978,472,510</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4,482,602,076</w:t>
            </w:r>
          </w:p>
        </w:tc>
      </w:tr>
      <w:tr>
        <w:trPr>
          <w:trHeight w:val="284" w:hRule="exact"/>
        </w:trPr>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left"/>
              <w:rPr>
                <w:rFonts w:ascii="宋体" w:hAnsi="宋体" w:cs="宋体" w:eastAsia="宋体" w:hint="default"/>
                <w:sz w:val="21"/>
                <w:szCs w:val="21"/>
              </w:rPr>
            </w:pPr>
            <w:r>
              <w:rPr>
                <w:rFonts w:ascii="宋体" w:hAnsi="宋体" w:cs="宋体" w:eastAsia="宋体" w:hint="default"/>
                <w:sz w:val="21"/>
                <w:szCs w:val="21"/>
              </w:rPr>
              <w:t>其他货币资金</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37,135,904</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55,387,454</w:t>
            </w:r>
          </w:p>
        </w:tc>
      </w:tr>
      <w:tr>
        <w:trPr>
          <w:trHeight w:val="281" w:hRule="exact"/>
        </w:trPr>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4,022,148,465</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4,545,989,288</w:t>
            </w:r>
          </w:p>
        </w:tc>
      </w:tr>
      <w:tr>
        <w:trPr>
          <w:trHeight w:val="557" w:hRule="exact"/>
        </w:trPr>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1" w:right="-3"/>
              <w:jc w:val="left"/>
              <w:rPr>
                <w:rFonts w:ascii="宋体" w:hAnsi="宋体" w:cs="宋体" w:eastAsia="宋体" w:hint="default"/>
                <w:sz w:val="21"/>
                <w:szCs w:val="21"/>
              </w:rPr>
            </w:pPr>
            <w:r>
              <w:rPr>
                <w:rFonts w:ascii="宋体" w:hAnsi="宋体" w:cs="宋体" w:eastAsia="宋体" w:hint="default"/>
                <w:w w:val="100"/>
                <w:sz w:val="21"/>
                <w:szCs w:val="21"/>
              </w:rPr>
              <w:t>其中</w:t>
            </w:r>
            <w:r>
              <w:rPr>
                <w:rFonts w:ascii="宋体" w:hAnsi="宋体" w:cs="宋体" w:eastAsia="宋体" w:hint="default"/>
                <w:spacing w:val="-101"/>
                <w:w w:val="100"/>
                <w:sz w:val="21"/>
                <w:szCs w:val="21"/>
              </w:rPr>
              <w:t>：</w:t>
            </w:r>
            <w:r>
              <w:rPr>
                <w:rFonts w:ascii="宋体" w:hAnsi="宋体" w:cs="宋体" w:eastAsia="宋体" w:hint="default"/>
                <w:w w:val="100"/>
                <w:sz w:val="21"/>
                <w:szCs w:val="21"/>
              </w:rPr>
              <w:t>存</w:t>
            </w:r>
            <w:r>
              <w:rPr>
                <w:rFonts w:ascii="宋体" w:hAnsi="宋体" w:cs="宋体" w:eastAsia="宋体" w:hint="default"/>
                <w:spacing w:val="-3"/>
                <w:w w:val="100"/>
                <w:sz w:val="21"/>
                <w:szCs w:val="21"/>
              </w:rPr>
              <w:t>放</w:t>
            </w:r>
            <w:r>
              <w:rPr>
                <w:rFonts w:ascii="宋体" w:hAnsi="宋体" w:cs="宋体" w:eastAsia="宋体" w:hint="default"/>
                <w:w w:val="100"/>
                <w:sz w:val="21"/>
                <w:szCs w:val="21"/>
              </w:rPr>
              <w:t>在</w:t>
            </w:r>
            <w:r>
              <w:rPr>
                <w:rFonts w:ascii="宋体" w:hAnsi="宋体" w:cs="宋体" w:eastAsia="宋体" w:hint="default"/>
                <w:spacing w:val="-3"/>
                <w:w w:val="100"/>
                <w:sz w:val="21"/>
                <w:szCs w:val="21"/>
              </w:rPr>
              <w:t>境</w:t>
            </w:r>
            <w:r>
              <w:rPr>
                <w:rFonts w:ascii="宋体" w:hAnsi="宋体" w:cs="宋体" w:eastAsia="宋体" w:hint="default"/>
                <w:w w:val="100"/>
                <w:sz w:val="21"/>
                <w:szCs w:val="21"/>
              </w:rPr>
              <w:t>外</w:t>
            </w:r>
            <w:r>
              <w:rPr>
                <w:rFonts w:ascii="宋体" w:hAnsi="宋体" w:cs="宋体" w:eastAsia="宋体" w:hint="default"/>
                <w:spacing w:val="-3"/>
                <w:w w:val="100"/>
                <w:sz w:val="21"/>
                <w:szCs w:val="21"/>
              </w:rPr>
              <w:t>的</w:t>
            </w:r>
            <w:r>
              <w:rPr>
                <w:rFonts w:ascii="宋体" w:hAnsi="宋体" w:cs="宋体" w:eastAsia="宋体" w:hint="default"/>
                <w:w w:val="100"/>
                <w:sz w:val="21"/>
                <w:szCs w:val="21"/>
              </w:rPr>
              <w:t>款</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项总额</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51,780,044</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51,490,339</w:t>
            </w:r>
          </w:p>
        </w:tc>
      </w:tr>
    </w:tbl>
    <w:p>
      <w:pPr>
        <w:spacing w:line="240" w:lineRule="auto" w:before="5"/>
        <w:rPr>
          <w:rFonts w:ascii="宋体" w:hAnsi="宋体" w:cs="宋体" w:eastAsia="宋体" w:hint="default"/>
          <w:sz w:val="15"/>
          <w:szCs w:val="15"/>
        </w:rPr>
      </w:pPr>
    </w:p>
    <w:p>
      <w:pPr>
        <w:pStyle w:val="BodyText"/>
        <w:spacing w:line="274" w:lineRule="exact" w:before="36"/>
        <w:ind w:left="138" w:right="102"/>
        <w:jc w:val="left"/>
      </w:pPr>
      <w:r>
        <w:rPr/>
        <w:t>其他说明</w:t>
      </w:r>
    </w:p>
    <w:p>
      <w:pPr>
        <w:pStyle w:val="BodyText"/>
        <w:spacing w:line="272" w:lineRule="exact"/>
        <w:ind w:left="138" w:right="102"/>
        <w:jc w:val="left"/>
        <w:rPr>
          <w:rFonts w:ascii="宋体" w:hAnsi="宋体" w:cs="宋体" w:eastAsia="宋体" w:hint="default"/>
        </w:rPr>
      </w:pPr>
      <w:r>
        <w:rPr/>
        <w:t>注 </w:t>
      </w:r>
      <w:r>
        <w:rPr>
          <w:rFonts w:ascii="宋体" w:hAnsi="宋体" w:cs="宋体" w:eastAsia="宋体" w:hint="default"/>
        </w:rPr>
        <w:t>1.</w:t>
      </w:r>
      <w:r>
        <w:rPr/>
        <w:t>本集团其他货币资金主要为所有权受到限制的履约保函保证金余额共计人民币</w:t>
      </w:r>
      <w:r>
        <w:rPr>
          <w:spacing w:val="5"/>
        </w:rPr>
        <w:t> </w:t>
      </w:r>
      <w:r>
        <w:rPr>
          <w:rFonts w:ascii="宋体" w:hAnsi="宋体" w:cs="宋体" w:eastAsia="宋体" w:hint="default"/>
        </w:rPr>
        <w:t>37,135,904</w:t>
      </w:r>
    </w:p>
    <w:p>
      <w:pPr>
        <w:pStyle w:val="BodyText"/>
        <w:spacing w:line="273" w:lineRule="exact"/>
        <w:ind w:left="138" w:right="102"/>
        <w:jc w:val="left"/>
      </w:pPr>
      <w:r>
        <w:rPr/>
        <w:t>元。</w:t>
      </w:r>
      <w:r>
        <w:rPr>
          <w:rFonts w:ascii="宋体" w:hAnsi="宋体" w:cs="宋体" w:eastAsia="宋体" w:hint="default"/>
        </w:rPr>
        <w:t>(2016</w:t>
      </w:r>
      <w:r>
        <w:rPr>
          <w:rFonts w:ascii="宋体" w:hAnsi="宋体" w:cs="宋体" w:eastAsia="宋体" w:hint="default"/>
          <w:spacing w:val="-56"/>
        </w:rPr>
        <w:t> </w:t>
      </w:r>
      <w:r>
        <w:rPr/>
        <w:t>年</w:t>
      </w:r>
      <w:r>
        <w:rPr>
          <w:spacing w:val="-54"/>
        </w:rPr>
        <w:t> </w:t>
      </w:r>
      <w:r>
        <w:rPr>
          <w:rFonts w:ascii="宋体" w:hAnsi="宋体" w:cs="宋体" w:eastAsia="宋体" w:hint="default"/>
        </w:rPr>
        <w:t>12</w:t>
      </w:r>
      <w:r>
        <w:rPr>
          <w:rFonts w:ascii="宋体" w:hAnsi="宋体" w:cs="宋体" w:eastAsia="宋体" w:hint="default"/>
          <w:spacing w:val="-54"/>
        </w:rPr>
        <w:t> </w:t>
      </w:r>
      <w:r>
        <w:rPr/>
        <w:t>月</w:t>
      </w:r>
      <w:r>
        <w:rPr>
          <w:spacing w:val="-54"/>
        </w:rPr>
        <w:t> </w:t>
      </w:r>
      <w:r>
        <w:rPr>
          <w:rFonts w:ascii="宋体" w:hAnsi="宋体" w:cs="宋体" w:eastAsia="宋体" w:hint="default"/>
        </w:rPr>
        <w:t>31</w:t>
      </w:r>
      <w:r>
        <w:rPr>
          <w:rFonts w:ascii="宋体" w:hAnsi="宋体" w:cs="宋体" w:eastAsia="宋体" w:hint="default"/>
          <w:spacing w:val="-53"/>
        </w:rPr>
        <w:t> </w:t>
      </w:r>
      <w:r>
        <w:rPr/>
        <w:t>日：人民币</w:t>
      </w:r>
      <w:r>
        <w:rPr>
          <w:spacing w:val="-54"/>
        </w:rPr>
        <w:t> </w:t>
      </w:r>
      <w:r>
        <w:rPr>
          <w:rFonts w:ascii="宋体" w:hAnsi="宋体" w:cs="宋体" w:eastAsia="宋体" w:hint="default"/>
        </w:rPr>
        <w:t>55,387,454</w:t>
      </w:r>
      <w:r>
        <w:rPr>
          <w:rFonts w:ascii="宋体" w:hAnsi="宋体" w:cs="宋体" w:eastAsia="宋体" w:hint="default"/>
          <w:spacing w:val="-54"/>
        </w:rPr>
        <w:t> </w:t>
      </w:r>
      <w:r>
        <w:rPr/>
        <w:t>元</w:t>
      </w:r>
      <w:r>
        <w:rPr>
          <w:rFonts w:ascii="宋体" w:hAnsi="宋体" w:cs="宋体" w:eastAsia="宋体" w:hint="default"/>
        </w:rPr>
        <w:t>)</w:t>
      </w:r>
      <w:r>
        <w:rPr/>
        <w:t>。</w:t>
      </w:r>
    </w:p>
    <w:p>
      <w:pPr>
        <w:spacing w:line="240" w:lineRule="auto" w:before="8"/>
        <w:rPr>
          <w:rFonts w:ascii="宋体" w:hAnsi="宋体" w:cs="宋体" w:eastAsia="宋体" w:hint="default"/>
          <w:sz w:val="20"/>
          <w:szCs w:val="20"/>
        </w:rPr>
      </w:pPr>
    </w:p>
    <w:p>
      <w:pPr>
        <w:pStyle w:val="BodyText"/>
        <w:spacing w:line="274" w:lineRule="exact"/>
        <w:ind w:left="138" w:right="102"/>
        <w:jc w:val="left"/>
        <w:rPr>
          <w:rFonts w:ascii="宋体" w:hAnsi="宋体" w:cs="宋体" w:eastAsia="宋体" w:hint="default"/>
        </w:rPr>
      </w:pPr>
      <w:r>
        <w:rPr/>
        <w:t>于</w:t>
      </w:r>
      <w:r>
        <w:rPr>
          <w:spacing w:val="-43"/>
        </w:rPr>
        <w:t> </w:t>
      </w:r>
      <w:r>
        <w:rPr>
          <w:rFonts w:ascii="宋体" w:hAnsi="宋体" w:cs="宋体" w:eastAsia="宋体" w:hint="default"/>
        </w:rPr>
        <w:t>2017</w:t>
      </w:r>
      <w:r>
        <w:rPr>
          <w:rFonts w:ascii="宋体" w:hAnsi="宋体" w:cs="宋体" w:eastAsia="宋体" w:hint="default"/>
          <w:spacing w:val="-43"/>
        </w:rPr>
        <w:t> </w:t>
      </w:r>
      <w:r>
        <w:rPr/>
        <w:t>年</w:t>
      </w:r>
      <w:r>
        <w:rPr>
          <w:spacing w:val="-43"/>
        </w:rPr>
        <w:t> </w:t>
      </w:r>
      <w:r>
        <w:rPr>
          <w:rFonts w:ascii="宋体" w:hAnsi="宋体" w:cs="宋体" w:eastAsia="宋体" w:hint="default"/>
        </w:rPr>
        <w:t>12</w:t>
      </w:r>
      <w:r>
        <w:rPr>
          <w:rFonts w:ascii="宋体" w:hAnsi="宋体" w:cs="宋体" w:eastAsia="宋体" w:hint="default"/>
          <w:spacing w:val="-43"/>
        </w:rPr>
        <w:t> </w:t>
      </w:r>
      <w:r>
        <w:rPr/>
        <w:t>月</w:t>
      </w:r>
      <w:r>
        <w:rPr>
          <w:spacing w:val="-43"/>
        </w:rPr>
        <w:t> </w:t>
      </w:r>
      <w:r>
        <w:rPr>
          <w:rFonts w:ascii="宋体" w:hAnsi="宋体" w:cs="宋体" w:eastAsia="宋体" w:hint="default"/>
        </w:rPr>
        <w:t>31</w:t>
      </w:r>
      <w:r>
        <w:rPr>
          <w:rFonts w:ascii="宋体" w:hAnsi="宋体" w:cs="宋体" w:eastAsia="宋体" w:hint="default"/>
          <w:spacing w:val="-43"/>
        </w:rPr>
        <w:t> </w:t>
      </w:r>
      <w:r>
        <w:rPr/>
        <w:t>日，本集团存放于境外的货币资金为人民币</w:t>
      </w:r>
      <w:r>
        <w:rPr>
          <w:spacing w:val="-43"/>
        </w:rPr>
        <w:t> </w:t>
      </w:r>
      <w:r>
        <w:rPr>
          <w:rFonts w:ascii="宋体" w:hAnsi="宋体" w:cs="宋体" w:eastAsia="宋体" w:hint="default"/>
        </w:rPr>
        <w:t>51,780,044</w:t>
      </w:r>
      <w:r>
        <w:rPr>
          <w:rFonts w:ascii="宋体" w:hAnsi="宋体" w:cs="宋体" w:eastAsia="宋体" w:hint="default"/>
          <w:spacing w:val="-46"/>
        </w:rPr>
        <w:t> </w:t>
      </w:r>
      <w:r>
        <w:rPr/>
        <w:t>元</w:t>
      </w:r>
      <w:r>
        <w:rPr>
          <w:rFonts w:ascii="宋体" w:hAnsi="宋体" w:cs="宋体" w:eastAsia="宋体" w:hint="default"/>
        </w:rPr>
        <w:t>(2016</w:t>
      </w:r>
      <w:r>
        <w:rPr>
          <w:rFonts w:ascii="宋体" w:hAnsi="宋体" w:cs="宋体" w:eastAsia="宋体" w:hint="default"/>
          <w:spacing w:val="-43"/>
        </w:rPr>
        <w:t> </w:t>
      </w:r>
      <w:r>
        <w:rPr/>
        <w:t>年</w:t>
      </w:r>
      <w:r>
        <w:rPr>
          <w:spacing w:val="-45"/>
        </w:rPr>
        <w:t> </w:t>
      </w:r>
      <w:r>
        <w:rPr>
          <w:rFonts w:ascii="宋体" w:hAnsi="宋体" w:cs="宋体" w:eastAsia="宋体" w:hint="default"/>
        </w:rPr>
        <w:t>12</w:t>
      </w:r>
      <w:r>
        <w:rPr>
          <w:rFonts w:ascii="宋体" w:hAnsi="宋体" w:cs="宋体" w:eastAsia="宋体" w:hint="default"/>
          <w:spacing w:val="-43"/>
        </w:rPr>
        <w:t> </w:t>
      </w:r>
      <w:r>
        <w:rPr/>
        <w:t>月</w:t>
      </w:r>
      <w:r>
        <w:rPr>
          <w:spacing w:val="-45"/>
        </w:rPr>
        <w:t> </w:t>
      </w:r>
      <w:r>
        <w:rPr>
          <w:rFonts w:ascii="宋体" w:hAnsi="宋体" w:cs="宋体" w:eastAsia="宋体" w:hint="default"/>
        </w:rPr>
        <w:t>31</w:t>
      </w:r>
    </w:p>
    <w:p>
      <w:pPr>
        <w:pStyle w:val="BodyText"/>
        <w:spacing w:line="274" w:lineRule="exact"/>
        <w:ind w:left="138" w:right="102"/>
        <w:jc w:val="left"/>
      </w:pPr>
      <w:r>
        <w:rPr/>
        <w:t>日：人民币</w:t>
      </w:r>
      <w:r>
        <w:rPr>
          <w:spacing w:val="-53"/>
        </w:rPr>
        <w:t> </w:t>
      </w:r>
      <w:r>
        <w:rPr>
          <w:rFonts w:ascii="宋体" w:hAnsi="宋体" w:cs="宋体" w:eastAsia="宋体" w:hint="default"/>
        </w:rPr>
        <w:t>51,490,339</w:t>
      </w:r>
      <w:r>
        <w:rPr>
          <w:rFonts w:ascii="宋体" w:hAnsi="宋体" w:cs="宋体" w:eastAsia="宋体" w:hint="default"/>
          <w:spacing w:val="-55"/>
        </w:rPr>
        <w:t> </w:t>
      </w:r>
      <w:r>
        <w:rPr/>
        <w:t>元</w:t>
      </w:r>
      <w:r>
        <w:rPr>
          <w:rFonts w:ascii="宋体" w:hAnsi="宋体" w:cs="宋体" w:eastAsia="宋体" w:hint="default"/>
        </w:rPr>
        <w:t>)</w:t>
      </w:r>
      <w:r>
        <w:rPr/>
        <w:t>。</w:t>
      </w:r>
    </w:p>
    <w:p>
      <w:pPr>
        <w:spacing w:line="240" w:lineRule="auto" w:before="10"/>
        <w:rPr>
          <w:rFonts w:ascii="宋体" w:hAnsi="宋体" w:cs="宋体" w:eastAsia="宋体" w:hint="default"/>
          <w:sz w:val="22"/>
          <w:szCs w:val="22"/>
        </w:rPr>
      </w:pPr>
    </w:p>
    <w:p>
      <w:pPr>
        <w:pStyle w:val="BodyText"/>
        <w:spacing w:line="272" w:lineRule="exact"/>
        <w:ind w:left="138" w:right="99"/>
        <w:jc w:val="left"/>
      </w:pPr>
      <w:r>
        <w:rPr/>
        <w:t>银行活期存款按照银行活期存款利率取得利息收入。定期存款的存款期分为</w:t>
      </w:r>
      <w:r>
        <w:rPr>
          <w:spacing w:val="-53"/>
        </w:rPr>
        <w:t> </w:t>
      </w:r>
      <w:r>
        <w:rPr>
          <w:rFonts w:ascii="宋体" w:hAnsi="宋体" w:cs="宋体" w:eastAsia="宋体" w:hint="default"/>
        </w:rPr>
        <w:t>7</w:t>
      </w:r>
      <w:r>
        <w:rPr>
          <w:rFonts w:ascii="宋体" w:hAnsi="宋体" w:cs="宋体" w:eastAsia="宋体" w:hint="default"/>
          <w:spacing w:val="-50"/>
        </w:rPr>
        <w:t> </w:t>
      </w:r>
      <w:r>
        <w:rPr/>
        <w:t>天至</w:t>
      </w:r>
      <w:r>
        <w:rPr>
          <w:spacing w:val="-50"/>
        </w:rPr>
        <w:t> </w:t>
      </w:r>
      <w:r>
        <w:rPr>
          <w:rFonts w:ascii="宋体" w:hAnsi="宋体" w:cs="宋体" w:eastAsia="宋体" w:hint="default"/>
        </w:rPr>
        <w:t>12</w:t>
      </w:r>
      <w:r>
        <w:rPr>
          <w:rFonts w:ascii="宋体" w:hAnsi="宋体" w:cs="宋体" w:eastAsia="宋体" w:hint="default"/>
          <w:spacing w:val="-53"/>
        </w:rPr>
        <w:t> </w:t>
      </w:r>
      <w:r>
        <w:rPr/>
        <w:t>个月不等，</w:t>
      </w:r>
      <w:r>
        <w:rPr>
          <w:w w:val="100"/>
        </w:rPr>
        <w:t> </w:t>
      </w:r>
      <w:r>
        <w:rPr/>
        <w:t>依本集团的现金需求而定，并按照相应的银行定期存款利率取得利息收入。</w:t>
      </w:r>
    </w:p>
    <w:p>
      <w:pPr>
        <w:spacing w:after="0" w:line="272" w:lineRule="exact"/>
        <w:jc w:val="left"/>
        <w:sectPr>
          <w:type w:val="continuous"/>
          <w:pgSz w:w="11910" w:h="16840"/>
          <w:pgMar w:top="1320" w:bottom="1380" w:left="1660" w:right="106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pStyle w:val="Heading3"/>
        <w:spacing w:line="240" w:lineRule="auto" w:before="36"/>
        <w:ind w:left="1418" w:right="0"/>
        <w:jc w:val="left"/>
        <w:rPr>
          <w:b w:val="0"/>
          <w:bCs w:val="0"/>
        </w:rPr>
      </w:pPr>
      <w:r>
        <w:rPr>
          <w:rFonts w:ascii="宋体" w:hAnsi="宋体" w:cs="宋体" w:eastAsia="宋体" w:hint="default"/>
        </w:rPr>
        <w:t>2</w:t>
      </w:r>
      <w:r>
        <w:rPr/>
        <w:t>、</w:t>
      </w:r>
      <w:r>
        <w:rPr>
          <w:spacing w:val="-4"/>
        </w:rPr>
        <w:t> </w:t>
      </w:r>
      <w:r>
        <w:rPr/>
        <w:t>以公允价值计量且其变动计入当期损益的金融资产</w:t>
      </w:r>
      <w:r>
        <w:rPr>
          <w:b w:val="0"/>
          <w:bCs w:val="0"/>
        </w:rPr>
      </w:r>
    </w:p>
    <w:p>
      <w:pPr>
        <w:pStyle w:val="BodyText"/>
        <w:spacing w:line="240" w:lineRule="auto" w:before="56"/>
        <w:ind w:left="1418" w:right="0"/>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pStyle w:val="Heading3"/>
        <w:spacing w:line="240" w:lineRule="auto"/>
        <w:ind w:left="1418" w:right="0"/>
        <w:jc w:val="left"/>
        <w:rPr>
          <w:b w:val="0"/>
          <w:bCs w:val="0"/>
        </w:rPr>
      </w:pPr>
      <w:r>
        <w:rPr>
          <w:rFonts w:ascii="宋体" w:hAnsi="宋体" w:cs="宋体" w:eastAsia="宋体" w:hint="default"/>
        </w:rPr>
        <w:t>3</w:t>
      </w:r>
      <w:r>
        <w:rPr/>
        <w:t>、</w:t>
      </w:r>
      <w:r>
        <w:rPr>
          <w:spacing w:val="-1"/>
        </w:rPr>
        <w:t> </w:t>
      </w:r>
      <w:r>
        <w:rPr/>
        <w:t>衍生金融资产</w:t>
      </w:r>
      <w:r>
        <w:rPr>
          <w:b w:val="0"/>
          <w:bCs w:val="0"/>
        </w:rPr>
      </w:r>
    </w:p>
    <w:p>
      <w:pPr>
        <w:pStyle w:val="BodyText"/>
        <w:spacing w:line="240" w:lineRule="auto" w:before="56"/>
        <w:ind w:left="1418" w:right="0"/>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footerReference w:type="default" r:id="rId66"/>
          <w:pgSz w:w="11910" w:h="16840"/>
          <w:pgMar w:footer="1195" w:header="857" w:top="1320" w:bottom="1380" w:left="380" w:right="300"/>
        </w:sectPr>
      </w:pPr>
    </w:p>
    <w:p>
      <w:pPr>
        <w:pStyle w:val="Heading3"/>
        <w:spacing w:line="240" w:lineRule="auto" w:before="36"/>
        <w:ind w:left="1418" w:right="-20"/>
        <w:jc w:val="left"/>
        <w:rPr>
          <w:b w:val="0"/>
          <w:bCs w:val="0"/>
        </w:rPr>
      </w:pPr>
      <w:r>
        <w:rPr>
          <w:rFonts w:ascii="宋体" w:hAnsi="宋体" w:cs="宋体" w:eastAsia="宋体" w:hint="default"/>
        </w:rPr>
        <w:t>4</w:t>
      </w:r>
      <w:r>
        <w:rPr/>
        <w:t>、</w:t>
      </w:r>
      <w:r>
        <w:rPr>
          <w:spacing w:val="-2"/>
        </w:rPr>
        <w:t> </w:t>
      </w:r>
      <w:r>
        <w:rPr/>
        <w:t>应收票据</w:t>
      </w:r>
      <w:r>
        <w:rPr>
          <w:b w:val="0"/>
          <w:bCs w:val="0"/>
        </w:rPr>
      </w:r>
    </w:p>
    <w:p>
      <w:pPr>
        <w:pStyle w:val="Heading3"/>
        <w:spacing w:line="240" w:lineRule="auto" w:before="56"/>
        <w:ind w:left="1418" w:right="-20"/>
        <w:jc w:val="left"/>
        <w:rPr>
          <w:b w:val="0"/>
          <w:bCs w:val="0"/>
        </w:rPr>
      </w:pPr>
      <w:r>
        <w:rPr>
          <w:rFonts w:ascii="宋体" w:hAnsi="宋体" w:cs="宋体" w:eastAsia="宋体" w:hint="default"/>
        </w:rPr>
        <w:t>(1).</w:t>
      </w:r>
      <w:r>
        <w:rPr>
          <w:rFonts w:ascii="宋体" w:hAnsi="宋体" w:cs="宋体" w:eastAsia="宋体" w:hint="default"/>
          <w:spacing w:val="1"/>
        </w:rPr>
        <w:t> </w:t>
      </w:r>
      <w:r>
        <w:rPr/>
        <w:t>应收票据分类列示</w:t>
      </w:r>
      <w:r>
        <w:rPr>
          <w:b w:val="0"/>
          <w:bCs w:val="0"/>
        </w:rPr>
      </w:r>
    </w:p>
    <w:p>
      <w:pPr>
        <w:pStyle w:val="BodyText"/>
        <w:spacing w:line="240" w:lineRule="auto" w:before="59"/>
        <w:ind w:left="1418" w:right="-20"/>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tabs>
          <w:tab w:pos="2469" w:val="left" w:leader="none"/>
        </w:tabs>
        <w:spacing w:line="240" w:lineRule="auto"/>
        <w:ind w:left="1418" w:right="0"/>
        <w:jc w:val="left"/>
      </w:pPr>
      <w:r>
        <w:rPr>
          <w:spacing w:val="-1"/>
        </w:rPr>
        <w:t>单位：元</w:t>
        <w:tab/>
      </w:r>
      <w:r>
        <w:rPr>
          <w:spacing w:val="-2"/>
        </w:rPr>
        <w:t>币种：人民币</w:t>
      </w:r>
    </w:p>
    <w:p>
      <w:pPr>
        <w:spacing w:after="0" w:line="240" w:lineRule="auto"/>
        <w:jc w:val="left"/>
        <w:sectPr>
          <w:type w:val="continuous"/>
          <w:pgSz w:w="11910" w:h="16840"/>
          <w:pgMar w:top="1320" w:bottom="1380" w:left="380" w:right="300"/>
          <w:cols w:num="2" w:equalWidth="0">
            <w:col w:w="3636" w:space="2886"/>
            <w:col w:w="4708"/>
          </w:cols>
        </w:sectPr>
      </w:pPr>
    </w:p>
    <w:p>
      <w:pPr>
        <w:spacing w:line="240" w:lineRule="auto" w:before="7"/>
        <w:rPr>
          <w:rFonts w:ascii="宋体" w:hAnsi="宋体" w:cs="宋体" w:eastAsia="宋体" w:hint="default"/>
          <w:sz w:val="2"/>
          <w:szCs w:val="2"/>
        </w:rPr>
      </w:pPr>
    </w:p>
    <w:tbl>
      <w:tblPr>
        <w:tblW w:w="0" w:type="auto"/>
        <w:jc w:val="left"/>
        <w:tblInd w:w="1271" w:type="dxa"/>
        <w:tblLayout w:type="fixed"/>
        <w:tblCellMar>
          <w:top w:w="0" w:type="dxa"/>
          <w:left w:w="0" w:type="dxa"/>
          <w:bottom w:w="0" w:type="dxa"/>
          <w:right w:w="0" w:type="dxa"/>
        </w:tblCellMar>
        <w:tblLook w:val="01E0"/>
      </w:tblPr>
      <w:tblGrid>
        <w:gridCol w:w="2965"/>
        <w:gridCol w:w="3147"/>
        <w:gridCol w:w="2895"/>
      </w:tblGrid>
      <w:tr>
        <w:trPr>
          <w:trHeight w:val="281" w:hRule="exact"/>
        </w:trPr>
        <w:tc>
          <w:tcPr>
            <w:tcW w:w="29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65"/>
              <w:jc w:val="right"/>
              <w:rPr>
                <w:rFonts w:ascii="宋体" w:hAnsi="宋体" w:cs="宋体" w:eastAsia="宋体" w:hint="default"/>
                <w:sz w:val="21"/>
                <w:szCs w:val="21"/>
              </w:rPr>
            </w:pPr>
            <w:r>
              <w:rPr>
                <w:rFonts w:ascii="宋体" w:hAnsi="宋体" w:cs="宋体" w:eastAsia="宋体" w:hint="default"/>
                <w:sz w:val="21"/>
                <w:szCs w:val="21"/>
              </w:rPr>
              <w:t>项目</w:t>
            </w:r>
          </w:p>
        </w:tc>
        <w:tc>
          <w:tcPr>
            <w:tcW w:w="31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8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83" w:hRule="exact"/>
        </w:trPr>
        <w:tc>
          <w:tcPr>
            <w:tcW w:w="29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银行承兑票据</w:t>
            </w:r>
          </w:p>
        </w:tc>
        <w:tc>
          <w:tcPr>
            <w:tcW w:w="31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3"/>
              <w:jc w:val="right"/>
              <w:rPr>
                <w:rFonts w:ascii="宋体" w:hAnsi="宋体" w:cs="宋体" w:eastAsia="宋体" w:hint="default"/>
                <w:sz w:val="21"/>
                <w:szCs w:val="21"/>
              </w:rPr>
            </w:pPr>
            <w:r>
              <w:rPr>
                <w:rFonts w:ascii="宋体"/>
                <w:spacing w:val="-1"/>
                <w:sz w:val="21"/>
              </w:rPr>
              <w:t>121,988,711</w:t>
            </w:r>
          </w:p>
        </w:tc>
        <w:tc>
          <w:tcPr>
            <w:tcW w:w="28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6"/>
              <w:jc w:val="right"/>
              <w:rPr>
                <w:rFonts w:ascii="宋体" w:hAnsi="宋体" w:cs="宋体" w:eastAsia="宋体" w:hint="default"/>
                <w:sz w:val="21"/>
                <w:szCs w:val="21"/>
              </w:rPr>
            </w:pPr>
            <w:r>
              <w:rPr>
                <w:rFonts w:ascii="宋体"/>
                <w:spacing w:val="-1"/>
                <w:sz w:val="21"/>
              </w:rPr>
              <w:t>63,626,583</w:t>
            </w:r>
          </w:p>
        </w:tc>
      </w:tr>
      <w:tr>
        <w:trPr>
          <w:trHeight w:val="283" w:hRule="exact"/>
        </w:trPr>
        <w:tc>
          <w:tcPr>
            <w:tcW w:w="29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商业承兑票据</w:t>
            </w:r>
          </w:p>
        </w:tc>
        <w:tc>
          <w:tcPr>
            <w:tcW w:w="31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3"/>
              <w:jc w:val="right"/>
              <w:rPr>
                <w:rFonts w:ascii="宋体" w:hAnsi="宋体" w:cs="宋体" w:eastAsia="宋体" w:hint="default"/>
                <w:sz w:val="21"/>
                <w:szCs w:val="21"/>
              </w:rPr>
            </w:pPr>
            <w:r>
              <w:rPr>
                <w:rFonts w:ascii="宋体"/>
                <w:spacing w:val="-1"/>
                <w:sz w:val="21"/>
              </w:rPr>
              <w:t>1,950,500</w:t>
            </w:r>
          </w:p>
        </w:tc>
        <w:tc>
          <w:tcPr>
            <w:tcW w:w="28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6"/>
              <w:jc w:val="right"/>
              <w:rPr>
                <w:rFonts w:ascii="宋体" w:hAnsi="宋体" w:cs="宋体" w:eastAsia="宋体" w:hint="default"/>
                <w:sz w:val="21"/>
                <w:szCs w:val="21"/>
              </w:rPr>
            </w:pPr>
            <w:r>
              <w:rPr>
                <w:rFonts w:ascii="宋体"/>
                <w:spacing w:val="-1"/>
                <w:sz w:val="21"/>
              </w:rPr>
              <w:t>7,846,500</w:t>
            </w:r>
          </w:p>
        </w:tc>
      </w:tr>
      <w:tr>
        <w:trPr>
          <w:trHeight w:val="281" w:hRule="exact"/>
        </w:trPr>
        <w:tc>
          <w:tcPr>
            <w:tcW w:w="2965" w:type="dxa"/>
            <w:tcBorders>
              <w:top w:val="single" w:sz="4" w:space="0" w:color="000000"/>
              <w:left w:val="single" w:sz="4" w:space="0" w:color="000000"/>
              <w:bottom w:val="single" w:sz="4" w:space="0" w:color="000000"/>
              <w:right w:val="single" w:sz="4" w:space="0" w:color="000000"/>
            </w:tcBorders>
          </w:tcPr>
          <w:p>
            <w:pPr/>
          </w:p>
        </w:tc>
        <w:tc>
          <w:tcPr>
            <w:tcW w:w="3147" w:type="dxa"/>
            <w:tcBorders>
              <w:top w:val="single" w:sz="4" w:space="0" w:color="000000"/>
              <w:left w:val="single" w:sz="4" w:space="0" w:color="000000"/>
              <w:bottom w:val="single" w:sz="4" w:space="0" w:color="000000"/>
              <w:right w:val="single" w:sz="4" w:space="0" w:color="000000"/>
            </w:tcBorders>
          </w:tcPr>
          <w:p>
            <w:pPr/>
          </w:p>
        </w:tc>
        <w:tc>
          <w:tcPr>
            <w:tcW w:w="289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965" w:type="dxa"/>
            <w:tcBorders>
              <w:top w:val="single" w:sz="4" w:space="0" w:color="000000"/>
              <w:left w:val="single" w:sz="4" w:space="0" w:color="000000"/>
              <w:bottom w:val="single" w:sz="4" w:space="0" w:color="000000"/>
              <w:right w:val="single" w:sz="4" w:space="0" w:color="000000"/>
            </w:tcBorders>
          </w:tcPr>
          <w:p>
            <w:pPr/>
          </w:p>
        </w:tc>
        <w:tc>
          <w:tcPr>
            <w:tcW w:w="3147" w:type="dxa"/>
            <w:tcBorders>
              <w:top w:val="single" w:sz="4" w:space="0" w:color="000000"/>
              <w:left w:val="single" w:sz="4" w:space="0" w:color="000000"/>
              <w:bottom w:val="single" w:sz="4" w:space="0" w:color="000000"/>
              <w:right w:val="single" w:sz="4" w:space="0" w:color="000000"/>
            </w:tcBorders>
          </w:tcPr>
          <w:p>
            <w:pPr/>
          </w:p>
        </w:tc>
        <w:tc>
          <w:tcPr>
            <w:tcW w:w="289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9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65"/>
              <w:jc w:val="right"/>
              <w:rPr>
                <w:rFonts w:ascii="宋体" w:hAnsi="宋体" w:cs="宋体" w:eastAsia="宋体" w:hint="default"/>
                <w:sz w:val="21"/>
                <w:szCs w:val="21"/>
              </w:rPr>
            </w:pPr>
            <w:r>
              <w:rPr>
                <w:rFonts w:ascii="宋体" w:hAnsi="宋体" w:cs="宋体" w:eastAsia="宋体" w:hint="default"/>
                <w:sz w:val="21"/>
                <w:szCs w:val="21"/>
              </w:rPr>
              <w:t>合计</w:t>
            </w:r>
          </w:p>
        </w:tc>
        <w:tc>
          <w:tcPr>
            <w:tcW w:w="31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123,939,211</w:t>
            </w:r>
          </w:p>
        </w:tc>
        <w:tc>
          <w:tcPr>
            <w:tcW w:w="28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71,473,083</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pStyle w:val="Heading3"/>
        <w:spacing w:line="240" w:lineRule="auto" w:before="36"/>
        <w:ind w:left="1418" w:right="0"/>
        <w:jc w:val="left"/>
        <w:rPr>
          <w:b w:val="0"/>
          <w:bCs w:val="0"/>
        </w:rPr>
      </w:pPr>
      <w:r>
        <w:rPr>
          <w:rFonts w:ascii="宋体" w:hAnsi="宋体" w:cs="宋体" w:eastAsia="宋体" w:hint="default"/>
        </w:rPr>
        <w:t>(2).</w:t>
      </w:r>
      <w:r>
        <w:rPr>
          <w:rFonts w:ascii="宋体" w:hAnsi="宋体" w:cs="宋体" w:eastAsia="宋体" w:hint="default"/>
          <w:spacing w:val="-4"/>
        </w:rPr>
        <w:t> </w:t>
      </w:r>
      <w:r>
        <w:rPr/>
        <w:t>期末公司已质押的应收票据</w:t>
      </w:r>
      <w:r>
        <w:rPr>
          <w:b w:val="0"/>
          <w:bCs w:val="0"/>
        </w:rPr>
      </w:r>
    </w:p>
    <w:p>
      <w:pPr>
        <w:pStyle w:val="BodyText"/>
        <w:spacing w:line="240" w:lineRule="auto" w:before="56"/>
        <w:ind w:left="1418" w:right="0"/>
        <w:jc w:val="left"/>
      </w:pPr>
      <w:r>
        <w:rPr/>
        <w:t>□适用</w:t>
      </w:r>
      <w:r>
        <w:rPr>
          <w:spacing w:val="-1"/>
        </w:rPr>
        <w:t> </w:t>
      </w:r>
      <w:r>
        <w:rPr/>
        <w:t>√不适用</w:t>
      </w:r>
    </w:p>
    <w:p>
      <w:pPr>
        <w:pStyle w:val="Heading3"/>
        <w:spacing w:line="240" w:lineRule="auto" w:before="58"/>
        <w:ind w:left="1418" w:right="0"/>
        <w:jc w:val="left"/>
        <w:rPr>
          <w:b w:val="0"/>
          <w:bCs w:val="0"/>
        </w:rPr>
      </w:pPr>
      <w:r>
        <w:rPr>
          <w:rFonts w:ascii="宋体" w:hAnsi="宋体" w:cs="宋体" w:eastAsia="宋体" w:hint="default"/>
        </w:rPr>
        <w:t>(3).</w:t>
      </w:r>
      <w:r>
        <w:rPr>
          <w:rFonts w:ascii="宋体" w:hAnsi="宋体" w:cs="宋体" w:eastAsia="宋体" w:hint="default"/>
          <w:spacing w:val="-4"/>
        </w:rPr>
        <w:t> </w:t>
      </w:r>
      <w:r>
        <w:rPr/>
        <w:t>期末公司已背书或贴现且在资产负债表日尚未到期的应收票据：</w:t>
      </w:r>
      <w:r>
        <w:rPr>
          <w:b w:val="0"/>
          <w:bCs w:val="0"/>
        </w:rPr>
      </w:r>
    </w:p>
    <w:p>
      <w:pPr>
        <w:pStyle w:val="BodyText"/>
        <w:spacing w:line="240" w:lineRule="auto" w:before="56"/>
        <w:ind w:left="1418" w:right="0"/>
        <w:jc w:val="left"/>
      </w:pPr>
      <w:r>
        <w:rPr/>
        <w:t>□适用</w:t>
      </w:r>
      <w:r>
        <w:rPr>
          <w:spacing w:val="-1"/>
        </w:rPr>
        <w:t> </w:t>
      </w:r>
      <w:r>
        <w:rPr/>
        <w:t>√不适用</w:t>
      </w:r>
    </w:p>
    <w:p>
      <w:pPr>
        <w:pStyle w:val="Heading3"/>
        <w:spacing w:line="240" w:lineRule="auto" w:before="56"/>
        <w:ind w:left="1418" w:right="0"/>
        <w:jc w:val="left"/>
        <w:rPr>
          <w:b w:val="0"/>
          <w:bCs w:val="0"/>
        </w:rPr>
      </w:pPr>
      <w:r>
        <w:rPr>
          <w:rFonts w:ascii="宋体" w:hAnsi="宋体" w:cs="宋体" w:eastAsia="宋体" w:hint="default"/>
        </w:rPr>
        <w:t>(4).</w:t>
      </w:r>
      <w:r>
        <w:rPr>
          <w:rFonts w:ascii="宋体" w:hAnsi="宋体" w:cs="宋体" w:eastAsia="宋体" w:hint="default"/>
          <w:spacing w:val="-3"/>
        </w:rPr>
        <w:t> </w:t>
      </w:r>
      <w:r>
        <w:rPr/>
        <w:t>期末公司因出票人未履约而将其转应收账款的票据</w:t>
      </w:r>
      <w:r>
        <w:rPr>
          <w:b w:val="0"/>
          <w:bCs w:val="0"/>
        </w:rPr>
      </w:r>
    </w:p>
    <w:p>
      <w:pPr>
        <w:pStyle w:val="BodyText"/>
        <w:spacing w:line="272" w:lineRule="exact" w:before="86"/>
        <w:ind w:left="1418" w:right="8214"/>
        <w:jc w:val="left"/>
      </w:pPr>
      <w:r>
        <w:rPr/>
        <w:t>□适用</w:t>
      </w:r>
      <w:r>
        <w:rPr>
          <w:spacing w:val="-1"/>
        </w:rPr>
        <w:t> </w:t>
      </w:r>
      <w:r>
        <w:rPr/>
        <w:t>√不适用</w:t>
      </w:r>
      <w:r>
        <w:rPr>
          <w:w w:val="100"/>
        </w:rPr>
        <w:t> </w:t>
      </w:r>
      <w:r>
        <w:rPr/>
        <w:t>其他说明</w:t>
      </w:r>
    </w:p>
    <w:p>
      <w:pPr>
        <w:pStyle w:val="BodyText"/>
        <w:spacing w:line="247" w:lineRule="exact"/>
        <w:ind w:left="1418" w:right="0"/>
        <w:jc w:val="left"/>
      </w:pPr>
      <w:r>
        <w:rPr/>
        <w:t>√适用</w:t>
      </w:r>
      <w:r>
        <w:rPr>
          <w:spacing w:val="-1"/>
        </w:rPr>
        <w:t> </w:t>
      </w:r>
      <w:r>
        <w:rPr/>
        <w:t>□不适用</w:t>
      </w:r>
    </w:p>
    <w:p>
      <w:pPr>
        <w:pStyle w:val="BodyText"/>
        <w:spacing w:line="272" w:lineRule="exact"/>
        <w:ind w:left="1418" w:right="0"/>
        <w:jc w:val="left"/>
      </w:pPr>
      <w:r>
        <w:rPr/>
        <w:t>于</w:t>
      </w:r>
      <w:r>
        <w:rPr>
          <w:spacing w:val="-53"/>
        </w:rPr>
        <w:t> </w:t>
      </w:r>
      <w:r>
        <w:rPr>
          <w:rFonts w:ascii="宋体" w:hAnsi="宋体" w:cs="宋体" w:eastAsia="宋体" w:hint="default"/>
        </w:rPr>
        <w:t>2017</w:t>
      </w:r>
      <w:r>
        <w:rPr>
          <w:rFonts w:ascii="宋体" w:hAnsi="宋体" w:cs="宋体" w:eastAsia="宋体" w:hint="default"/>
          <w:spacing w:val="-53"/>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日，无已贴现取得短期借款的应收票据</w:t>
      </w:r>
      <w:r>
        <w:rPr>
          <w:rFonts w:ascii="宋体" w:hAnsi="宋体" w:cs="宋体" w:eastAsia="宋体" w:hint="default"/>
        </w:rPr>
        <w:t>(2016</w:t>
      </w:r>
      <w:r>
        <w:rPr>
          <w:rFonts w:ascii="宋体" w:hAnsi="宋体" w:cs="宋体" w:eastAsia="宋体" w:hint="default"/>
          <w:spacing w:val="-53"/>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spacing w:val="-6"/>
        </w:rPr>
        <w:t>日：无</w:t>
      </w:r>
      <w:r>
        <w:rPr>
          <w:rFonts w:ascii="宋体" w:hAnsi="宋体" w:cs="宋体" w:eastAsia="宋体" w:hint="default"/>
          <w:spacing w:val="-6"/>
        </w:rPr>
        <w:t>)</w:t>
      </w:r>
      <w:r>
        <w:rPr>
          <w:spacing w:val="-6"/>
        </w:rPr>
        <w:t>；于</w:t>
      </w:r>
      <w:r>
        <w:rPr>
          <w:spacing w:val="-53"/>
        </w:rPr>
        <w:t> </w:t>
      </w:r>
      <w:r>
        <w:rPr>
          <w:rFonts w:ascii="宋体" w:hAnsi="宋体" w:cs="宋体" w:eastAsia="宋体" w:hint="default"/>
        </w:rPr>
        <w:t>2017</w:t>
      </w:r>
      <w:r>
        <w:rPr>
          <w:rFonts w:ascii="宋体" w:hAnsi="宋体" w:cs="宋体" w:eastAsia="宋体" w:hint="default"/>
          <w:spacing w:val="-55"/>
        </w:rPr>
        <w:t> </w:t>
      </w:r>
      <w:r>
        <w:rPr/>
        <w:t>年</w:t>
      </w:r>
    </w:p>
    <w:p>
      <w:pPr>
        <w:pStyle w:val="BodyText"/>
        <w:spacing w:line="274" w:lineRule="exact"/>
        <w:ind w:left="1418" w:right="0"/>
        <w:jc w:val="left"/>
      </w:pPr>
      <w:r>
        <w:rPr>
          <w:rFonts w:ascii="宋体" w:hAnsi="宋体" w:cs="宋体" w:eastAsia="宋体" w:hint="default"/>
        </w:rPr>
        <w:t>12</w:t>
      </w:r>
      <w:r>
        <w:rPr>
          <w:rFonts w:ascii="宋体" w:hAnsi="宋体" w:cs="宋体" w:eastAsia="宋体" w:hint="default"/>
          <w:spacing w:val="-54"/>
        </w:rPr>
        <w:t> </w:t>
      </w:r>
      <w:r>
        <w:rPr/>
        <w:t>月</w:t>
      </w:r>
      <w:r>
        <w:rPr>
          <w:spacing w:val="-54"/>
        </w:rPr>
        <w:t> </w:t>
      </w:r>
      <w:r>
        <w:rPr>
          <w:rFonts w:ascii="宋体" w:hAnsi="宋体" w:cs="宋体" w:eastAsia="宋体" w:hint="default"/>
        </w:rPr>
        <w:t>31</w:t>
      </w:r>
      <w:r>
        <w:rPr>
          <w:rFonts w:ascii="宋体" w:hAnsi="宋体" w:cs="宋体" w:eastAsia="宋体" w:hint="default"/>
          <w:spacing w:val="-54"/>
        </w:rPr>
        <w:t> </w:t>
      </w:r>
      <w:r>
        <w:rPr/>
        <w:t>日，无已质押的应收票据</w:t>
      </w:r>
      <w:r>
        <w:rPr>
          <w:rFonts w:ascii="宋体" w:hAnsi="宋体" w:cs="宋体" w:eastAsia="宋体" w:hint="default"/>
        </w:rPr>
        <w:t>(2016</w:t>
      </w:r>
      <w:r>
        <w:rPr>
          <w:rFonts w:ascii="宋体" w:hAnsi="宋体" w:cs="宋体" w:eastAsia="宋体" w:hint="default"/>
          <w:spacing w:val="-56"/>
        </w:rPr>
        <w:t> </w:t>
      </w:r>
      <w:r>
        <w:rPr/>
        <w:t>年</w:t>
      </w:r>
      <w:r>
        <w:rPr>
          <w:spacing w:val="-54"/>
        </w:rPr>
        <w:t> </w:t>
      </w:r>
      <w:r>
        <w:rPr>
          <w:rFonts w:ascii="宋体" w:hAnsi="宋体" w:cs="宋体" w:eastAsia="宋体" w:hint="default"/>
        </w:rPr>
        <w:t>12</w:t>
      </w:r>
      <w:r>
        <w:rPr>
          <w:rFonts w:ascii="宋体" w:hAnsi="宋体" w:cs="宋体" w:eastAsia="宋体" w:hint="default"/>
          <w:spacing w:val="-54"/>
        </w:rPr>
        <w:t> </w:t>
      </w:r>
      <w:r>
        <w:rPr/>
        <w:t>月</w:t>
      </w:r>
      <w:r>
        <w:rPr>
          <w:spacing w:val="-54"/>
        </w:rPr>
        <w:t> </w:t>
      </w:r>
      <w:r>
        <w:rPr>
          <w:rFonts w:ascii="宋体" w:hAnsi="宋体" w:cs="宋体" w:eastAsia="宋体" w:hint="default"/>
        </w:rPr>
        <w:t>31</w:t>
      </w:r>
      <w:r>
        <w:rPr>
          <w:rFonts w:ascii="宋体" w:hAnsi="宋体" w:cs="宋体" w:eastAsia="宋体" w:hint="default"/>
          <w:spacing w:val="-53"/>
        </w:rPr>
        <w:t> </w:t>
      </w:r>
      <w:r>
        <w:rPr/>
        <w:t>日：无</w:t>
      </w:r>
      <w:r>
        <w:rPr>
          <w:rFonts w:ascii="宋体" w:hAnsi="宋体" w:cs="宋体" w:eastAsia="宋体" w:hint="default"/>
        </w:rPr>
        <w:t>)</w:t>
      </w:r>
      <w:r>
        <w:rPr/>
        <w:t>。</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type w:val="continuous"/>
          <w:pgSz w:w="11910" w:h="16840"/>
          <w:pgMar w:top="1320" w:bottom="1380" w:left="380" w:right="300"/>
        </w:sectPr>
      </w:pPr>
    </w:p>
    <w:p>
      <w:pPr>
        <w:pStyle w:val="Heading3"/>
        <w:spacing w:line="240" w:lineRule="auto" w:before="36"/>
        <w:ind w:left="1418" w:right="-20"/>
        <w:jc w:val="left"/>
        <w:rPr>
          <w:b w:val="0"/>
          <w:bCs w:val="0"/>
        </w:rPr>
      </w:pPr>
      <w:r>
        <w:rPr>
          <w:rFonts w:ascii="宋体" w:hAnsi="宋体" w:cs="宋体" w:eastAsia="宋体" w:hint="default"/>
        </w:rPr>
        <w:t>5</w:t>
      </w:r>
      <w:r>
        <w:rPr/>
        <w:t>、</w:t>
      </w:r>
      <w:r>
        <w:rPr>
          <w:spacing w:val="-2"/>
        </w:rPr>
        <w:t> </w:t>
      </w:r>
      <w:r>
        <w:rPr/>
        <w:t>应收账款</w:t>
      </w:r>
      <w:r>
        <w:rPr>
          <w:b w:val="0"/>
          <w:bCs w:val="0"/>
        </w:rPr>
      </w:r>
    </w:p>
    <w:p>
      <w:pPr>
        <w:pStyle w:val="Heading3"/>
        <w:spacing w:line="240" w:lineRule="auto" w:before="57"/>
        <w:ind w:left="1418" w:right="-20"/>
        <w:jc w:val="left"/>
        <w:rPr>
          <w:b w:val="0"/>
          <w:bCs w:val="0"/>
        </w:rPr>
      </w:pPr>
      <w:r>
        <w:rPr>
          <w:rFonts w:ascii="宋体" w:hAnsi="宋体" w:cs="宋体" w:eastAsia="宋体" w:hint="default"/>
        </w:rPr>
        <w:t>(1).</w:t>
      </w:r>
      <w:r>
        <w:rPr>
          <w:rFonts w:ascii="宋体" w:hAnsi="宋体" w:cs="宋体" w:eastAsia="宋体" w:hint="default"/>
          <w:spacing w:val="47"/>
        </w:rPr>
        <w:t> </w:t>
      </w:r>
      <w:r>
        <w:rPr/>
        <w:t>应收账款分类披露</w:t>
      </w:r>
      <w:r>
        <w:rPr>
          <w:b w:val="0"/>
          <w:bCs w:val="0"/>
        </w:rPr>
      </w:r>
    </w:p>
    <w:p>
      <w:pPr>
        <w:pStyle w:val="BodyText"/>
        <w:spacing w:line="240" w:lineRule="auto" w:before="58"/>
        <w:ind w:left="1418" w:right="-20"/>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tabs>
          <w:tab w:pos="2469" w:val="left" w:leader="none"/>
        </w:tabs>
        <w:spacing w:line="240" w:lineRule="auto"/>
        <w:ind w:left="1418" w:right="0"/>
        <w:jc w:val="left"/>
      </w:pPr>
      <w:r>
        <w:rPr>
          <w:spacing w:val="-1"/>
        </w:rPr>
        <w:t>单位：元</w:t>
        <w:tab/>
      </w:r>
      <w:r>
        <w:rPr>
          <w:spacing w:val="-2"/>
        </w:rPr>
        <w:t>币种：人民币</w:t>
      </w:r>
    </w:p>
    <w:p>
      <w:pPr>
        <w:spacing w:after="0" w:line="240" w:lineRule="auto"/>
        <w:jc w:val="left"/>
        <w:sectPr>
          <w:type w:val="continuous"/>
          <w:pgSz w:w="11910" w:h="16840"/>
          <w:pgMar w:top="1320" w:bottom="1380" w:left="380" w:right="300"/>
          <w:cols w:num="2" w:equalWidth="0">
            <w:col w:w="3682" w:space="2737"/>
            <w:col w:w="4811"/>
          </w:cols>
        </w:sectPr>
      </w:pPr>
    </w:p>
    <w:p>
      <w:pPr>
        <w:spacing w:line="240" w:lineRule="auto" w:before="7"/>
        <w:rPr>
          <w:rFonts w:ascii="宋体" w:hAnsi="宋体" w:cs="宋体" w:eastAsia="宋体" w:hint="default"/>
          <w:sz w:val="2"/>
          <w:szCs w:val="2"/>
        </w:rPr>
      </w:pPr>
    </w:p>
    <w:tbl>
      <w:tblPr>
        <w:tblW w:w="0" w:type="auto"/>
        <w:jc w:val="left"/>
        <w:tblInd w:w="100" w:type="dxa"/>
        <w:tblLayout w:type="fixed"/>
        <w:tblCellMar>
          <w:top w:w="0" w:type="dxa"/>
          <w:left w:w="0" w:type="dxa"/>
          <w:bottom w:w="0" w:type="dxa"/>
          <w:right w:w="0" w:type="dxa"/>
        </w:tblCellMar>
        <w:tblLook w:val="01E0"/>
      </w:tblPr>
      <w:tblGrid>
        <w:gridCol w:w="1568"/>
        <w:gridCol w:w="1294"/>
        <w:gridCol w:w="471"/>
        <w:gridCol w:w="1243"/>
        <w:gridCol w:w="526"/>
        <w:gridCol w:w="1241"/>
        <w:gridCol w:w="1241"/>
        <w:gridCol w:w="446"/>
        <w:gridCol w:w="1133"/>
        <w:gridCol w:w="538"/>
        <w:gridCol w:w="1308"/>
      </w:tblGrid>
      <w:tr>
        <w:trPr>
          <w:trHeight w:val="281" w:hRule="exact"/>
        </w:trPr>
        <w:tc>
          <w:tcPr>
            <w:tcW w:w="156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477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466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83" w:hRule="exact"/>
        </w:trPr>
        <w:tc>
          <w:tcPr>
            <w:tcW w:w="1568" w:type="dxa"/>
            <w:vMerge/>
            <w:tcBorders>
              <w:left w:val="single" w:sz="4" w:space="0" w:color="000000"/>
              <w:right w:val="single" w:sz="4" w:space="0" w:color="000000"/>
            </w:tcBorders>
          </w:tcPr>
          <w:p>
            <w:pPr/>
          </w:p>
        </w:tc>
        <w:tc>
          <w:tcPr>
            <w:tcW w:w="176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55"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7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58"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241"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403" w:right="405"/>
              <w:jc w:val="left"/>
              <w:rPr>
                <w:rFonts w:ascii="宋体" w:hAnsi="宋体" w:cs="宋体" w:eastAsia="宋体" w:hint="default"/>
                <w:sz w:val="21"/>
                <w:szCs w:val="21"/>
              </w:rPr>
            </w:pPr>
            <w:r>
              <w:rPr>
                <w:rFonts w:ascii="宋体" w:hAnsi="宋体" w:cs="宋体" w:eastAsia="宋体" w:hint="default"/>
                <w:sz w:val="21"/>
                <w:szCs w:val="21"/>
              </w:rPr>
              <w:t>账面</w:t>
            </w:r>
            <w:r>
              <w:rPr>
                <w:rFonts w:ascii="宋体" w:hAnsi="宋体" w:cs="宋体" w:eastAsia="宋体" w:hint="default"/>
                <w:spacing w:val="-103"/>
                <w:sz w:val="21"/>
                <w:szCs w:val="21"/>
              </w:rPr>
              <w:t> </w:t>
            </w:r>
            <w:r>
              <w:rPr>
                <w:rFonts w:ascii="宋体" w:hAnsi="宋体" w:cs="宋体" w:eastAsia="宋体" w:hint="default"/>
                <w:sz w:val="21"/>
                <w:szCs w:val="21"/>
              </w:rPr>
              <w:t>价值</w:t>
            </w:r>
          </w:p>
        </w:tc>
        <w:tc>
          <w:tcPr>
            <w:tcW w:w="168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17"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67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11"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308"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439" w:right="435"/>
              <w:jc w:val="center"/>
              <w:rPr>
                <w:rFonts w:ascii="宋体" w:hAnsi="宋体" w:cs="宋体" w:eastAsia="宋体" w:hint="default"/>
                <w:sz w:val="21"/>
                <w:szCs w:val="21"/>
              </w:rPr>
            </w:pPr>
            <w:r>
              <w:rPr>
                <w:rFonts w:ascii="宋体" w:hAnsi="宋体" w:cs="宋体" w:eastAsia="宋体" w:hint="default"/>
                <w:sz w:val="21"/>
                <w:szCs w:val="21"/>
              </w:rPr>
              <w:t>账面</w:t>
            </w:r>
            <w:r>
              <w:rPr>
                <w:rFonts w:ascii="宋体" w:hAnsi="宋体" w:cs="宋体" w:eastAsia="宋体" w:hint="default"/>
                <w:w w:val="100"/>
                <w:sz w:val="21"/>
                <w:szCs w:val="21"/>
              </w:rPr>
              <w:t> </w:t>
            </w:r>
            <w:r>
              <w:rPr>
                <w:rFonts w:ascii="宋体" w:hAnsi="宋体" w:cs="宋体" w:eastAsia="宋体" w:hint="default"/>
                <w:sz w:val="21"/>
                <w:szCs w:val="21"/>
              </w:rPr>
              <w:t>价值</w:t>
            </w:r>
          </w:p>
        </w:tc>
      </w:tr>
      <w:tr>
        <w:trPr>
          <w:trHeight w:val="828" w:hRule="exact"/>
        </w:trPr>
        <w:tc>
          <w:tcPr>
            <w:tcW w:w="1568" w:type="dxa"/>
            <w:vMerge/>
            <w:tcBorders>
              <w:left w:val="single" w:sz="4" w:space="0" w:color="000000"/>
              <w:bottom w:val="single" w:sz="4" w:space="0" w:color="000000"/>
              <w:right w:val="single" w:sz="4" w:space="0" w:color="000000"/>
            </w:tcBorders>
          </w:tcPr>
          <w:p>
            <w:pP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47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22" w:right="0"/>
              <w:jc w:val="left"/>
              <w:rPr>
                <w:rFonts w:ascii="宋体" w:hAnsi="宋体" w:cs="宋体" w:eastAsia="宋体" w:hint="default"/>
                <w:sz w:val="21"/>
                <w:szCs w:val="21"/>
              </w:rPr>
            </w:pPr>
            <w:r>
              <w:rPr>
                <w:rFonts w:ascii="宋体" w:hAnsi="宋体" w:cs="宋体" w:eastAsia="宋体" w:hint="default"/>
                <w:w w:val="100"/>
                <w:sz w:val="21"/>
                <w:szCs w:val="21"/>
              </w:rPr>
              <w:t>比</w:t>
            </w:r>
          </w:p>
          <w:p>
            <w:pPr>
              <w:pStyle w:val="TableParagraph"/>
              <w:spacing w:line="272" w:lineRule="exact" w:before="27"/>
              <w:ind w:left="69" w:right="74" w:firstLine="52"/>
              <w:jc w:val="left"/>
              <w:rPr>
                <w:rFonts w:ascii="宋体" w:hAnsi="宋体" w:cs="宋体" w:eastAsia="宋体" w:hint="default"/>
                <w:sz w:val="21"/>
                <w:szCs w:val="21"/>
              </w:rPr>
            </w:pPr>
            <w:r>
              <w:rPr>
                <w:rFonts w:ascii="宋体" w:hAnsi="宋体" w:cs="宋体" w:eastAsia="宋体" w:hint="default"/>
                <w:sz w:val="21"/>
                <w:szCs w:val="21"/>
              </w:rPr>
              <w:t>例</w:t>
            </w:r>
            <w:r>
              <w:rPr>
                <w:rFonts w:ascii="宋体" w:hAnsi="宋体" w:cs="宋体" w:eastAsia="宋体" w:hint="default"/>
                <w:w w:val="100"/>
                <w:sz w:val="21"/>
                <w:szCs w:val="21"/>
              </w:rPr>
              <w:t> </w:t>
            </w:r>
            <w:r>
              <w:rPr>
                <w:rFonts w:ascii="宋体" w:hAnsi="宋体" w:cs="宋体" w:eastAsia="宋体" w:hint="default"/>
                <w:sz w:val="21"/>
                <w:szCs w:val="21"/>
              </w:rPr>
              <w:t>(%)</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407"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48" w:right="0"/>
              <w:jc w:val="left"/>
              <w:rPr>
                <w:rFonts w:ascii="宋体" w:hAnsi="宋体" w:cs="宋体" w:eastAsia="宋体" w:hint="default"/>
                <w:sz w:val="21"/>
                <w:szCs w:val="21"/>
              </w:rPr>
            </w:pPr>
            <w:r>
              <w:rPr>
                <w:rFonts w:ascii="宋体" w:hAnsi="宋体" w:cs="宋体" w:eastAsia="宋体" w:hint="default"/>
                <w:sz w:val="21"/>
                <w:szCs w:val="21"/>
              </w:rPr>
              <w:t>计提</w:t>
            </w:r>
          </w:p>
          <w:p>
            <w:pPr>
              <w:pStyle w:val="TableParagraph"/>
              <w:spacing w:line="272" w:lineRule="exact" w:before="27"/>
              <w:ind w:left="100" w:right="43" w:hanging="53"/>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pacing w:val="-103"/>
                <w:sz w:val="21"/>
                <w:szCs w:val="21"/>
              </w:rPr>
              <w:t> </w:t>
            </w:r>
            <w:r>
              <w:rPr>
                <w:rFonts w:ascii="宋体" w:hAnsi="宋体" w:cs="宋体" w:eastAsia="宋体" w:hint="default"/>
                <w:sz w:val="21"/>
                <w:szCs w:val="21"/>
              </w:rPr>
              <w:t>(%)</w:t>
            </w:r>
          </w:p>
        </w:tc>
        <w:tc>
          <w:tcPr>
            <w:tcW w:w="1241" w:type="dxa"/>
            <w:vMerge/>
            <w:tcBorders>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40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44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10" w:right="0"/>
              <w:jc w:val="left"/>
              <w:rPr>
                <w:rFonts w:ascii="宋体" w:hAnsi="宋体" w:cs="宋体" w:eastAsia="宋体" w:hint="default"/>
                <w:sz w:val="21"/>
                <w:szCs w:val="21"/>
              </w:rPr>
            </w:pPr>
            <w:r>
              <w:rPr>
                <w:rFonts w:ascii="宋体" w:hAnsi="宋体" w:cs="宋体" w:eastAsia="宋体" w:hint="default"/>
                <w:w w:val="100"/>
                <w:sz w:val="21"/>
                <w:szCs w:val="21"/>
              </w:rPr>
              <w:t>比</w:t>
            </w:r>
          </w:p>
          <w:p>
            <w:pPr>
              <w:pStyle w:val="TableParagraph"/>
              <w:spacing w:line="272" w:lineRule="exact" w:before="27"/>
              <w:ind w:left="57" w:right="60" w:firstLine="52"/>
              <w:jc w:val="left"/>
              <w:rPr>
                <w:rFonts w:ascii="宋体" w:hAnsi="宋体" w:cs="宋体" w:eastAsia="宋体" w:hint="default"/>
                <w:sz w:val="21"/>
                <w:szCs w:val="21"/>
              </w:rPr>
            </w:pPr>
            <w:r>
              <w:rPr>
                <w:rFonts w:ascii="宋体" w:hAnsi="宋体" w:cs="宋体" w:eastAsia="宋体" w:hint="default"/>
                <w:sz w:val="21"/>
                <w:szCs w:val="21"/>
              </w:rPr>
              <w:t>例</w:t>
            </w:r>
            <w:r>
              <w:rPr>
                <w:rFonts w:ascii="宋体" w:hAnsi="宋体" w:cs="宋体" w:eastAsia="宋体" w:hint="default"/>
                <w:w w:val="100"/>
                <w:sz w:val="21"/>
                <w:szCs w:val="21"/>
              </w:rPr>
              <w:t> </w:t>
            </w:r>
            <w:r>
              <w:rPr>
                <w:rFonts w:ascii="宋体" w:hAnsi="宋体" w:cs="宋体" w:eastAsia="宋体" w:hint="default"/>
                <w:sz w:val="21"/>
                <w:szCs w:val="21"/>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352"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2" w:right="0"/>
              <w:jc w:val="left"/>
              <w:rPr>
                <w:rFonts w:ascii="宋体" w:hAnsi="宋体" w:cs="宋体" w:eastAsia="宋体" w:hint="default"/>
                <w:sz w:val="21"/>
                <w:szCs w:val="21"/>
              </w:rPr>
            </w:pPr>
            <w:r>
              <w:rPr>
                <w:rFonts w:ascii="宋体" w:hAnsi="宋体" w:cs="宋体" w:eastAsia="宋体" w:hint="default"/>
                <w:sz w:val="21"/>
                <w:szCs w:val="21"/>
              </w:rPr>
              <w:t>计提</w:t>
            </w:r>
          </w:p>
          <w:p>
            <w:pPr>
              <w:pStyle w:val="TableParagraph"/>
              <w:spacing w:line="272" w:lineRule="exact" w:before="27"/>
              <w:ind w:left="105" w:right="50" w:hanging="53"/>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pacing w:val="-103"/>
                <w:sz w:val="21"/>
                <w:szCs w:val="21"/>
              </w:rPr>
              <w:t> </w:t>
            </w:r>
            <w:r>
              <w:rPr>
                <w:rFonts w:ascii="宋体" w:hAnsi="宋体" w:cs="宋体" w:eastAsia="宋体" w:hint="default"/>
                <w:sz w:val="21"/>
                <w:szCs w:val="21"/>
              </w:rPr>
              <w:t>(%)</w:t>
            </w:r>
          </w:p>
        </w:tc>
        <w:tc>
          <w:tcPr>
            <w:tcW w:w="1308" w:type="dxa"/>
            <w:vMerge/>
            <w:tcBorders>
              <w:left w:val="single" w:sz="4" w:space="0" w:color="000000"/>
              <w:bottom w:val="single" w:sz="4" w:space="0" w:color="000000"/>
              <w:right w:val="single" w:sz="4" w:space="0" w:color="000000"/>
            </w:tcBorders>
          </w:tcPr>
          <w:p>
            <w:pPr/>
          </w:p>
        </w:tc>
      </w:tr>
      <w:tr>
        <w:trPr>
          <w:trHeight w:val="826" w:hRule="exact"/>
        </w:trPr>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单项金额重大并</w:t>
            </w:r>
          </w:p>
          <w:p>
            <w:pPr>
              <w:pStyle w:val="TableParagraph"/>
              <w:spacing w:line="240" w:lineRule="auto"/>
              <w:ind w:left="26" w:right="55"/>
              <w:jc w:val="left"/>
              <w:rPr>
                <w:rFonts w:ascii="宋体" w:hAnsi="宋体" w:cs="宋体" w:eastAsia="宋体" w:hint="default"/>
                <w:sz w:val="21"/>
                <w:szCs w:val="21"/>
              </w:rPr>
            </w:pPr>
            <w:r>
              <w:rPr>
                <w:rFonts w:ascii="宋体" w:hAnsi="宋体" w:cs="宋体" w:eastAsia="宋体" w:hint="default"/>
                <w:sz w:val="21"/>
                <w:szCs w:val="21"/>
              </w:rPr>
              <w:t>单独计提坏账准</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备的应收账款</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57" w:right="0"/>
              <w:jc w:val="left"/>
              <w:rPr>
                <w:rFonts w:ascii="宋体" w:hAnsi="宋体" w:cs="宋体" w:eastAsia="宋体" w:hint="default"/>
                <w:sz w:val="18"/>
                <w:szCs w:val="18"/>
              </w:rPr>
            </w:pPr>
            <w:r>
              <w:rPr>
                <w:rFonts w:ascii="宋体"/>
                <w:sz w:val="18"/>
              </w:rPr>
              <w:t>81,160,711</w:t>
            </w:r>
          </w:p>
        </w:tc>
        <w:tc>
          <w:tcPr>
            <w:tcW w:w="4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8"/>
              <w:jc w:val="right"/>
              <w:rPr>
                <w:rFonts w:ascii="宋体" w:hAnsi="宋体" w:cs="宋体" w:eastAsia="宋体" w:hint="default"/>
                <w:sz w:val="18"/>
                <w:szCs w:val="18"/>
              </w:rPr>
            </w:pPr>
            <w:r>
              <w:rPr>
                <w:rFonts w:ascii="宋体"/>
                <w:sz w:val="18"/>
              </w:rPr>
              <w:t>4</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09" w:right="0"/>
              <w:jc w:val="left"/>
              <w:rPr>
                <w:rFonts w:ascii="宋体" w:hAnsi="宋体" w:cs="宋体" w:eastAsia="宋体" w:hint="default"/>
                <w:sz w:val="18"/>
                <w:szCs w:val="18"/>
              </w:rPr>
            </w:pPr>
            <w:r>
              <w:rPr>
                <w:rFonts w:ascii="宋体"/>
                <w:sz w:val="18"/>
              </w:rPr>
              <w:t>81,160,711</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8" w:right="0"/>
              <w:jc w:val="left"/>
              <w:rPr>
                <w:rFonts w:ascii="宋体" w:hAnsi="宋体" w:cs="宋体" w:eastAsia="宋体" w:hint="default"/>
                <w:sz w:val="18"/>
                <w:szCs w:val="18"/>
              </w:rPr>
            </w:pPr>
            <w:r>
              <w:rPr>
                <w:rFonts w:ascii="宋体"/>
                <w:sz w:val="18"/>
              </w:rPr>
              <w:t>100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9"/>
              <w:jc w:val="right"/>
              <w:rPr>
                <w:rFonts w:ascii="宋体" w:hAnsi="宋体" w:cs="宋体" w:eastAsia="宋体" w:hint="default"/>
                <w:sz w:val="18"/>
                <w:szCs w:val="18"/>
              </w:rPr>
            </w:pPr>
            <w:r>
              <w:rPr>
                <w:rFonts w:ascii="宋体"/>
                <w:sz w:val="18"/>
              </w:rPr>
              <w:t>-</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02" w:right="0"/>
              <w:jc w:val="left"/>
              <w:rPr>
                <w:rFonts w:ascii="宋体" w:hAnsi="宋体" w:cs="宋体" w:eastAsia="宋体" w:hint="default"/>
                <w:sz w:val="18"/>
                <w:szCs w:val="18"/>
              </w:rPr>
            </w:pPr>
            <w:r>
              <w:rPr>
                <w:rFonts w:ascii="宋体"/>
                <w:sz w:val="18"/>
              </w:rPr>
              <w:t>52,943,023</w:t>
            </w:r>
          </w:p>
        </w:tc>
        <w:tc>
          <w:tcPr>
            <w:tcW w:w="4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9"/>
              <w:jc w:val="right"/>
              <w:rPr>
                <w:rFonts w:ascii="宋体" w:hAnsi="宋体" w:cs="宋体" w:eastAsia="宋体" w:hint="default"/>
                <w:sz w:val="18"/>
                <w:szCs w:val="18"/>
              </w:rPr>
            </w:pPr>
            <w:r>
              <w:rPr>
                <w:rFonts w:ascii="宋体"/>
                <w:sz w:val="18"/>
              </w:rPr>
              <w:t>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99" w:right="0"/>
              <w:jc w:val="left"/>
              <w:rPr>
                <w:rFonts w:ascii="宋体" w:hAnsi="宋体" w:cs="宋体" w:eastAsia="宋体" w:hint="default"/>
                <w:sz w:val="18"/>
                <w:szCs w:val="18"/>
              </w:rPr>
            </w:pPr>
            <w:r>
              <w:rPr>
                <w:rFonts w:ascii="宋体"/>
                <w:sz w:val="18"/>
              </w:rPr>
              <w:t>52,943,023</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30" w:right="0"/>
              <w:jc w:val="left"/>
              <w:rPr>
                <w:rFonts w:ascii="宋体" w:hAnsi="宋体" w:cs="宋体" w:eastAsia="宋体" w:hint="default"/>
                <w:sz w:val="18"/>
                <w:szCs w:val="18"/>
              </w:rPr>
            </w:pPr>
            <w:r>
              <w:rPr>
                <w:rFonts w:ascii="宋体"/>
                <w:sz w:val="18"/>
              </w:rPr>
              <w:t>100</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7"/>
              <w:jc w:val="right"/>
              <w:rPr>
                <w:rFonts w:ascii="宋体" w:hAnsi="宋体" w:cs="宋体" w:eastAsia="宋体" w:hint="default"/>
                <w:sz w:val="18"/>
                <w:szCs w:val="18"/>
              </w:rPr>
            </w:pPr>
            <w:r>
              <w:rPr>
                <w:rFonts w:ascii="宋体"/>
                <w:sz w:val="18"/>
              </w:rPr>
              <w:t>-</w:t>
            </w:r>
          </w:p>
        </w:tc>
      </w:tr>
    </w:tbl>
    <w:p>
      <w:pPr>
        <w:spacing w:after="0" w:line="205" w:lineRule="exact"/>
        <w:jc w:val="right"/>
        <w:rPr>
          <w:rFonts w:ascii="宋体" w:hAnsi="宋体" w:cs="宋体" w:eastAsia="宋体" w:hint="default"/>
          <w:sz w:val="18"/>
          <w:szCs w:val="18"/>
        </w:rPr>
        <w:sectPr>
          <w:type w:val="continuous"/>
          <w:pgSz w:w="11910" w:h="16840"/>
          <w:pgMar w:top="1320" w:bottom="1380" w:left="380" w:right="300"/>
        </w:sectPr>
      </w:pPr>
    </w:p>
    <w:p>
      <w:pPr>
        <w:spacing w:line="240" w:lineRule="auto" w:before="6"/>
        <w:rPr>
          <w:rFonts w:ascii="宋体" w:hAnsi="宋体" w:cs="宋体" w:eastAsia="宋体" w:hint="default"/>
          <w:sz w:val="14"/>
          <w:szCs w:val="14"/>
        </w:rPr>
      </w:pPr>
    </w:p>
    <w:tbl>
      <w:tblPr>
        <w:tblW w:w="0" w:type="auto"/>
        <w:jc w:val="left"/>
        <w:tblInd w:w="100" w:type="dxa"/>
        <w:tblLayout w:type="fixed"/>
        <w:tblCellMar>
          <w:top w:w="0" w:type="dxa"/>
          <w:left w:w="0" w:type="dxa"/>
          <w:bottom w:w="0" w:type="dxa"/>
          <w:right w:w="0" w:type="dxa"/>
        </w:tblCellMar>
        <w:tblLook w:val="01E0"/>
      </w:tblPr>
      <w:tblGrid>
        <w:gridCol w:w="1568"/>
        <w:gridCol w:w="1294"/>
        <w:gridCol w:w="471"/>
        <w:gridCol w:w="1243"/>
        <w:gridCol w:w="526"/>
        <w:gridCol w:w="1241"/>
        <w:gridCol w:w="1241"/>
        <w:gridCol w:w="446"/>
        <w:gridCol w:w="1133"/>
        <w:gridCol w:w="538"/>
        <w:gridCol w:w="1308"/>
      </w:tblGrid>
      <w:tr>
        <w:trPr>
          <w:trHeight w:val="828" w:hRule="exact"/>
        </w:trPr>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26" w:right="0"/>
              <w:jc w:val="left"/>
              <w:rPr>
                <w:rFonts w:ascii="宋体" w:hAnsi="宋体" w:cs="宋体" w:eastAsia="宋体" w:hint="default"/>
                <w:sz w:val="21"/>
                <w:szCs w:val="21"/>
              </w:rPr>
            </w:pPr>
            <w:r>
              <w:rPr>
                <w:rFonts w:ascii="宋体" w:hAnsi="宋体" w:cs="宋体" w:eastAsia="宋体" w:hint="default"/>
                <w:sz w:val="21"/>
                <w:szCs w:val="21"/>
              </w:rPr>
              <w:t>按信用风险特征</w:t>
            </w:r>
          </w:p>
          <w:p>
            <w:pPr>
              <w:pStyle w:val="TableParagraph"/>
              <w:spacing w:line="240" w:lineRule="auto"/>
              <w:ind w:left="26" w:right="55"/>
              <w:jc w:val="left"/>
              <w:rPr>
                <w:rFonts w:ascii="宋体" w:hAnsi="宋体" w:cs="宋体" w:eastAsia="宋体" w:hint="default"/>
                <w:sz w:val="21"/>
                <w:szCs w:val="21"/>
              </w:rPr>
            </w:pPr>
            <w:r>
              <w:rPr>
                <w:rFonts w:ascii="宋体" w:hAnsi="宋体" w:cs="宋体" w:eastAsia="宋体" w:hint="default"/>
                <w:sz w:val="21"/>
                <w:szCs w:val="21"/>
              </w:rPr>
              <w:t>组合计提坏账准</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备的应收账款</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3"/>
              <w:jc w:val="right"/>
              <w:rPr>
                <w:rFonts w:ascii="宋体" w:hAnsi="宋体" w:cs="宋体" w:eastAsia="宋体" w:hint="default"/>
                <w:sz w:val="18"/>
                <w:szCs w:val="18"/>
              </w:rPr>
            </w:pPr>
            <w:r>
              <w:rPr>
                <w:rFonts w:ascii="宋体"/>
                <w:spacing w:val="-1"/>
                <w:sz w:val="18"/>
              </w:rPr>
              <w:t>1,912,688,929</w:t>
            </w:r>
            <w:r>
              <w:rPr>
                <w:rFonts w:ascii="宋体"/>
                <w:sz w:val="18"/>
              </w:rPr>
            </w:r>
          </w:p>
        </w:tc>
        <w:tc>
          <w:tcPr>
            <w:tcW w:w="471"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6"/>
              <w:jc w:val="right"/>
              <w:rPr>
                <w:rFonts w:ascii="宋体" w:hAnsi="宋体" w:cs="宋体" w:eastAsia="宋体" w:hint="default"/>
                <w:sz w:val="18"/>
                <w:szCs w:val="18"/>
              </w:rPr>
            </w:pPr>
            <w:r>
              <w:rPr>
                <w:rFonts w:ascii="宋体"/>
                <w:sz w:val="18"/>
              </w:rPr>
              <w:t>92</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9"/>
              <w:jc w:val="right"/>
              <w:rPr>
                <w:rFonts w:ascii="宋体" w:hAnsi="宋体" w:cs="宋体" w:eastAsia="宋体" w:hint="default"/>
                <w:sz w:val="18"/>
                <w:szCs w:val="18"/>
              </w:rPr>
            </w:pPr>
            <w:r>
              <w:rPr>
                <w:rFonts w:ascii="宋体"/>
                <w:sz w:val="18"/>
              </w:rPr>
              <w:t>417,536,828</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3"/>
              <w:jc w:val="right"/>
              <w:rPr>
                <w:rFonts w:ascii="宋体" w:hAnsi="宋体" w:cs="宋体" w:eastAsia="宋体" w:hint="default"/>
                <w:sz w:val="18"/>
                <w:szCs w:val="18"/>
              </w:rPr>
            </w:pPr>
            <w:r>
              <w:rPr>
                <w:rFonts w:ascii="宋体"/>
                <w:sz w:val="18"/>
              </w:rPr>
              <w:t>22</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7"/>
              <w:jc w:val="right"/>
              <w:rPr>
                <w:rFonts w:ascii="宋体" w:hAnsi="宋体" w:cs="宋体" w:eastAsia="宋体" w:hint="default"/>
                <w:sz w:val="18"/>
                <w:szCs w:val="18"/>
              </w:rPr>
            </w:pPr>
            <w:r>
              <w:rPr>
                <w:rFonts w:ascii="宋体"/>
                <w:spacing w:val="-1"/>
                <w:sz w:val="18"/>
              </w:rPr>
              <w:t>1,495,152,101</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6"/>
              <w:jc w:val="right"/>
              <w:rPr>
                <w:rFonts w:ascii="宋体" w:hAnsi="宋体" w:cs="宋体" w:eastAsia="宋体" w:hint="default"/>
                <w:sz w:val="18"/>
                <w:szCs w:val="18"/>
              </w:rPr>
            </w:pPr>
            <w:r>
              <w:rPr>
                <w:rFonts w:ascii="宋体"/>
                <w:spacing w:val="-1"/>
                <w:sz w:val="18"/>
              </w:rPr>
              <w:t>2,002,172,500</w:t>
            </w:r>
          </w:p>
        </w:tc>
        <w:tc>
          <w:tcPr>
            <w:tcW w:w="44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4"/>
              <w:jc w:val="right"/>
              <w:rPr>
                <w:rFonts w:ascii="宋体" w:hAnsi="宋体" w:cs="宋体" w:eastAsia="宋体" w:hint="default"/>
                <w:sz w:val="18"/>
                <w:szCs w:val="18"/>
              </w:rPr>
            </w:pPr>
            <w:r>
              <w:rPr>
                <w:rFonts w:ascii="宋体"/>
                <w:sz w:val="18"/>
              </w:rPr>
              <w:t>94</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2"/>
              <w:jc w:val="right"/>
              <w:rPr>
                <w:rFonts w:ascii="宋体" w:hAnsi="宋体" w:cs="宋体" w:eastAsia="宋体" w:hint="default"/>
                <w:sz w:val="18"/>
                <w:szCs w:val="18"/>
              </w:rPr>
            </w:pPr>
            <w:r>
              <w:rPr>
                <w:rFonts w:ascii="宋体"/>
                <w:spacing w:val="-1"/>
                <w:sz w:val="18"/>
              </w:rPr>
              <w:t>393,310,188</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3"/>
              <w:jc w:val="right"/>
              <w:rPr>
                <w:rFonts w:ascii="宋体" w:hAnsi="宋体" w:cs="宋体" w:eastAsia="宋体" w:hint="default"/>
                <w:sz w:val="18"/>
                <w:szCs w:val="18"/>
              </w:rPr>
            </w:pPr>
            <w:r>
              <w:rPr>
                <w:rFonts w:ascii="宋体"/>
                <w:sz w:val="18"/>
              </w:rPr>
              <w:t>20</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4"/>
              <w:jc w:val="right"/>
              <w:rPr>
                <w:rFonts w:ascii="宋体" w:hAnsi="宋体" w:cs="宋体" w:eastAsia="宋体" w:hint="default"/>
                <w:sz w:val="18"/>
                <w:szCs w:val="18"/>
              </w:rPr>
            </w:pPr>
            <w:r>
              <w:rPr>
                <w:rFonts w:ascii="宋体"/>
                <w:spacing w:val="-1"/>
                <w:sz w:val="18"/>
              </w:rPr>
              <w:t>1,608,862,312</w:t>
            </w:r>
          </w:p>
        </w:tc>
      </w:tr>
      <w:tr>
        <w:trPr>
          <w:trHeight w:val="828" w:hRule="exact"/>
        </w:trPr>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单项金额不重大</w:t>
            </w:r>
          </w:p>
          <w:p>
            <w:pPr>
              <w:pStyle w:val="TableParagraph"/>
              <w:spacing w:line="272" w:lineRule="exact" w:before="27"/>
              <w:ind w:left="26" w:right="55"/>
              <w:jc w:val="left"/>
              <w:rPr>
                <w:rFonts w:ascii="宋体" w:hAnsi="宋体" w:cs="宋体" w:eastAsia="宋体" w:hint="default"/>
                <w:sz w:val="21"/>
                <w:szCs w:val="21"/>
              </w:rPr>
            </w:pPr>
            <w:r>
              <w:rPr>
                <w:rFonts w:ascii="宋体" w:hAnsi="宋体" w:cs="宋体" w:eastAsia="宋体" w:hint="default"/>
                <w:sz w:val="21"/>
                <w:szCs w:val="21"/>
              </w:rPr>
              <w:t>但单独计提坏账</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准备的应收账款</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82,591,093</w:t>
            </w:r>
          </w:p>
        </w:tc>
        <w:tc>
          <w:tcPr>
            <w:tcW w:w="4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8"/>
              <w:jc w:val="right"/>
              <w:rPr>
                <w:rFonts w:ascii="宋体" w:hAnsi="宋体" w:cs="宋体" w:eastAsia="宋体" w:hint="default"/>
                <w:sz w:val="18"/>
                <w:szCs w:val="18"/>
              </w:rPr>
            </w:pPr>
            <w:r>
              <w:rPr>
                <w:rFonts w:ascii="宋体"/>
                <w:sz w:val="18"/>
              </w:rPr>
              <w:t>4</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82,591,093</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100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9"/>
              <w:jc w:val="right"/>
              <w:rPr>
                <w:rFonts w:ascii="宋体" w:hAnsi="宋体" w:cs="宋体" w:eastAsia="宋体" w:hint="default"/>
                <w:sz w:val="18"/>
                <w:szCs w:val="18"/>
              </w:rPr>
            </w:pPr>
            <w:r>
              <w:rPr>
                <w:rFonts w:ascii="宋体"/>
                <w:sz w:val="18"/>
              </w:rPr>
              <w:t>-</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6"/>
              <w:jc w:val="right"/>
              <w:rPr>
                <w:rFonts w:ascii="宋体" w:hAnsi="宋体" w:cs="宋体" w:eastAsia="宋体" w:hint="default"/>
                <w:sz w:val="18"/>
                <w:szCs w:val="18"/>
              </w:rPr>
            </w:pPr>
            <w:r>
              <w:rPr>
                <w:rFonts w:ascii="宋体"/>
                <w:spacing w:val="-1"/>
                <w:sz w:val="18"/>
              </w:rPr>
              <w:t>57,962,567</w:t>
            </w:r>
          </w:p>
        </w:tc>
        <w:tc>
          <w:tcPr>
            <w:tcW w:w="4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9"/>
              <w:jc w:val="right"/>
              <w:rPr>
                <w:rFonts w:ascii="宋体" w:hAnsi="宋体" w:cs="宋体" w:eastAsia="宋体" w:hint="default"/>
                <w:sz w:val="18"/>
                <w:szCs w:val="18"/>
              </w:rPr>
            </w:pPr>
            <w:r>
              <w:rPr>
                <w:rFonts w:ascii="宋体"/>
                <w:sz w:val="18"/>
              </w:rPr>
              <w:t>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2"/>
              <w:jc w:val="right"/>
              <w:rPr>
                <w:rFonts w:ascii="宋体" w:hAnsi="宋体" w:cs="宋体" w:eastAsia="宋体" w:hint="default"/>
                <w:sz w:val="18"/>
                <w:szCs w:val="18"/>
              </w:rPr>
            </w:pPr>
            <w:r>
              <w:rPr>
                <w:rFonts w:ascii="宋体"/>
                <w:spacing w:val="-1"/>
                <w:sz w:val="18"/>
              </w:rPr>
              <w:t>57,962,567</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100</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7"/>
              <w:jc w:val="right"/>
              <w:rPr>
                <w:rFonts w:ascii="宋体" w:hAnsi="宋体" w:cs="宋体" w:eastAsia="宋体" w:hint="default"/>
                <w:sz w:val="18"/>
                <w:szCs w:val="18"/>
              </w:rPr>
            </w:pPr>
            <w:r>
              <w:rPr>
                <w:rFonts w:ascii="宋体"/>
                <w:sz w:val="18"/>
              </w:rPr>
              <w:t>-</w:t>
            </w:r>
          </w:p>
        </w:tc>
      </w:tr>
      <w:tr>
        <w:trPr>
          <w:trHeight w:val="281" w:hRule="exact"/>
        </w:trPr>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2,076,440,733</w:t>
            </w:r>
          </w:p>
        </w:tc>
        <w:tc>
          <w:tcPr>
            <w:tcW w:w="4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1" w:right="0"/>
              <w:jc w:val="left"/>
              <w:rPr>
                <w:rFonts w:ascii="宋体" w:hAnsi="宋体" w:cs="宋体" w:eastAsia="宋体" w:hint="default"/>
                <w:sz w:val="18"/>
                <w:szCs w:val="18"/>
              </w:rPr>
            </w:pPr>
            <w:r>
              <w:rPr>
                <w:rFonts w:ascii="宋体"/>
                <w:sz w:val="18"/>
              </w:rPr>
              <w:t>100</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581,288,632</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sz w:val="18"/>
              </w:rPr>
              <w:t>/</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7"/>
              <w:jc w:val="right"/>
              <w:rPr>
                <w:rFonts w:ascii="宋体" w:hAnsi="宋体" w:cs="宋体" w:eastAsia="宋体" w:hint="default"/>
                <w:sz w:val="18"/>
                <w:szCs w:val="18"/>
              </w:rPr>
            </w:pPr>
            <w:r>
              <w:rPr>
                <w:rFonts w:ascii="宋体"/>
                <w:spacing w:val="-1"/>
                <w:sz w:val="18"/>
              </w:rPr>
              <w:t>1,495,152,101</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6"/>
              <w:jc w:val="right"/>
              <w:rPr>
                <w:rFonts w:ascii="宋体" w:hAnsi="宋体" w:cs="宋体" w:eastAsia="宋体" w:hint="default"/>
                <w:sz w:val="18"/>
                <w:szCs w:val="18"/>
              </w:rPr>
            </w:pPr>
            <w:r>
              <w:rPr>
                <w:rFonts w:ascii="宋体"/>
                <w:spacing w:val="-1"/>
                <w:sz w:val="18"/>
              </w:rPr>
              <w:t>2,113,078,090</w:t>
            </w:r>
          </w:p>
        </w:tc>
        <w:tc>
          <w:tcPr>
            <w:tcW w:w="4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79" w:right="0"/>
              <w:jc w:val="left"/>
              <w:rPr>
                <w:rFonts w:ascii="宋体" w:hAnsi="宋体" w:cs="宋体" w:eastAsia="宋体" w:hint="default"/>
                <w:sz w:val="18"/>
                <w:szCs w:val="18"/>
              </w:rPr>
            </w:pPr>
            <w:r>
              <w:rPr>
                <w:rFonts w:ascii="宋体"/>
                <w:sz w:val="18"/>
              </w:rPr>
              <w:t>100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2"/>
              <w:jc w:val="right"/>
              <w:rPr>
                <w:rFonts w:ascii="宋体" w:hAnsi="宋体" w:cs="宋体" w:eastAsia="宋体" w:hint="default"/>
                <w:sz w:val="18"/>
                <w:szCs w:val="18"/>
              </w:rPr>
            </w:pPr>
            <w:r>
              <w:rPr>
                <w:rFonts w:ascii="宋体"/>
                <w:spacing w:val="-1"/>
                <w:sz w:val="18"/>
              </w:rPr>
              <w:t>504,215,778</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sz w:val="18"/>
              </w:rPr>
              <w:t>/</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 w:right="0"/>
              <w:jc w:val="left"/>
              <w:rPr>
                <w:rFonts w:ascii="宋体" w:hAnsi="宋体" w:cs="宋体" w:eastAsia="宋体" w:hint="default"/>
                <w:sz w:val="18"/>
                <w:szCs w:val="18"/>
              </w:rPr>
            </w:pPr>
            <w:r>
              <w:rPr>
                <w:rFonts w:ascii="宋体"/>
                <w:sz w:val="18"/>
              </w:rPr>
              <w:t>1,608,862,312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footerReference w:type="default" r:id="rId67"/>
          <w:pgSz w:w="11910" w:h="16840"/>
          <w:pgMar w:footer="1195" w:header="857" w:top="1320" w:bottom="1380" w:left="380" w:right="300"/>
          <w:pgNumType w:start="121"/>
        </w:sectPr>
      </w:pPr>
    </w:p>
    <w:p>
      <w:pPr>
        <w:pStyle w:val="BodyText"/>
        <w:spacing w:line="273" w:lineRule="exact" w:before="36"/>
        <w:ind w:left="1418" w:right="0"/>
        <w:jc w:val="left"/>
      </w:pPr>
      <w:r>
        <w:rPr>
          <w:spacing w:val="-2"/>
        </w:rPr>
        <w:t>期末单项金额重大并单项计提坏帐准备的应收账款</w:t>
      </w:r>
    </w:p>
    <w:p>
      <w:pPr>
        <w:pStyle w:val="BodyText"/>
        <w:spacing w:line="273" w:lineRule="exact"/>
        <w:ind w:left="1418" w:right="0"/>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6"/>
        <w:rPr>
          <w:rFonts w:ascii="宋体" w:hAnsi="宋体" w:cs="宋体" w:eastAsia="宋体" w:hint="default"/>
          <w:sz w:val="24"/>
          <w:szCs w:val="24"/>
        </w:rPr>
      </w:pPr>
    </w:p>
    <w:p>
      <w:pPr>
        <w:pStyle w:val="BodyText"/>
        <w:tabs>
          <w:tab w:pos="2469" w:val="left" w:leader="none"/>
        </w:tabs>
        <w:spacing w:line="240" w:lineRule="auto"/>
        <w:ind w:left="1418" w:right="0"/>
        <w:jc w:val="left"/>
      </w:pPr>
      <w:r>
        <w:rPr>
          <w:spacing w:val="-1"/>
        </w:rPr>
        <w:t>单位：元</w:t>
        <w:tab/>
      </w:r>
      <w:r>
        <w:rPr>
          <w:spacing w:val="-2"/>
        </w:rPr>
        <w:t>币种：人民币</w:t>
      </w:r>
    </w:p>
    <w:p>
      <w:pPr>
        <w:spacing w:after="0" w:line="240" w:lineRule="auto"/>
        <w:jc w:val="left"/>
        <w:sectPr>
          <w:type w:val="continuous"/>
          <w:pgSz w:w="11910" w:h="16840"/>
          <w:pgMar w:top="1320" w:bottom="1380" w:left="380" w:right="300"/>
          <w:cols w:num="2" w:equalWidth="0">
            <w:col w:w="6044" w:space="478"/>
            <w:col w:w="4708"/>
          </w:cols>
        </w:sectPr>
      </w:pPr>
    </w:p>
    <w:p>
      <w:pPr>
        <w:spacing w:line="240" w:lineRule="auto" w:before="4"/>
        <w:rPr>
          <w:rFonts w:ascii="宋体" w:hAnsi="宋体" w:cs="宋体" w:eastAsia="宋体" w:hint="default"/>
          <w:sz w:val="2"/>
          <w:szCs w:val="2"/>
        </w:rPr>
      </w:pPr>
    </w:p>
    <w:tbl>
      <w:tblPr>
        <w:tblW w:w="0" w:type="auto"/>
        <w:jc w:val="left"/>
        <w:tblInd w:w="1305" w:type="dxa"/>
        <w:tblLayout w:type="fixed"/>
        <w:tblCellMar>
          <w:top w:w="0" w:type="dxa"/>
          <w:left w:w="0" w:type="dxa"/>
          <w:bottom w:w="0" w:type="dxa"/>
          <w:right w:w="0" w:type="dxa"/>
        </w:tblCellMar>
        <w:tblLook w:val="01E0"/>
      </w:tblPr>
      <w:tblGrid>
        <w:gridCol w:w="1594"/>
        <w:gridCol w:w="1745"/>
        <w:gridCol w:w="1745"/>
        <w:gridCol w:w="1745"/>
        <w:gridCol w:w="2221"/>
      </w:tblGrid>
      <w:tr>
        <w:trPr>
          <w:trHeight w:val="283" w:hRule="exact"/>
        </w:trPr>
        <w:tc>
          <w:tcPr>
            <w:tcW w:w="1594" w:type="dxa"/>
            <w:vMerge w:val="restart"/>
            <w:tcBorders>
              <w:top w:val="single" w:sz="4" w:space="0" w:color="000000"/>
              <w:left w:val="single" w:sz="4" w:space="0" w:color="000000"/>
              <w:right w:val="single" w:sz="4" w:space="0" w:color="000000"/>
            </w:tcBorders>
          </w:tcPr>
          <w:p>
            <w:pPr>
              <w:pStyle w:val="TableParagraph"/>
              <w:spacing w:line="246" w:lineRule="exact"/>
              <w:ind w:left="2" w:right="0"/>
              <w:jc w:val="center"/>
              <w:rPr>
                <w:rFonts w:ascii="宋体" w:hAnsi="宋体" w:cs="宋体" w:eastAsia="宋体" w:hint="default"/>
                <w:sz w:val="21"/>
                <w:szCs w:val="21"/>
              </w:rPr>
            </w:pPr>
            <w:r>
              <w:rPr>
                <w:rFonts w:ascii="宋体" w:hAnsi="宋体" w:cs="宋体" w:eastAsia="宋体" w:hint="default"/>
                <w:sz w:val="21"/>
                <w:szCs w:val="21"/>
              </w:rPr>
              <w:t>应收账款</w:t>
            </w:r>
          </w:p>
          <w:p>
            <w:pPr>
              <w:pStyle w:val="TableParagraph"/>
              <w:spacing w:line="273" w:lineRule="exact"/>
              <w:ind w:left="2" w:right="0"/>
              <w:jc w:val="center"/>
              <w:rPr>
                <w:rFonts w:ascii="宋体" w:hAnsi="宋体" w:cs="宋体" w:eastAsia="宋体" w:hint="default"/>
                <w:sz w:val="21"/>
                <w:szCs w:val="21"/>
              </w:rPr>
            </w:pPr>
            <w:r>
              <w:rPr>
                <w:rFonts w:ascii="宋体" w:hAnsi="宋体" w:cs="宋体" w:eastAsia="宋体" w:hint="default"/>
                <w:sz w:val="21"/>
                <w:szCs w:val="21"/>
              </w:rPr>
              <w:t>（按单位）</w:t>
            </w:r>
          </w:p>
        </w:tc>
        <w:tc>
          <w:tcPr>
            <w:tcW w:w="7456"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283" w:hRule="exact"/>
        </w:trPr>
        <w:tc>
          <w:tcPr>
            <w:tcW w:w="1594" w:type="dxa"/>
            <w:vMerge/>
            <w:tcBorders>
              <w:left w:val="single" w:sz="4" w:space="0" w:color="000000"/>
              <w:bottom w:val="single" w:sz="4" w:space="0" w:color="000000"/>
              <w:right w:val="single" w:sz="4" w:space="0" w:color="000000"/>
            </w:tcBorders>
          </w:tcPr>
          <w:p>
            <w:pP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46"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46"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84" w:right="0"/>
              <w:jc w:val="left"/>
              <w:rPr>
                <w:rFonts w:ascii="宋体" w:hAnsi="宋体" w:cs="宋体" w:eastAsia="宋体" w:hint="default"/>
                <w:sz w:val="21"/>
                <w:szCs w:val="21"/>
              </w:rPr>
            </w:pPr>
            <w:r>
              <w:rPr>
                <w:rFonts w:ascii="宋体" w:hAnsi="宋体" w:cs="宋体" w:eastAsia="宋体" w:hint="default"/>
                <w:sz w:val="21"/>
                <w:szCs w:val="21"/>
              </w:rPr>
              <w:t>计提比例（</w:t>
            </w:r>
            <w:r>
              <w:rPr>
                <w:rFonts w:ascii="宋体" w:hAnsi="宋体" w:cs="宋体" w:eastAsia="宋体" w:hint="default"/>
                <w:sz w:val="21"/>
                <w:szCs w:val="21"/>
              </w:rPr>
              <w:t>%</w:t>
            </w:r>
            <w:r>
              <w:rPr>
                <w:rFonts w:ascii="宋体" w:hAnsi="宋体" w:cs="宋体" w:eastAsia="宋体" w:hint="default"/>
                <w:sz w:val="21"/>
                <w:szCs w:val="21"/>
              </w:rPr>
              <w:t>）</w:t>
            </w:r>
          </w:p>
        </w:tc>
        <w:tc>
          <w:tcPr>
            <w:tcW w:w="22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84" w:right="0"/>
              <w:jc w:val="left"/>
              <w:rPr>
                <w:rFonts w:ascii="宋体" w:hAnsi="宋体" w:cs="宋体" w:eastAsia="宋体" w:hint="default"/>
                <w:sz w:val="21"/>
                <w:szCs w:val="21"/>
              </w:rPr>
            </w:pPr>
            <w:r>
              <w:rPr>
                <w:rFonts w:ascii="宋体" w:hAnsi="宋体" w:cs="宋体" w:eastAsia="宋体" w:hint="default"/>
                <w:sz w:val="21"/>
                <w:szCs w:val="21"/>
              </w:rPr>
              <w:t>计提理由</w:t>
            </w:r>
          </w:p>
        </w:tc>
      </w:tr>
      <w:tr>
        <w:trPr>
          <w:trHeight w:val="281"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1</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10,608,779</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10,608,779</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100</w:t>
            </w:r>
          </w:p>
        </w:tc>
        <w:tc>
          <w:tcPr>
            <w:tcW w:w="22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逾期尚未收回货款</w:t>
            </w:r>
          </w:p>
        </w:tc>
      </w:tr>
      <w:tr>
        <w:trPr>
          <w:trHeight w:val="28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2</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4,814,192</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4,814,192</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100</w:t>
            </w:r>
          </w:p>
        </w:tc>
        <w:tc>
          <w:tcPr>
            <w:tcW w:w="22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逾期尚未收回货款</w:t>
            </w:r>
          </w:p>
        </w:tc>
      </w:tr>
      <w:tr>
        <w:trPr>
          <w:trHeight w:val="281"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3</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4,502,400</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4,502,400</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100</w:t>
            </w:r>
          </w:p>
        </w:tc>
        <w:tc>
          <w:tcPr>
            <w:tcW w:w="22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逾期尚未收回货款</w:t>
            </w:r>
          </w:p>
        </w:tc>
      </w:tr>
      <w:tr>
        <w:trPr>
          <w:trHeight w:val="28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61,235,340</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61,235,340</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100</w:t>
            </w:r>
          </w:p>
        </w:tc>
        <w:tc>
          <w:tcPr>
            <w:tcW w:w="222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逾期尚未收回货款</w:t>
            </w:r>
          </w:p>
        </w:tc>
      </w:tr>
      <w:tr>
        <w:trPr>
          <w:trHeight w:val="28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81,160,711</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81,160,711</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w:t>
            </w:r>
          </w:p>
        </w:tc>
        <w:tc>
          <w:tcPr>
            <w:tcW w:w="22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w w:val="100"/>
                <w:sz w:val="21"/>
              </w:rPr>
              <w:t>/</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type w:val="continuous"/>
          <w:pgSz w:w="11910" w:h="16840"/>
          <w:pgMar w:top="1320" w:bottom="1380" w:left="380" w:right="300"/>
        </w:sectPr>
      </w:pPr>
    </w:p>
    <w:p>
      <w:pPr>
        <w:pStyle w:val="BodyText"/>
        <w:spacing w:line="273" w:lineRule="exact" w:before="36"/>
        <w:ind w:left="1418" w:right="0"/>
        <w:jc w:val="left"/>
      </w:pPr>
      <w:r>
        <w:rPr>
          <w:spacing w:val="-2"/>
        </w:rPr>
        <w:t>组合中，按账龄分析法计提坏账准备的应收账款：</w:t>
      </w:r>
    </w:p>
    <w:p>
      <w:pPr>
        <w:pStyle w:val="BodyText"/>
        <w:spacing w:line="273" w:lineRule="exact"/>
        <w:ind w:left="1418" w:right="0"/>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6"/>
        <w:rPr>
          <w:rFonts w:ascii="宋体" w:hAnsi="宋体" w:cs="宋体" w:eastAsia="宋体" w:hint="default"/>
          <w:sz w:val="24"/>
          <w:szCs w:val="24"/>
        </w:rPr>
      </w:pPr>
    </w:p>
    <w:p>
      <w:pPr>
        <w:pStyle w:val="BodyText"/>
        <w:tabs>
          <w:tab w:pos="2469" w:val="left" w:leader="none"/>
        </w:tabs>
        <w:spacing w:line="240" w:lineRule="auto"/>
        <w:ind w:left="1418" w:right="0"/>
        <w:jc w:val="left"/>
      </w:pPr>
      <w:r>
        <w:rPr>
          <w:spacing w:val="-1"/>
        </w:rPr>
        <w:t>单位：元</w:t>
        <w:tab/>
      </w:r>
      <w:r>
        <w:rPr>
          <w:spacing w:val="-2"/>
        </w:rPr>
        <w:t>币种：人民币</w:t>
      </w:r>
    </w:p>
    <w:p>
      <w:pPr>
        <w:spacing w:after="0" w:line="240" w:lineRule="auto"/>
        <w:jc w:val="left"/>
        <w:sectPr>
          <w:type w:val="continuous"/>
          <w:pgSz w:w="11910" w:h="16840"/>
          <w:pgMar w:top="1320" w:bottom="1380" w:left="380" w:right="300"/>
          <w:cols w:num="2" w:equalWidth="0">
            <w:col w:w="6044" w:space="478"/>
            <w:col w:w="4708"/>
          </w:cols>
        </w:sectPr>
      </w:pPr>
    </w:p>
    <w:p>
      <w:pPr>
        <w:spacing w:line="240" w:lineRule="auto" w:before="4"/>
        <w:rPr>
          <w:rFonts w:ascii="宋体" w:hAnsi="宋体" w:cs="宋体" w:eastAsia="宋体" w:hint="default"/>
          <w:sz w:val="2"/>
          <w:szCs w:val="2"/>
        </w:rPr>
      </w:pPr>
    </w:p>
    <w:tbl>
      <w:tblPr>
        <w:tblW w:w="0" w:type="auto"/>
        <w:jc w:val="left"/>
        <w:tblInd w:w="1382" w:type="dxa"/>
        <w:tblLayout w:type="fixed"/>
        <w:tblCellMar>
          <w:top w:w="0" w:type="dxa"/>
          <w:left w:w="0" w:type="dxa"/>
          <w:bottom w:w="0" w:type="dxa"/>
          <w:right w:w="0" w:type="dxa"/>
        </w:tblCellMar>
        <w:tblLook w:val="01E0"/>
      </w:tblPr>
      <w:tblGrid>
        <w:gridCol w:w="2048"/>
        <w:gridCol w:w="2282"/>
        <w:gridCol w:w="2316"/>
        <w:gridCol w:w="2249"/>
      </w:tblGrid>
      <w:tr>
        <w:trPr>
          <w:trHeight w:val="283" w:hRule="exact"/>
        </w:trPr>
        <w:tc>
          <w:tcPr>
            <w:tcW w:w="2048" w:type="dxa"/>
            <w:vMerge w:val="restart"/>
            <w:tcBorders>
              <w:top w:val="single" w:sz="4" w:space="0" w:color="000000"/>
              <w:left w:val="single" w:sz="4" w:space="0" w:color="000000"/>
              <w:right w:val="single" w:sz="4" w:space="0" w:color="000000"/>
            </w:tcBorders>
          </w:tcPr>
          <w:p>
            <w:pPr>
              <w:pStyle w:val="TableParagraph"/>
              <w:spacing w:line="240" w:lineRule="auto" w:before="107"/>
              <w:ind w:left="1"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684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283" w:hRule="exact"/>
        </w:trPr>
        <w:tc>
          <w:tcPr>
            <w:tcW w:w="2048" w:type="dxa"/>
            <w:vMerge/>
            <w:tcBorders>
              <w:left w:val="single" w:sz="4" w:space="0" w:color="000000"/>
              <w:bottom w:val="single" w:sz="4" w:space="0" w:color="000000"/>
              <w:right w:val="single" w:sz="4" w:space="0" w:color="000000"/>
            </w:tcBorders>
          </w:tcPr>
          <w:p>
            <w:pP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15"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2"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36" w:right="0"/>
              <w:jc w:val="left"/>
              <w:rPr>
                <w:rFonts w:ascii="宋体" w:hAnsi="宋体" w:cs="宋体" w:eastAsia="宋体" w:hint="default"/>
                <w:sz w:val="21"/>
                <w:szCs w:val="21"/>
              </w:rPr>
            </w:pPr>
            <w:r>
              <w:rPr>
                <w:rFonts w:ascii="宋体" w:hAnsi="宋体" w:cs="宋体" w:eastAsia="宋体" w:hint="default"/>
                <w:sz w:val="21"/>
                <w:szCs w:val="21"/>
              </w:rPr>
              <w:t>计提比例（</w:t>
            </w:r>
            <w:r>
              <w:rPr>
                <w:rFonts w:ascii="宋体" w:hAnsi="宋体" w:cs="宋体" w:eastAsia="宋体" w:hint="default"/>
                <w:sz w:val="21"/>
                <w:szCs w:val="21"/>
              </w:rPr>
              <w:t>%</w:t>
            </w:r>
            <w:r>
              <w:rPr>
                <w:rFonts w:ascii="宋体" w:hAnsi="宋体" w:cs="宋体" w:eastAsia="宋体" w:hint="default"/>
                <w:sz w:val="21"/>
                <w:szCs w:val="21"/>
              </w:rPr>
              <w:t>）</w:t>
            </w:r>
          </w:p>
        </w:tc>
      </w:tr>
      <w:tr>
        <w:trPr>
          <w:trHeight w:val="281" w:hRule="exact"/>
        </w:trPr>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6848" w:type="dxa"/>
            <w:gridSpan w:val="3"/>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年以内分项</w:t>
            </w:r>
          </w:p>
        </w:tc>
        <w:tc>
          <w:tcPr>
            <w:tcW w:w="6848" w:type="dxa"/>
            <w:gridSpan w:val="3"/>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0-12</w:t>
            </w:r>
            <w:r>
              <w:rPr>
                <w:rFonts w:ascii="宋体" w:hAnsi="宋体" w:cs="宋体" w:eastAsia="宋体" w:hint="default"/>
                <w:spacing w:val="-52"/>
                <w:sz w:val="21"/>
                <w:szCs w:val="21"/>
              </w:rPr>
              <w:t> </w:t>
            </w:r>
            <w:r>
              <w:rPr>
                <w:rFonts w:ascii="宋体" w:hAnsi="宋体" w:cs="宋体" w:eastAsia="宋体" w:hint="default"/>
                <w:sz w:val="21"/>
                <w:szCs w:val="21"/>
              </w:rPr>
              <w:t>个月</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919,508,587</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w w:val="100"/>
                <w:sz w:val="21"/>
              </w:rPr>
              <w:t>-</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w w:val="100"/>
                <w:sz w:val="21"/>
              </w:rPr>
              <w:t>-</w:t>
            </w:r>
          </w:p>
        </w:tc>
      </w:tr>
      <w:tr>
        <w:trPr>
          <w:trHeight w:val="281" w:hRule="exact"/>
        </w:trPr>
        <w:tc>
          <w:tcPr>
            <w:tcW w:w="2048" w:type="dxa"/>
            <w:tcBorders>
              <w:top w:val="single" w:sz="4" w:space="0" w:color="000000"/>
              <w:left w:val="single" w:sz="4" w:space="0" w:color="000000"/>
              <w:bottom w:val="single" w:sz="4" w:space="0" w:color="000000"/>
              <w:right w:val="single" w:sz="4" w:space="0" w:color="000000"/>
            </w:tcBorders>
          </w:tcPr>
          <w:p>
            <w:pPr/>
          </w:p>
        </w:tc>
        <w:tc>
          <w:tcPr>
            <w:tcW w:w="2282" w:type="dxa"/>
            <w:tcBorders>
              <w:top w:val="single" w:sz="4" w:space="0" w:color="000000"/>
              <w:left w:val="single" w:sz="4" w:space="0" w:color="000000"/>
              <w:bottom w:val="single" w:sz="4" w:space="0" w:color="000000"/>
              <w:right w:val="single" w:sz="4" w:space="0" w:color="000000"/>
            </w:tcBorders>
          </w:tcPr>
          <w:p>
            <w:pPr/>
          </w:p>
        </w:tc>
        <w:tc>
          <w:tcPr>
            <w:tcW w:w="2316" w:type="dxa"/>
            <w:tcBorders>
              <w:top w:val="single" w:sz="4" w:space="0" w:color="000000"/>
              <w:left w:val="single" w:sz="4" w:space="0" w:color="000000"/>
              <w:bottom w:val="single" w:sz="4" w:space="0" w:color="000000"/>
              <w:right w:val="single" w:sz="4" w:space="0" w:color="000000"/>
            </w:tcBorders>
          </w:tcPr>
          <w:p>
            <w:pPr/>
          </w:p>
        </w:tc>
        <w:tc>
          <w:tcPr>
            <w:tcW w:w="2249"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年以内小计</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919,508,587</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w w:val="100"/>
                <w:sz w:val="21"/>
              </w:rPr>
              <w:t>-</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w w:val="100"/>
                <w:sz w:val="21"/>
              </w:rPr>
              <w:t>-</w:t>
            </w:r>
          </w:p>
        </w:tc>
      </w:tr>
      <w:tr>
        <w:trPr>
          <w:trHeight w:val="281" w:hRule="exact"/>
        </w:trPr>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352,646,857</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35,264,686</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sz w:val="21"/>
              </w:rPr>
              <w:t>10</w:t>
            </w:r>
          </w:p>
        </w:tc>
      </w:tr>
      <w:tr>
        <w:trPr>
          <w:trHeight w:val="283" w:hRule="exact"/>
        </w:trPr>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157,820,028</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31,564,005</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4"/>
              <w:jc w:val="right"/>
              <w:rPr>
                <w:rFonts w:ascii="宋体" w:hAnsi="宋体" w:cs="宋体" w:eastAsia="宋体" w:hint="default"/>
                <w:sz w:val="21"/>
                <w:szCs w:val="21"/>
              </w:rPr>
            </w:pPr>
            <w:r>
              <w:rPr>
                <w:rFonts w:ascii="宋体"/>
                <w:sz w:val="21"/>
              </w:rPr>
              <w:t>20</w:t>
            </w:r>
          </w:p>
        </w:tc>
      </w:tr>
      <w:tr>
        <w:trPr>
          <w:trHeight w:val="283" w:hRule="exact"/>
        </w:trPr>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282" w:type="dxa"/>
            <w:tcBorders>
              <w:top w:val="single" w:sz="4" w:space="0" w:color="000000"/>
              <w:left w:val="single" w:sz="4" w:space="0" w:color="000000"/>
              <w:bottom w:val="single" w:sz="4" w:space="0" w:color="000000"/>
              <w:right w:val="single" w:sz="4" w:space="0" w:color="000000"/>
            </w:tcBorders>
          </w:tcPr>
          <w:p>
            <w:pPr/>
          </w:p>
        </w:tc>
        <w:tc>
          <w:tcPr>
            <w:tcW w:w="2316" w:type="dxa"/>
            <w:tcBorders>
              <w:top w:val="single" w:sz="4" w:space="0" w:color="000000"/>
              <w:left w:val="single" w:sz="4" w:space="0" w:color="000000"/>
              <w:bottom w:val="single" w:sz="4" w:space="0" w:color="000000"/>
              <w:right w:val="single" w:sz="4" w:space="0" w:color="000000"/>
            </w:tcBorders>
          </w:tcPr>
          <w:p>
            <w:pPr/>
          </w:p>
        </w:tc>
        <w:tc>
          <w:tcPr>
            <w:tcW w:w="2249"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127,198,911</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50,879,564</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sz w:val="21"/>
              </w:rPr>
              <w:t>40</w:t>
            </w:r>
          </w:p>
        </w:tc>
      </w:tr>
      <w:tr>
        <w:trPr>
          <w:trHeight w:val="283" w:hRule="exact"/>
        </w:trPr>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111,371,947</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55,685,974</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4"/>
              <w:jc w:val="right"/>
              <w:rPr>
                <w:rFonts w:ascii="宋体" w:hAnsi="宋体" w:cs="宋体" w:eastAsia="宋体" w:hint="default"/>
                <w:sz w:val="21"/>
                <w:szCs w:val="21"/>
              </w:rPr>
            </w:pPr>
            <w:r>
              <w:rPr>
                <w:rFonts w:ascii="宋体"/>
                <w:sz w:val="21"/>
              </w:rPr>
              <w:t>50</w:t>
            </w:r>
          </w:p>
        </w:tc>
      </w:tr>
      <w:tr>
        <w:trPr>
          <w:trHeight w:val="283" w:hRule="exact"/>
        </w:trPr>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244,142,599</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244,142,599</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sz w:val="21"/>
              </w:rPr>
              <w:t>100</w:t>
            </w:r>
          </w:p>
        </w:tc>
      </w:tr>
      <w:tr>
        <w:trPr>
          <w:trHeight w:val="281" w:hRule="exact"/>
        </w:trPr>
        <w:tc>
          <w:tcPr>
            <w:tcW w:w="2048" w:type="dxa"/>
            <w:tcBorders>
              <w:top w:val="single" w:sz="4" w:space="0" w:color="000000"/>
              <w:left w:val="single" w:sz="4" w:space="0" w:color="000000"/>
              <w:bottom w:val="single" w:sz="4" w:space="0" w:color="000000"/>
              <w:right w:val="single" w:sz="4" w:space="0" w:color="000000"/>
            </w:tcBorders>
          </w:tcPr>
          <w:p>
            <w:pPr/>
          </w:p>
        </w:tc>
        <w:tc>
          <w:tcPr>
            <w:tcW w:w="2282" w:type="dxa"/>
            <w:tcBorders>
              <w:top w:val="single" w:sz="4" w:space="0" w:color="000000"/>
              <w:left w:val="single" w:sz="4" w:space="0" w:color="000000"/>
              <w:bottom w:val="single" w:sz="4" w:space="0" w:color="000000"/>
              <w:right w:val="single" w:sz="4" w:space="0" w:color="000000"/>
            </w:tcBorders>
          </w:tcPr>
          <w:p>
            <w:pPr/>
          </w:p>
        </w:tc>
        <w:tc>
          <w:tcPr>
            <w:tcW w:w="2316" w:type="dxa"/>
            <w:tcBorders>
              <w:top w:val="single" w:sz="4" w:space="0" w:color="000000"/>
              <w:left w:val="single" w:sz="4" w:space="0" w:color="000000"/>
              <w:bottom w:val="single" w:sz="4" w:space="0" w:color="000000"/>
              <w:right w:val="single" w:sz="4" w:space="0" w:color="000000"/>
            </w:tcBorders>
          </w:tcPr>
          <w:p>
            <w:pPr/>
          </w:p>
        </w:tc>
        <w:tc>
          <w:tcPr>
            <w:tcW w:w="2249"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048" w:type="dxa"/>
            <w:tcBorders>
              <w:top w:val="single" w:sz="4" w:space="0" w:color="000000"/>
              <w:left w:val="single" w:sz="4" w:space="0" w:color="000000"/>
              <w:bottom w:val="single" w:sz="4" w:space="0" w:color="000000"/>
              <w:right w:val="single" w:sz="4" w:space="0" w:color="000000"/>
            </w:tcBorders>
          </w:tcPr>
          <w:p>
            <w:pPr/>
          </w:p>
        </w:tc>
        <w:tc>
          <w:tcPr>
            <w:tcW w:w="2282" w:type="dxa"/>
            <w:tcBorders>
              <w:top w:val="single" w:sz="4" w:space="0" w:color="000000"/>
              <w:left w:val="single" w:sz="4" w:space="0" w:color="000000"/>
              <w:bottom w:val="single" w:sz="4" w:space="0" w:color="000000"/>
              <w:right w:val="single" w:sz="4" w:space="0" w:color="000000"/>
            </w:tcBorders>
          </w:tcPr>
          <w:p>
            <w:pPr/>
          </w:p>
        </w:tc>
        <w:tc>
          <w:tcPr>
            <w:tcW w:w="2316" w:type="dxa"/>
            <w:tcBorders>
              <w:top w:val="single" w:sz="4" w:space="0" w:color="000000"/>
              <w:left w:val="single" w:sz="4" w:space="0" w:color="000000"/>
              <w:bottom w:val="single" w:sz="4" w:space="0" w:color="000000"/>
              <w:right w:val="single" w:sz="4" w:space="0" w:color="000000"/>
            </w:tcBorders>
          </w:tcPr>
          <w:p>
            <w:pPr/>
          </w:p>
        </w:tc>
        <w:tc>
          <w:tcPr>
            <w:tcW w:w="2249"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spacing w:val="-1"/>
                <w:sz w:val="21"/>
              </w:rPr>
              <w:t>1,912,688,929</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spacing w:val="-1"/>
                <w:sz w:val="21"/>
              </w:rPr>
              <w:t>417,536,828</w:t>
            </w:r>
          </w:p>
        </w:tc>
        <w:tc>
          <w:tcPr>
            <w:tcW w:w="224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5"/>
        <w:rPr>
          <w:rFonts w:ascii="宋体" w:hAnsi="宋体" w:cs="宋体" w:eastAsia="宋体" w:hint="default"/>
          <w:sz w:val="15"/>
          <w:szCs w:val="15"/>
        </w:rPr>
      </w:pPr>
    </w:p>
    <w:p>
      <w:pPr>
        <w:pStyle w:val="BodyText"/>
        <w:spacing w:line="274" w:lineRule="exact" w:before="36"/>
        <w:ind w:left="1418" w:right="0"/>
        <w:jc w:val="left"/>
      </w:pPr>
      <w:r>
        <w:rPr/>
        <w:t>组合中，采用余额百分比法计提坏账准备的应收账款：</w:t>
      </w:r>
    </w:p>
    <w:p>
      <w:pPr>
        <w:pStyle w:val="BodyText"/>
        <w:spacing w:line="274" w:lineRule="exact"/>
        <w:ind w:left="1418" w:right="0"/>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1"/>
          <w:szCs w:val="21"/>
        </w:rPr>
      </w:pPr>
    </w:p>
    <w:p>
      <w:pPr>
        <w:pStyle w:val="BodyText"/>
        <w:spacing w:line="274" w:lineRule="exact"/>
        <w:ind w:left="1418" w:right="0"/>
        <w:jc w:val="left"/>
      </w:pPr>
      <w:r>
        <w:rPr/>
        <w:t>组合中，采用其他方法计提坏账准备的应收账款：</w:t>
      </w:r>
    </w:p>
    <w:p>
      <w:pPr>
        <w:pStyle w:val="BodyText"/>
        <w:tabs>
          <w:tab w:pos="2260" w:val="left" w:leader="none"/>
        </w:tabs>
        <w:spacing w:line="274" w:lineRule="exact"/>
        <w:ind w:left="1418" w:right="0"/>
        <w:jc w:val="left"/>
      </w:pPr>
      <w:r>
        <w:rPr>
          <w:spacing w:val="-1"/>
        </w:rPr>
        <w:t>□适用</w:t>
        <w:tab/>
      </w:r>
      <w:r>
        <w:rPr>
          <w:spacing w:val="-2"/>
        </w:rPr>
        <w:t>√不适用</w:t>
      </w:r>
    </w:p>
    <w:p>
      <w:pPr>
        <w:spacing w:after="0" w:line="274" w:lineRule="exact"/>
        <w:jc w:val="left"/>
        <w:sectPr>
          <w:type w:val="continuous"/>
          <w:pgSz w:w="11910" w:h="16840"/>
          <w:pgMar w:top="1320" w:bottom="1380" w:left="380" w:right="300"/>
        </w:sectPr>
      </w:pPr>
    </w:p>
    <w:p>
      <w:pPr>
        <w:spacing w:line="240" w:lineRule="auto" w:before="2"/>
        <w:rPr>
          <w:rFonts w:ascii="宋体" w:hAnsi="宋体" w:cs="宋体" w:eastAsia="宋体" w:hint="default"/>
          <w:sz w:val="9"/>
          <w:szCs w:val="9"/>
        </w:rPr>
      </w:pPr>
    </w:p>
    <w:p>
      <w:pPr>
        <w:pStyle w:val="Heading3"/>
        <w:spacing w:line="240" w:lineRule="auto" w:before="36"/>
        <w:ind w:right="99"/>
        <w:jc w:val="left"/>
        <w:rPr>
          <w:b w:val="0"/>
          <w:bCs w:val="0"/>
        </w:rPr>
      </w:pPr>
      <w:r>
        <w:rPr>
          <w:rFonts w:ascii="宋体" w:hAnsi="宋体" w:cs="宋体" w:eastAsia="宋体" w:hint="default"/>
        </w:rPr>
        <w:t>(2).</w:t>
      </w:r>
      <w:r>
        <w:rPr>
          <w:rFonts w:ascii="宋体" w:hAnsi="宋体" w:cs="宋体" w:eastAsia="宋体" w:hint="default"/>
          <w:spacing w:val="44"/>
        </w:rPr>
        <w:t> </w:t>
      </w:r>
      <w:r>
        <w:rPr/>
        <w:t>本期计提、收回或转回的坏账准备情况：</w:t>
      </w:r>
      <w:r>
        <w:rPr>
          <w:b w:val="0"/>
          <w:bCs w:val="0"/>
        </w:rPr>
      </w:r>
    </w:p>
    <w:p>
      <w:pPr>
        <w:pStyle w:val="BodyText"/>
        <w:spacing w:line="240" w:lineRule="auto" w:before="58"/>
        <w:ind w:right="99"/>
        <w:jc w:val="left"/>
      </w:pPr>
      <w:r>
        <w:rPr/>
        <w:t>本期计提坏账准备金额</w:t>
      </w:r>
      <w:r>
        <w:rPr>
          <w:spacing w:val="-54"/>
        </w:rPr>
        <w:t> </w:t>
      </w:r>
      <w:r>
        <w:rPr>
          <w:rFonts w:ascii="宋体" w:hAnsi="宋体" w:cs="宋体" w:eastAsia="宋体" w:hint="default"/>
        </w:rPr>
        <w:t>218,073,443</w:t>
      </w:r>
      <w:r>
        <w:rPr>
          <w:rFonts w:ascii="宋体" w:hAnsi="宋体" w:cs="宋体" w:eastAsia="宋体" w:hint="default"/>
          <w:spacing w:val="-57"/>
        </w:rPr>
        <w:t> </w:t>
      </w:r>
      <w:r>
        <w:rPr/>
        <w:t>元；本期收回或转回坏账准备金额</w:t>
      </w:r>
      <w:r>
        <w:rPr>
          <w:spacing w:val="-55"/>
        </w:rPr>
        <w:t> </w:t>
      </w:r>
      <w:r>
        <w:rPr>
          <w:rFonts w:ascii="宋体" w:hAnsi="宋体" w:cs="宋体" w:eastAsia="宋体" w:hint="default"/>
        </w:rPr>
        <w:t>10,088,480</w:t>
      </w:r>
      <w:r>
        <w:rPr>
          <w:rFonts w:ascii="宋体" w:hAnsi="宋体" w:cs="宋体" w:eastAsia="宋体" w:hint="default"/>
          <w:spacing w:val="-54"/>
        </w:rPr>
        <w:t> </w:t>
      </w:r>
      <w:r>
        <w:rPr>
          <w:spacing w:val="-3"/>
        </w:rPr>
        <w:t>元。</w:t>
      </w:r>
      <w:r>
        <w:rPr/>
      </w:r>
    </w:p>
    <w:p>
      <w:pPr>
        <w:spacing w:line="240" w:lineRule="auto" w:before="8"/>
        <w:rPr>
          <w:rFonts w:ascii="宋体" w:hAnsi="宋体" w:cs="宋体" w:eastAsia="宋体" w:hint="default"/>
          <w:sz w:val="20"/>
          <w:szCs w:val="20"/>
        </w:rPr>
      </w:pPr>
    </w:p>
    <w:p>
      <w:pPr>
        <w:pStyle w:val="BodyText"/>
        <w:spacing w:line="273" w:lineRule="exact"/>
        <w:ind w:right="99"/>
        <w:jc w:val="left"/>
      </w:pPr>
      <w:r>
        <w:rPr/>
        <w:t>其中本期坏账准备收回或转回金额重要的：</w:t>
      </w:r>
    </w:p>
    <w:p>
      <w:pPr>
        <w:pStyle w:val="BodyText"/>
        <w:spacing w:line="273" w:lineRule="exact"/>
        <w:ind w:right="99"/>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57" w:footer="1195" w:top="1320" w:bottom="1380" w:left="1580" w:right="1040"/>
        </w:sectPr>
      </w:pPr>
    </w:p>
    <w:p>
      <w:pPr>
        <w:pStyle w:val="Heading3"/>
        <w:spacing w:line="240" w:lineRule="auto" w:before="36"/>
        <w:ind w:right="-19"/>
        <w:jc w:val="left"/>
        <w:rPr>
          <w:b w:val="0"/>
          <w:bCs w:val="0"/>
        </w:rPr>
      </w:pPr>
      <w:r>
        <w:rPr>
          <w:rFonts w:ascii="宋体" w:hAnsi="宋体" w:cs="宋体" w:eastAsia="宋体" w:hint="default"/>
        </w:rPr>
        <w:t>(3).</w:t>
      </w:r>
      <w:r>
        <w:rPr>
          <w:rFonts w:ascii="宋体" w:hAnsi="宋体" w:cs="宋体" w:eastAsia="宋体" w:hint="default"/>
          <w:spacing w:val="44"/>
        </w:rPr>
        <w:t> </w:t>
      </w:r>
      <w:r>
        <w:rPr/>
        <w:t>本期实际核销的应收账款情况</w:t>
      </w:r>
      <w:r>
        <w:rPr>
          <w:b w:val="0"/>
          <w:bCs w:val="0"/>
        </w:rPr>
      </w:r>
    </w:p>
    <w:p>
      <w:pPr>
        <w:pStyle w:val="BodyText"/>
        <w:spacing w:line="240" w:lineRule="auto" w:before="56"/>
        <w:ind w:right="-19"/>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tabs>
          <w:tab w:pos="1269" w:val="left" w:leader="none"/>
        </w:tabs>
        <w:spacing w:line="240" w:lineRule="auto"/>
        <w:ind w:right="0"/>
        <w:jc w:val="left"/>
      </w:pPr>
      <w:r>
        <w:rPr>
          <w:spacing w:val="-1"/>
        </w:rPr>
        <w:t>单位：元</w:t>
        <w:tab/>
      </w:r>
      <w:r>
        <w:rPr>
          <w:spacing w:val="-2"/>
        </w:rPr>
        <w:t>币种：人民币</w:t>
      </w:r>
    </w:p>
    <w:p>
      <w:pPr>
        <w:spacing w:after="0" w:line="240" w:lineRule="auto"/>
        <w:jc w:val="left"/>
        <w:sectPr>
          <w:type w:val="continuous"/>
          <w:pgSz w:w="11910" w:h="16840"/>
          <w:pgMar w:top="1320" w:bottom="1380" w:left="1580" w:right="1040"/>
          <w:cols w:num="2" w:equalWidth="0">
            <w:col w:w="3534" w:space="2988"/>
            <w:col w:w="2768"/>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4273"/>
        <w:gridCol w:w="4777"/>
      </w:tblGrid>
      <w:tr>
        <w:trPr>
          <w:trHeight w:val="283" w:hRule="exact"/>
        </w:trPr>
        <w:tc>
          <w:tcPr>
            <w:tcW w:w="42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核销金额</w:t>
            </w:r>
          </w:p>
        </w:tc>
      </w:tr>
      <w:tr>
        <w:trPr>
          <w:trHeight w:val="284" w:hRule="exact"/>
        </w:trPr>
        <w:tc>
          <w:tcPr>
            <w:tcW w:w="42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实际核销的应收账款</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130,912,109</w:t>
            </w:r>
          </w:p>
        </w:tc>
      </w:tr>
    </w:tbl>
    <w:p>
      <w:pPr>
        <w:spacing w:line="240" w:lineRule="auto" w:before="5"/>
        <w:rPr>
          <w:rFonts w:ascii="宋体" w:hAnsi="宋体" w:cs="宋体" w:eastAsia="宋体" w:hint="default"/>
          <w:sz w:val="15"/>
          <w:szCs w:val="15"/>
        </w:rPr>
      </w:pPr>
    </w:p>
    <w:p>
      <w:pPr>
        <w:pStyle w:val="BodyText"/>
        <w:spacing w:line="274" w:lineRule="exact" w:before="36"/>
        <w:ind w:right="99"/>
        <w:jc w:val="left"/>
      </w:pPr>
      <w:r>
        <w:rPr/>
        <w:t>其中重要的应收账款核销情况</w:t>
      </w:r>
    </w:p>
    <w:p>
      <w:pPr>
        <w:pStyle w:val="BodyText"/>
        <w:spacing w:line="272" w:lineRule="exact" w:before="27"/>
        <w:ind w:right="6820"/>
        <w:jc w:val="left"/>
      </w:pPr>
      <w:r>
        <w:rPr/>
        <w:t>□适用</w:t>
      </w:r>
      <w:r>
        <w:rPr>
          <w:spacing w:val="-2"/>
        </w:rPr>
        <w:t> </w:t>
      </w:r>
      <w:r>
        <w:rPr/>
        <w:t>√不适用</w:t>
      </w:r>
      <w:r>
        <w:rPr>
          <w:w w:val="100"/>
        </w:rPr>
        <w:t> </w:t>
      </w:r>
      <w:r>
        <w:rPr>
          <w:spacing w:val="-2"/>
        </w:rPr>
        <w:t>应收账款核销说明：</w:t>
      </w:r>
    </w:p>
    <w:p>
      <w:pPr>
        <w:pStyle w:val="BodyText"/>
        <w:spacing w:line="272" w:lineRule="exact" w:before="1"/>
        <w:ind w:right="5042"/>
        <w:jc w:val="left"/>
      </w:pPr>
      <w:r>
        <w:rPr/>
        <w:t>√适用</w:t>
      </w:r>
      <w:r>
        <w:rPr>
          <w:spacing w:val="-2"/>
        </w:rPr>
        <w:t> </w:t>
      </w:r>
      <w:r>
        <w:rPr/>
        <w:t>□不适用</w:t>
      </w:r>
      <w:r>
        <w:rPr>
          <w:w w:val="100"/>
        </w:rPr>
        <w:t> </w:t>
      </w:r>
      <w:r>
        <w:rPr>
          <w:spacing w:val="-2"/>
        </w:rPr>
        <w:t>本年核销坏账准备情况如下：</w:t>
      </w:r>
    </w:p>
    <w:p>
      <w:pPr>
        <w:spacing w:line="240" w:lineRule="auto" w:before="10"/>
        <w:rPr>
          <w:rFonts w:ascii="宋体" w:hAnsi="宋体" w:cs="宋体" w:eastAsia="宋体" w:hint="default"/>
          <w:sz w:val="18"/>
          <w:szCs w:val="18"/>
        </w:rPr>
      </w:pPr>
    </w:p>
    <w:p>
      <w:pPr>
        <w:pStyle w:val="BodyText"/>
        <w:spacing w:line="273" w:lineRule="exact"/>
        <w:ind w:right="99"/>
        <w:jc w:val="left"/>
      </w:pPr>
      <w:r>
        <w:rPr>
          <w:rFonts w:ascii="宋体" w:hAnsi="宋体" w:cs="宋体" w:eastAsia="宋体" w:hint="default"/>
        </w:rPr>
        <w:t>2017</w:t>
      </w:r>
      <w:r>
        <w:rPr>
          <w:rFonts w:ascii="宋体" w:hAnsi="宋体" w:cs="宋体" w:eastAsia="宋体" w:hint="default"/>
          <w:spacing w:val="-56"/>
        </w:rPr>
        <w:t> </w:t>
      </w:r>
      <w:r>
        <w:rPr/>
        <w:t>年实际核销的应收账款为人民币</w:t>
      </w:r>
      <w:r>
        <w:rPr>
          <w:spacing w:val="-54"/>
        </w:rPr>
        <w:t> </w:t>
      </w:r>
      <w:r>
        <w:rPr>
          <w:rFonts w:ascii="宋体" w:hAnsi="宋体" w:cs="宋体" w:eastAsia="宋体" w:hint="default"/>
        </w:rPr>
        <w:t>130,912,109</w:t>
      </w:r>
      <w:r>
        <w:rPr>
          <w:rFonts w:ascii="宋体" w:hAnsi="宋体" w:cs="宋体" w:eastAsia="宋体" w:hint="default"/>
          <w:spacing w:val="-56"/>
        </w:rPr>
        <w:t> </w:t>
      </w:r>
      <w:r>
        <w:rPr/>
        <w:t>元</w:t>
      </w:r>
      <w:r>
        <w:rPr>
          <w:rFonts w:ascii="宋体" w:hAnsi="宋体" w:cs="宋体" w:eastAsia="宋体" w:hint="default"/>
        </w:rPr>
        <w:t>(2016</w:t>
      </w:r>
      <w:r>
        <w:rPr>
          <w:rFonts w:ascii="宋体" w:hAnsi="宋体" w:cs="宋体" w:eastAsia="宋体" w:hint="default"/>
          <w:spacing w:val="-54"/>
        </w:rPr>
        <w:t> </w:t>
      </w:r>
      <w:r>
        <w:rPr/>
        <w:t>年：人民币</w:t>
      </w:r>
      <w:r>
        <w:rPr>
          <w:spacing w:val="-56"/>
        </w:rPr>
        <w:t> </w:t>
      </w:r>
      <w:r>
        <w:rPr>
          <w:rFonts w:ascii="宋体" w:hAnsi="宋体" w:cs="宋体" w:eastAsia="宋体" w:hint="default"/>
        </w:rPr>
        <w:t>60,920</w:t>
      </w:r>
      <w:r>
        <w:rPr>
          <w:rFonts w:ascii="宋体" w:hAnsi="宋体" w:cs="宋体" w:eastAsia="宋体" w:hint="default"/>
          <w:spacing w:val="-53"/>
        </w:rPr>
        <w:t> </w:t>
      </w:r>
      <w:r>
        <w:rPr/>
        <w:t>元</w:t>
      </w:r>
      <w:r>
        <w:rPr>
          <w:rFonts w:ascii="宋体" w:hAnsi="宋体" w:cs="宋体" w:eastAsia="宋体" w:hint="default"/>
        </w:rPr>
        <w:t>)</w:t>
      </w:r>
      <w:r>
        <w:rPr/>
        <w:t>。主要由于本</w:t>
      </w:r>
    </w:p>
    <w:p>
      <w:pPr>
        <w:pStyle w:val="BodyText"/>
        <w:spacing w:line="272" w:lineRule="exact"/>
        <w:ind w:right="99"/>
        <w:jc w:val="left"/>
      </w:pPr>
      <w:r>
        <w:rPr>
          <w:w w:val="100"/>
        </w:rPr>
        <w:t>年用</w:t>
      </w:r>
      <w:r>
        <w:rPr>
          <w:spacing w:val="-3"/>
          <w:w w:val="100"/>
        </w:rPr>
        <w:t>友</w:t>
      </w:r>
      <w:r>
        <w:rPr>
          <w:w w:val="100"/>
        </w:rPr>
        <w:t>政</w:t>
      </w:r>
      <w:r>
        <w:rPr>
          <w:spacing w:val="-3"/>
          <w:w w:val="100"/>
        </w:rPr>
        <w:t>务</w:t>
      </w:r>
      <w:r>
        <w:rPr>
          <w:w w:val="100"/>
        </w:rPr>
        <w:t>转</w:t>
      </w:r>
      <w:r>
        <w:rPr>
          <w:spacing w:val="-3"/>
          <w:w w:val="100"/>
        </w:rPr>
        <w:t>销</w:t>
      </w:r>
      <w:r>
        <w:rPr>
          <w:w w:val="100"/>
        </w:rPr>
        <w:t>无</w:t>
      </w:r>
      <w:r>
        <w:rPr>
          <w:spacing w:val="-3"/>
          <w:w w:val="100"/>
        </w:rPr>
        <w:t>法</w:t>
      </w:r>
      <w:r>
        <w:rPr>
          <w:w w:val="100"/>
        </w:rPr>
        <w:t>收</w:t>
      </w:r>
      <w:r>
        <w:rPr>
          <w:spacing w:val="-3"/>
          <w:w w:val="100"/>
        </w:rPr>
        <w:t>回</w:t>
      </w:r>
      <w:r>
        <w:rPr>
          <w:w w:val="100"/>
        </w:rPr>
        <w:t>的应</w:t>
      </w:r>
      <w:r>
        <w:rPr>
          <w:spacing w:val="-3"/>
          <w:w w:val="100"/>
        </w:rPr>
        <w:t>收</w:t>
      </w:r>
      <w:r>
        <w:rPr>
          <w:w w:val="100"/>
        </w:rPr>
        <w:t>账</w:t>
      </w:r>
      <w:r>
        <w:rPr>
          <w:spacing w:val="-3"/>
          <w:w w:val="100"/>
        </w:rPr>
        <w:t>款</w:t>
      </w:r>
      <w:r>
        <w:rPr>
          <w:w w:val="100"/>
        </w:rPr>
        <w:t>坏</w:t>
      </w:r>
      <w:r>
        <w:rPr>
          <w:spacing w:val="-3"/>
          <w:w w:val="100"/>
        </w:rPr>
        <w:t>账</w:t>
      </w:r>
      <w:r>
        <w:rPr>
          <w:w w:val="100"/>
        </w:rPr>
        <w:t>准</w:t>
      </w:r>
      <w:r>
        <w:rPr>
          <w:spacing w:val="-3"/>
          <w:w w:val="100"/>
        </w:rPr>
        <w:t>备</w:t>
      </w:r>
      <w:r>
        <w:rPr>
          <w:w w:val="100"/>
        </w:rPr>
        <w:t>人</w:t>
      </w:r>
      <w:r>
        <w:rPr>
          <w:spacing w:val="-3"/>
          <w:w w:val="100"/>
        </w:rPr>
        <w:t>民</w:t>
      </w:r>
      <w:r>
        <w:rPr>
          <w:w w:val="100"/>
        </w:rPr>
        <w:t>币</w:t>
      </w:r>
      <w:r>
        <w:rPr>
          <w:spacing w:val="-53"/>
        </w:rPr>
        <w:t> </w:t>
      </w:r>
      <w:r>
        <w:rPr>
          <w:rFonts w:ascii="宋体" w:hAnsi="宋体" w:cs="宋体" w:eastAsia="宋体" w:hint="default"/>
          <w:w w:val="100"/>
        </w:rPr>
        <w:t>94</w:t>
      </w:r>
      <w:r>
        <w:rPr>
          <w:rFonts w:ascii="宋体" w:hAnsi="宋体" w:cs="宋体" w:eastAsia="宋体" w:hint="default"/>
          <w:spacing w:val="-3"/>
          <w:w w:val="100"/>
        </w:rPr>
        <w:t>,</w:t>
      </w:r>
      <w:r>
        <w:rPr>
          <w:rFonts w:ascii="宋体" w:hAnsi="宋体" w:cs="宋体" w:eastAsia="宋体" w:hint="default"/>
          <w:w w:val="100"/>
        </w:rPr>
        <w:t>319</w:t>
      </w:r>
      <w:r>
        <w:rPr>
          <w:rFonts w:ascii="宋体" w:hAnsi="宋体" w:cs="宋体" w:eastAsia="宋体" w:hint="default"/>
          <w:spacing w:val="-3"/>
          <w:w w:val="100"/>
        </w:rPr>
        <w:t>,</w:t>
      </w:r>
      <w:r>
        <w:rPr>
          <w:rFonts w:ascii="宋体" w:hAnsi="宋体" w:cs="宋体" w:eastAsia="宋体" w:hint="default"/>
          <w:w w:val="100"/>
        </w:rPr>
        <w:t>689</w:t>
      </w:r>
      <w:r>
        <w:rPr>
          <w:rFonts w:ascii="宋体" w:hAnsi="宋体" w:cs="宋体" w:eastAsia="宋体" w:hint="default"/>
          <w:spacing w:val="-55"/>
        </w:rPr>
        <w:t> </w:t>
      </w:r>
      <w:r>
        <w:rPr>
          <w:spacing w:val="-3"/>
          <w:w w:val="100"/>
        </w:rPr>
        <w:t>元</w:t>
      </w:r>
      <w:r>
        <w:rPr>
          <w:spacing w:val="-92"/>
          <w:w w:val="100"/>
        </w:rPr>
        <w:t>，</w:t>
      </w:r>
      <w:r>
        <w:rPr>
          <w:spacing w:val="-3"/>
          <w:w w:val="100"/>
        </w:rPr>
        <w:t>本</w:t>
      </w:r>
      <w:r>
        <w:rPr>
          <w:w w:val="100"/>
        </w:rPr>
        <w:t>公</w:t>
      </w:r>
      <w:r>
        <w:rPr>
          <w:spacing w:val="-3"/>
          <w:w w:val="100"/>
        </w:rPr>
        <w:t>司</w:t>
      </w:r>
      <w:r>
        <w:rPr>
          <w:w w:val="100"/>
        </w:rPr>
        <w:t>转销</w:t>
      </w:r>
      <w:r>
        <w:rPr>
          <w:spacing w:val="-3"/>
          <w:w w:val="100"/>
        </w:rPr>
        <w:t>无</w:t>
      </w:r>
      <w:r>
        <w:rPr>
          <w:w w:val="100"/>
        </w:rPr>
        <w:t>法</w:t>
      </w:r>
      <w:r>
        <w:rPr>
          <w:spacing w:val="-3"/>
          <w:w w:val="100"/>
        </w:rPr>
        <w:t>收</w:t>
      </w:r>
      <w:r>
        <w:rPr>
          <w:w w:val="100"/>
        </w:rPr>
        <w:t>回</w:t>
      </w:r>
      <w:r>
        <w:rPr>
          <w:spacing w:val="-3"/>
          <w:w w:val="100"/>
        </w:rPr>
        <w:t>的应</w:t>
      </w:r>
      <w:r>
        <w:rPr>
          <w:w w:val="100"/>
        </w:rPr>
        <w:t>收</w:t>
      </w:r>
    </w:p>
    <w:p>
      <w:pPr>
        <w:pStyle w:val="BodyText"/>
        <w:spacing w:line="274" w:lineRule="exact"/>
        <w:ind w:right="99"/>
        <w:jc w:val="left"/>
      </w:pPr>
      <w:r>
        <w:rPr/>
        <w:t>账款转销坏账准备人民币</w:t>
      </w:r>
      <w:r>
        <w:rPr>
          <w:spacing w:val="-55"/>
        </w:rPr>
        <w:t> </w:t>
      </w:r>
      <w:r>
        <w:rPr>
          <w:rFonts w:ascii="宋体" w:hAnsi="宋体" w:cs="宋体" w:eastAsia="宋体" w:hint="default"/>
        </w:rPr>
        <w:t>36,592,420</w:t>
      </w:r>
      <w:r>
        <w:rPr>
          <w:rFonts w:ascii="宋体" w:hAnsi="宋体" w:cs="宋体" w:eastAsia="宋体" w:hint="default"/>
          <w:spacing w:val="-53"/>
        </w:rPr>
        <w:t> </w:t>
      </w:r>
      <w:r>
        <w:rPr>
          <w:spacing w:val="-3"/>
        </w:rPr>
        <w:t>元。</w:t>
      </w:r>
      <w:r>
        <w:rPr/>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5"/>
          <w:szCs w:val="25"/>
        </w:rPr>
      </w:pPr>
    </w:p>
    <w:p>
      <w:pPr>
        <w:pStyle w:val="Heading3"/>
        <w:spacing w:line="240" w:lineRule="auto"/>
        <w:ind w:right="99"/>
        <w:jc w:val="left"/>
        <w:rPr>
          <w:b w:val="0"/>
          <w:bCs w:val="0"/>
        </w:rPr>
      </w:pPr>
      <w:r>
        <w:rPr>
          <w:rFonts w:ascii="宋体" w:hAnsi="宋体" w:cs="宋体" w:eastAsia="宋体" w:hint="default"/>
        </w:rPr>
        <w:t>(4).</w:t>
      </w:r>
      <w:r>
        <w:rPr>
          <w:rFonts w:ascii="宋体" w:hAnsi="宋体" w:cs="宋体" w:eastAsia="宋体" w:hint="default"/>
          <w:spacing w:val="43"/>
        </w:rPr>
        <w:t> </w:t>
      </w:r>
      <w:r>
        <w:rPr/>
        <w:t>按欠款方归集的期末余额前五名的应收账款情况：</w:t>
      </w:r>
      <w:r>
        <w:rPr>
          <w:b w:val="0"/>
          <w:bCs w:val="0"/>
        </w:rPr>
      </w:r>
    </w:p>
    <w:p>
      <w:pPr>
        <w:pStyle w:val="BodyText"/>
        <w:tabs>
          <w:tab w:pos="1060" w:val="left" w:leader="none"/>
        </w:tabs>
        <w:spacing w:line="240" w:lineRule="auto" w:before="58"/>
        <w:ind w:right="99"/>
        <w:jc w:val="left"/>
      </w:pPr>
      <w:r>
        <w:rPr>
          <w:spacing w:val="-1"/>
        </w:rPr>
        <w:t>√适用</w:t>
        <w:tab/>
      </w:r>
      <w:r>
        <w:rPr>
          <w:spacing w:val="-2"/>
        </w:rPr>
        <w:t>□不适用</w:t>
      </w:r>
    </w:p>
    <w:p>
      <w:pPr>
        <w:spacing w:line="240" w:lineRule="auto" w:before="3"/>
        <w:rPr>
          <w:rFonts w:ascii="宋体" w:hAnsi="宋体" w:cs="宋体" w:eastAsia="宋体" w:hint="default"/>
          <w:sz w:val="23"/>
          <w:szCs w:val="23"/>
        </w:rPr>
      </w:pPr>
    </w:p>
    <w:tbl>
      <w:tblPr>
        <w:tblW w:w="0" w:type="auto"/>
        <w:jc w:val="left"/>
        <w:tblInd w:w="105" w:type="dxa"/>
        <w:tblLayout w:type="fixed"/>
        <w:tblCellMar>
          <w:top w:w="0" w:type="dxa"/>
          <w:left w:w="0" w:type="dxa"/>
          <w:bottom w:w="0" w:type="dxa"/>
          <w:right w:w="0" w:type="dxa"/>
        </w:tblCellMar>
        <w:tblLook w:val="01E0"/>
      </w:tblPr>
      <w:tblGrid>
        <w:gridCol w:w="1838"/>
        <w:gridCol w:w="2329"/>
        <w:gridCol w:w="2328"/>
        <w:gridCol w:w="2329"/>
      </w:tblGrid>
      <w:tr>
        <w:trPr>
          <w:trHeight w:val="554" w:hRule="exact"/>
        </w:trPr>
        <w:tc>
          <w:tcPr>
            <w:tcW w:w="1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单位</w:t>
            </w:r>
          </w:p>
        </w:tc>
        <w:tc>
          <w:tcPr>
            <w:tcW w:w="23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319" w:right="0"/>
              <w:jc w:val="left"/>
              <w:rPr>
                <w:rFonts w:ascii="宋体" w:hAnsi="宋体" w:cs="宋体" w:eastAsia="宋体" w:hint="default"/>
                <w:sz w:val="21"/>
                <w:szCs w:val="21"/>
              </w:rPr>
            </w:pPr>
            <w:r>
              <w:rPr>
                <w:rFonts w:ascii="宋体" w:hAnsi="宋体" w:cs="宋体" w:eastAsia="宋体" w:hint="default"/>
                <w:sz w:val="21"/>
                <w:szCs w:val="21"/>
              </w:rPr>
              <w:t>应收账款年末余额</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应收账款年末余额占应</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收账款总额的比例</w:t>
            </w:r>
            <w:r>
              <w:rPr>
                <w:rFonts w:ascii="宋体" w:hAnsi="宋体" w:cs="宋体" w:eastAsia="宋体" w:hint="default"/>
                <w:sz w:val="21"/>
                <w:szCs w:val="21"/>
              </w:rPr>
              <w:t>(%)</w:t>
            </w:r>
          </w:p>
        </w:tc>
        <w:tc>
          <w:tcPr>
            <w:tcW w:w="23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319" w:right="0"/>
              <w:jc w:val="left"/>
              <w:rPr>
                <w:rFonts w:ascii="宋体" w:hAnsi="宋体" w:cs="宋体" w:eastAsia="宋体" w:hint="default"/>
                <w:sz w:val="21"/>
                <w:szCs w:val="21"/>
              </w:rPr>
            </w:pPr>
            <w:r>
              <w:rPr>
                <w:rFonts w:ascii="宋体" w:hAnsi="宋体" w:cs="宋体" w:eastAsia="宋体" w:hint="default"/>
                <w:sz w:val="21"/>
                <w:szCs w:val="21"/>
              </w:rPr>
              <w:t>坏账准备年末余额</w:t>
            </w:r>
          </w:p>
        </w:tc>
      </w:tr>
      <w:tr>
        <w:trPr>
          <w:trHeight w:val="283" w:hRule="exact"/>
        </w:trPr>
        <w:tc>
          <w:tcPr>
            <w:tcW w:w="18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1</w:t>
            </w:r>
          </w:p>
        </w:tc>
        <w:tc>
          <w:tcPr>
            <w:tcW w:w="23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10,608,779</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1</w:t>
            </w:r>
          </w:p>
        </w:tc>
        <w:tc>
          <w:tcPr>
            <w:tcW w:w="23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10,608,779</w:t>
            </w:r>
          </w:p>
        </w:tc>
      </w:tr>
      <w:tr>
        <w:trPr>
          <w:trHeight w:val="281" w:hRule="exact"/>
        </w:trPr>
        <w:tc>
          <w:tcPr>
            <w:tcW w:w="18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2</w:t>
            </w:r>
          </w:p>
        </w:tc>
        <w:tc>
          <w:tcPr>
            <w:tcW w:w="23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8,739,669</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&lt;1</w:t>
            </w:r>
          </w:p>
        </w:tc>
        <w:tc>
          <w:tcPr>
            <w:tcW w:w="23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145,912</w:t>
            </w:r>
          </w:p>
        </w:tc>
      </w:tr>
      <w:tr>
        <w:trPr>
          <w:trHeight w:val="283" w:hRule="exact"/>
        </w:trPr>
        <w:tc>
          <w:tcPr>
            <w:tcW w:w="18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3</w:t>
            </w:r>
          </w:p>
        </w:tc>
        <w:tc>
          <w:tcPr>
            <w:tcW w:w="23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8,666,085</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&lt;1</w:t>
            </w:r>
          </w:p>
        </w:tc>
        <w:tc>
          <w:tcPr>
            <w:tcW w:w="23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3,998,400</w:t>
            </w:r>
          </w:p>
        </w:tc>
      </w:tr>
      <w:tr>
        <w:trPr>
          <w:trHeight w:val="281" w:hRule="exact"/>
        </w:trPr>
        <w:tc>
          <w:tcPr>
            <w:tcW w:w="18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4</w:t>
            </w:r>
          </w:p>
        </w:tc>
        <w:tc>
          <w:tcPr>
            <w:tcW w:w="23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7,517,913</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&lt;1</w:t>
            </w:r>
          </w:p>
        </w:tc>
        <w:tc>
          <w:tcPr>
            <w:tcW w:w="23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w:t>
            </w:r>
          </w:p>
        </w:tc>
      </w:tr>
      <w:tr>
        <w:trPr>
          <w:trHeight w:val="283" w:hRule="exact"/>
        </w:trPr>
        <w:tc>
          <w:tcPr>
            <w:tcW w:w="183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5</w:t>
            </w:r>
          </w:p>
        </w:tc>
        <w:tc>
          <w:tcPr>
            <w:tcW w:w="232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6,056,562</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z w:val="21"/>
              </w:rPr>
              <w:t>&lt;1</w:t>
            </w:r>
          </w:p>
        </w:tc>
        <w:tc>
          <w:tcPr>
            <w:tcW w:w="232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1,169,449</w:t>
            </w:r>
          </w:p>
        </w:tc>
      </w:tr>
      <w:tr>
        <w:trPr>
          <w:trHeight w:val="284" w:hRule="exact"/>
        </w:trPr>
        <w:tc>
          <w:tcPr>
            <w:tcW w:w="18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3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41,589,008</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2</w:t>
            </w:r>
          </w:p>
        </w:tc>
        <w:tc>
          <w:tcPr>
            <w:tcW w:w="23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15,922,540</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pStyle w:val="Heading3"/>
        <w:spacing w:line="240" w:lineRule="auto" w:before="36"/>
        <w:ind w:right="99"/>
        <w:jc w:val="left"/>
        <w:rPr>
          <w:b w:val="0"/>
          <w:bCs w:val="0"/>
        </w:rPr>
      </w:pPr>
      <w:r>
        <w:rPr>
          <w:rFonts w:ascii="宋体" w:hAnsi="宋体" w:cs="宋体" w:eastAsia="宋体" w:hint="default"/>
        </w:rPr>
        <w:t>(5).</w:t>
      </w:r>
      <w:r>
        <w:rPr>
          <w:rFonts w:ascii="宋体" w:hAnsi="宋体" w:cs="宋体" w:eastAsia="宋体" w:hint="default"/>
          <w:spacing w:val="44"/>
        </w:rPr>
        <w:t> </w:t>
      </w:r>
      <w:r>
        <w:rPr/>
        <w:t>因金融资产转移而终止确认的应收账款：</w:t>
      </w:r>
      <w:r>
        <w:rPr>
          <w:b w:val="0"/>
          <w:bCs w:val="0"/>
        </w:rPr>
      </w:r>
    </w:p>
    <w:p>
      <w:pPr>
        <w:pStyle w:val="BodyText"/>
        <w:tabs>
          <w:tab w:pos="1060" w:val="left" w:leader="none"/>
        </w:tabs>
        <w:spacing w:line="240" w:lineRule="auto" w:before="56"/>
        <w:ind w:right="99"/>
        <w:jc w:val="left"/>
      </w:pPr>
      <w:r>
        <w:rPr>
          <w:spacing w:val="-1"/>
        </w:rPr>
        <w:t>□适用</w:t>
        <w:tab/>
      </w:r>
      <w:r>
        <w:rPr>
          <w:spacing w:val="-2"/>
        </w:rPr>
        <w:t>√不适用</w:t>
      </w:r>
    </w:p>
    <w:p>
      <w:pPr>
        <w:spacing w:line="240" w:lineRule="auto" w:before="11"/>
        <w:rPr>
          <w:rFonts w:ascii="宋体" w:hAnsi="宋体" w:cs="宋体" w:eastAsia="宋体" w:hint="default"/>
          <w:sz w:val="22"/>
          <w:szCs w:val="22"/>
        </w:rPr>
      </w:pPr>
    </w:p>
    <w:p>
      <w:pPr>
        <w:pStyle w:val="Heading3"/>
        <w:spacing w:line="240" w:lineRule="auto"/>
        <w:ind w:right="99"/>
        <w:jc w:val="left"/>
        <w:rPr>
          <w:b w:val="0"/>
          <w:bCs w:val="0"/>
        </w:rPr>
      </w:pPr>
      <w:r>
        <w:rPr>
          <w:rFonts w:ascii="宋体" w:hAnsi="宋体" w:cs="宋体" w:eastAsia="宋体" w:hint="default"/>
        </w:rPr>
        <w:t>(6).</w:t>
      </w:r>
      <w:r>
        <w:rPr>
          <w:rFonts w:ascii="宋体" w:hAnsi="宋体" w:cs="宋体" w:eastAsia="宋体" w:hint="default"/>
          <w:spacing w:val="43"/>
        </w:rPr>
        <w:t> </w:t>
      </w:r>
      <w:r>
        <w:rPr/>
        <w:t>转移应收账款且继续涉入形成的资产、负债金额：</w:t>
      </w:r>
      <w:r>
        <w:rPr>
          <w:b w:val="0"/>
          <w:bCs w:val="0"/>
        </w:rPr>
      </w:r>
    </w:p>
    <w:p>
      <w:pPr>
        <w:pStyle w:val="BodyText"/>
        <w:tabs>
          <w:tab w:pos="1060" w:val="left" w:leader="none"/>
        </w:tabs>
        <w:spacing w:line="240" w:lineRule="auto" w:before="58"/>
        <w:ind w:right="99"/>
        <w:jc w:val="left"/>
      </w:pPr>
      <w:r>
        <w:rPr>
          <w:spacing w:val="-1"/>
        </w:rPr>
        <w:t>□适用</w:t>
        <w:tab/>
      </w:r>
      <w:r>
        <w:rPr>
          <w:spacing w:val="-2"/>
        </w:rPr>
        <w:t>√不适用</w:t>
      </w:r>
    </w:p>
    <w:p>
      <w:pPr>
        <w:spacing w:line="240" w:lineRule="auto" w:before="3"/>
        <w:rPr>
          <w:rFonts w:ascii="宋体" w:hAnsi="宋体" w:cs="宋体" w:eastAsia="宋体" w:hint="default"/>
          <w:sz w:val="18"/>
          <w:szCs w:val="18"/>
        </w:rPr>
      </w:pPr>
    </w:p>
    <w:p>
      <w:pPr>
        <w:pStyle w:val="BodyText"/>
        <w:spacing w:line="273" w:lineRule="exact"/>
        <w:ind w:right="99"/>
        <w:jc w:val="left"/>
      </w:pPr>
      <w:r>
        <w:rPr/>
        <w:t>其他说明：</w:t>
      </w:r>
    </w:p>
    <w:p>
      <w:pPr>
        <w:pStyle w:val="BodyText"/>
        <w:tabs>
          <w:tab w:pos="1060" w:val="left" w:leader="none"/>
        </w:tabs>
        <w:spacing w:line="273" w:lineRule="exact"/>
        <w:ind w:right="99"/>
        <w:jc w:val="left"/>
      </w:pPr>
      <w:r>
        <w:rPr>
          <w:spacing w:val="-1"/>
        </w:rPr>
        <w:t>□适用</w:t>
        <w:tab/>
      </w:r>
      <w:r>
        <w:rPr>
          <w:spacing w:val="-2"/>
        </w:rPr>
        <w:t>√不适用</w:t>
      </w:r>
    </w:p>
    <w:p>
      <w:pPr>
        <w:spacing w:after="0" w:line="273" w:lineRule="exact"/>
        <w:jc w:val="left"/>
        <w:sectPr>
          <w:type w:val="continuous"/>
          <w:pgSz w:w="11910" w:h="16840"/>
          <w:pgMar w:top="1320" w:bottom="1380" w:left="1580" w:right="1040"/>
        </w:sectPr>
      </w:pPr>
    </w:p>
    <w:p>
      <w:pPr>
        <w:spacing w:line="240" w:lineRule="auto" w:before="2"/>
        <w:rPr>
          <w:rFonts w:ascii="宋体" w:hAnsi="宋体" w:cs="宋体" w:eastAsia="宋体" w:hint="default"/>
          <w:sz w:val="9"/>
          <w:szCs w:val="9"/>
        </w:rPr>
      </w:pPr>
    </w:p>
    <w:p>
      <w:pPr>
        <w:spacing w:after="0" w:line="240" w:lineRule="auto"/>
        <w:rPr>
          <w:rFonts w:ascii="宋体" w:hAnsi="宋体" w:cs="宋体" w:eastAsia="宋体" w:hint="default"/>
          <w:sz w:val="9"/>
          <w:szCs w:val="9"/>
        </w:rPr>
        <w:sectPr>
          <w:pgSz w:w="11910" w:h="16840"/>
          <w:pgMar w:header="857" w:footer="1195" w:top="1320" w:bottom="1380" w:left="1580" w:right="1120"/>
        </w:sectPr>
      </w:pPr>
    </w:p>
    <w:p>
      <w:pPr>
        <w:pStyle w:val="Heading3"/>
        <w:spacing w:line="240" w:lineRule="auto" w:before="36"/>
        <w:ind w:right="-19"/>
        <w:jc w:val="left"/>
        <w:rPr>
          <w:b w:val="0"/>
          <w:bCs w:val="0"/>
        </w:rPr>
      </w:pPr>
      <w:r>
        <w:rPr>
          <w:rFonts w:ascii="宋体" w:hAnsi="宋体" w:cs="宋体" w:eastAsia="宋体" w:hint="default"/>
        </w:rPr>
        <w:t>6</w:t>
      </w:r>
      <w:r>
        <w:rPr/>
        <w:t>、</w:t>
      </w:r>
      <w:r>
        <w:rPr>
          <w:spacing w:val="-2"/>
        </w:rPr>
        <w:t> </w:t>
      </w:r>
      <w:r>
        <w:rPr/>
        <w:t>预付款项</w:t>
      </w:r>
      <w:r>
        <w:rPr>
          <w:b w:val="0"/>
          <w:bCs w:val="0"/>
        </w:rPr>
      </w:r>
    </w:p>
    <w:p>
      <w:pPr>
        <w:pStyle w:val="Heading3"/>
        <w:spacing w:line="240" w:lineRule="auto" w:before="58"/>
        <w:ind w:right="-19"/>
        <w:jc w:val="left"/>
        <w:rPr>
          <w:b w:val="0"/>
          <w:bCs w:val="0"/>
        </w:rPr>
      </w:pPr>
      <w:r>
        <w:rPr>
          <w:rFonts w:ascii="宋体" w:hAnsi="宋体" w:cs="宋体" w:eastAsia="宋体" w:hint="default"/>
        </w:rPr>
        <w:t>(1).</w:t>
      </w:r>
      <w:r>
        <w:rPr>
          <w:rFonts w:ascii="宋体" w:hAnsi="宋体" w:cs="宋体" w:eastAsia="宋体" w:hint="default"/>
          <w:spacing w:val="90"/>
        </w:rPr>
        <w:t> </w:t>
      </w:r>
      <w:r>
        <w:rPr/>
        <w:t>预付款项按账龄列示</w:t>
      </w:r>
      <w:r>
        <w:rPr>
          <w:b w:val="0"/>
          <w:bCs w:val="0"/>
        </w:rPr>
      </w:r>
    </w:p>
    <w:p>
      <w:pPr>
        <w:pStyle w:val="BodyText"/>
        <w:tabs>
          <w:tab w:pos="1060" w:val="left" w:leader="none"/>
        </w:tabs>
        <w:spacing w:line="240" w:lineRule="auto" w:before="56"/>
        <w:ind w:right="-19"/>
        <w:jc w:val="left"/>
      </w:pPr>
      <w:r>
        <w:rPr>
          <w:spacing w:val="-1"/>
        </w:rPr>
        <w:t>√适用</w:t>
        <w:tab/>
      </w:r>
      <w:r>
        <w:rPr>
          <w:spacing w:val="-2"/>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BodyText"/>
        <w:tabs>
          <w:tab w:pos="1269" w:val="left" w:leader="none"/>
        </w:tabs>
        <w:spacing w:line="240" w:lineRule="auto"/>
        <w:ind w:right="0"/>
        <w:jc w:val="left"/>
      </w:pPr>
      <w:r>
        <w:rPr>
          <w:spacing w:val="-1"/>
        </w:rPr>
        <w:t>单位：元</w:t>
        <w:tab/>
      </w:r>
      <w:r>
        <w:rPr>
          <w:spacing w:val="-2"/>
        </w:rPr>
        <w:t>币种：人民币</w:t>
      </w:r>
    </w:p>
    <w:p>
      <w:pPr>
        <w:spacing w:after="0" w:line="240" w:lineRule="auto"/>
        <w:jc w:val="left"/>
        <w:sectPr>
          <w:type w:val="continuous"/>
          <w:pgSz w:w="11910" w:h="16840"/>
          <w:pgMar w:top="1320" w:bottom="1380" w:left="1580" w:right="1120"/>
          <w:cols w:num="2" w:equalWidth="0">
            <w:col w:w="2736" w:space="3786"/>
            <w:col w:w="2688"/>
          </w:cols>
        </w:sectPr>
      </w:pPr>
    </w:p>
    <w:p>
      <w:pPr>
        <w:spacing w:line="240" w:lineRule="auto" w:before="4"/>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1361"/>
        <w:gridCol w:w="1892"/>
        <w:gridCol w:w="1877"/>
        <w:gridCol w:w="1874"/>
        <w:gridCol w:w="1892"/>
      </w:tblGrid>
      <w:tr>
        <w:trPr>
          <w:trHeight w:val="283" w:hRule="exact"/>
        </w:trPr>
        <w:tc>
          <w:tcPr>
            <w:tcW w:w="1361" w:type="dxa"/>
            <w:vMerge w:val="restart"/>
            <w:tcBorders>
              <w:top w:val="single" w:sz="4" w:space="0" w:color="000000"/>
              <w:left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37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76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83" w:hRule="exact"/>
        </w:trPr>
        <w:tc>
          <w:tcPr>
            <w:tcW w:w="1361" w:type="dxa"/>
            <w:vMerge/>
            <w:tcBorders>
              <w:left w:val="single" w:sz="4" w:space="0" w:color="000000"/>
              <w:bottom w:val="single" w:sz="4" w:space="0" w:color="000000"/>
              <w:right w:val="single" w:sz="4" w:space="0" w:color="000000"/>
            </w:tcBorders>
          </w:tcPr>
          <w:p>
            <w:pP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sz w:val="21"/>
                <w:szCs w:val="21"/>
              </w:rPr>
              <w:t>金额</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63"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71"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p>
        </w:tc>
      </w:tr>
      <w:tr>
        <w:trPr>
          <w:trHeight w:val="281" w:hRule="exact"/>
        </w:trPr>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right"/>
              <w:rPr>
                <w:rFonts w:ascii="宋体" w:hAnsi="宋体" w:cs="宋体" w:eastAsia="宋体" w:hint="default"/>
                <w:sz w:val="21"/>
                <w:szCs w:val="21"/>
              </w:rPr>
            </w:pPr>
            <w:r>
              <w:rPr>
                <w:rFonts w:ascii="宋体"/>
                <w:spacing w:val="-1"/>
                <w:sz w:val="21"/>
              </w:rPr>
              <w:t>50,746,723</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right"/>
              <w:rPr>
                <w:rFonts w:ascii="宋体" w:hAnsi="宋体" w:cs="宋体" w:eastAsia="宋体" w:hint="default"/>
                <w:sz w:val="21"/>
                <w:szCs w:val="21"/>
              </w:rPr>
            </w:pPr>
            <w:r>
              <w:rPr>
                <w:rFonts w:ascii="宋体"/>
                <w:sz w:val="21"/>
              </w:rPr>
              <w:t>88</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right"/>
              <w:rPr>
                <w:rFonts w:ascii="宋体" w:hAnsi="宋体" w:cs="宋体" w:eastAsia="宋体" w:hint="default"/>
                <w:sz w:val="21"/>
                <w:szCs w:val="21"/>
              </w:rPr>
            </w:pPr>
            <w:r>
              <w:rPr>
                <w:rFonts w:ascii="宋体"/>
                <w:spacing w:val="-1"/>
                <w:sz w:val="21"/>
              </w:rPr>
              <w:t>36,512,372</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right"/>
              <w:rPr>
                <w:rFonts w:ascii="宋体" w:hAnsi="宋体" w:cs="宋体" w:eastAsia="宋体" w:hint="default"/>
                <w:sz w:val="21"/>
                <w:szCs w:val="21"/>
              </w:rPr>
            </w:pPr>
            <w:r>
              <w:rPr>
                <w:rFonts w:ascii="宋体"/>
                <w:sz w:val="21"/>
              </w:rPr>
              <w:t>72</w:t>
            </w:r>
          </w:p>
        </w:tc>
      </w:tr>
      <w:tr>
        <w:trPr>
          <w:trHeight w:val="283" w:hRule="exact"/>
        </w:trPr>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right"/>
              <w:rPr>
                <w:rFonts w:ascii="宋体" w:hAnsi="宋体" w:cs="宋体" w:eastAsia="宋体" w:hint="default"/>
                <w:sz w:val="21"/>
                <w:szCs w:val="21"/>
              </w:rPr>
            </w:pPr>
            <w:r>
              <w:rPr>
                <w:rFonts w:ascii="宋体"/>
                <w:spacing w:val="-1"/>
                <w:sz w:val="21"/>
              </w:rPr>
              <w:t>725,225</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right"/>
              <w:rPr>
                <w:rFonts w:ascii="宋体" w:hAnsi="宋体" w:cs="宋体" w:eastAsia="宋体" w:hint="default"/>
                <w:sz w:val="21"/>
                <w:szCs w:val="21"/>
              </w:rPr>
            </w:pPr>
            <w:r>
              <w:rPr>
                <w:rFonts w:ascii="宋体"/>
                <w:w w:val="100"/>
                <w:sz w:val="21"/>
              </w:rPr>
              <w:t>1</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right"/>
              <w:rPr>
                <w:rFonts w:ascii="宋体" w:hAnsi="宋体" w:cs="宋体" w:eastAsia="宋体" w:hint="default"/>
                <w:sz w:val="21"/>
                <w:szCs w:val="21"/>
              </w:rPr>
            </w:pPr>
            <w:r>
              <w:rPr>
                <w:rFonts w:ascii="宋体"/>
                <w:spacing w:val="-1"/>
                <w:sz w:val="21"/>
              </w:rPr>
              <w:t>3,798,048</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right"/>
              <w:rPr>
                <w:rFonts w:ascii="宋体" w:hAnsi="宋体" w:cs="宋体" w:eastAsia="宋体" w:hint="default"/>
                <w:sz w:val="21"/>
                <w:szCs w:val="21"/>
              </w:rPr>
            </w:pPr>
            <w:r>
              <w:rPr>
                <w:rFonts w:ascii="宋体"/>
                <w:w w:val="100"/>
                <w:sz w:val="21"/>
              </w:rPr>
              <w:t>8</w:t>
            </w:r>
          </w:p>
        </w:tc>
      </w:tr>
      <w:tr>
        <w:trPr>
          <w:trHeight w:val="283" w:hRule="exact"/>
        </w:trPr>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right"/>
              <w:rPr>
                <w:rFonts w:ascii="宋体" w:hAnsi="宋体" w:cs="宋体" w:eastAsia="宋体" w:hint="default"/>
                <w:sz w:val="21"/>
                <w:szCs w:val="21"/>
              </w:rPr>
            </w:pPr>
            <w:r>
              <w:rPr>
                <w:rFonts w:ascii="宋体"/>
                <w:spacing w:val="-1"/>
                <w:sz w:val="21"/>
              </w:rPr>
              <w:t>2,150,300</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right"/>
              <w:rPr>
                <w:rFonts w:ascii="宋体" w:hAnsi="宋体" w:cs="宋体" w:eastAsia="宋体" w:hint="default"/>
                <w:sz w:val="21"/>
                <w:szCs w:val="21"/>
              </w:rPr>
            </w:pPr>
            <w:r>
              <w:rPr>
                <w:rFonts w:ascii="宋体"/>
                <w:w w:val="100"/>
                <w:sz w:val="21"/>
              </w:rPr>
              <w:t>4</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right"/>
              <w:rPr>
                <w:rFonts w:ascii="宋体" w:hAnsi="宋体" w:cs="宋体" w:eastAsia="宋体" w:hint="default"/>
                <w:sz w:val="21"/>
                <w:szCs w:val="21"/>
              </w:rPr>
            </w:pPr>
            <w:r>
              <w:rPr>
                <w:rFonts w:ascii="宋体"/>
                <w:spacing w:val="-1"/>
                <w:sz w:val="21"/>
              </w:rPr>
              <w:t>4,576,628</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right"/>
              <w:rPr>
                <w:rFonts w:ascii="宋体" w:hAnsi="宋体" w:cs="宋体" w:eastAsia="宋体" w:hint="default"/>
                <w:sz w:val="21"/>
                <w:szCs w:val="21"/>
              </w:rPr>
            </w:pPr>
            <w:r>
              <w:rPr>
                <w:rFonts w:ascii="宋体"/>
                <w:w w:val="100"/>
                <w:sz w:val="21"/>
              </w:rPr>
              <w:t>9</w:t>
            </w:r>
          </w:p>
        </w:tc>
      </w:tr>
      <w:tr>
        <w:trPr>
          <w:trHeight w:val="281" w:hRule="exact"/>
        </w:trPr>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right"/>
              <w:rPr>
                <w:rFonts w:ascii="宋体" w:hAnsi="宋体" w:cs="宋体" w:eastAsia="宋体" w:hint="default"/>
                <w:sz w:val="21"/>
                <w:szCs w:val="21"/>
              </w:rPr>
            </w:pPr>
            <w:r>
              <w:rPr>
                <w:rFonts w:ascii="宋体"/>
                <w:spacing w:val="-1"/>
                <w:sz w:val="21"/>
              </w:rPr>
              <w:t>4,050,451</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right"/>
              <w:rPr>
                <w:rFonts w:ascii="宋体" w:hAnsi="宋体" w:cs="宋体" w:eastAsia="宋体" w:hint="default"/>
                <w:sz w:val="21"/>
                <w:szCs w:val="21"/>
              </w:rPr>
            </w:pPr>
            <w:r>
              <w:rPr>
                <w:rFonts w:ascii="宋体"/>
                <w:w w:val="100"/>
                <w:sz w:val="21"/>
              </w:rPr>
              <w:t>7</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right"/>
              <w:rPr>
                <w:rFonts w:ascii="宋体" w:hAnsi="宋体" w:cs="宋体" w:eastAsia="宋体" w:hint="default"/>
                <w:sz w:val="21"/>
                <w:szCs w:val="21"/>
              </w:rPr>
            </w:pPr>
            <w:r>
              <w:rPr>
                <w:rFonts w:ascii="宋体"/>
                <w:spacing w:val="-1"/>
                <w:sz w:val="21"/>
              </w:rPr>
              <w:t>5,507,429</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right"/>
              <w:rPr>
                <w:rFonts w:ascii="宋体" w:hAnsi="宋体" w:cs="宋体" w:eastAsia="宋体" w:hint="default"/>
                <w:sz w:val="21"/>
                <w:szCs w:val="21"/>
              </w:rPr>
            </w:pPr>
            <w:r>
              <w:rPr>
                <w:rFonts w:ascii="宋体"/>
                <w:sz w:val="21"/>
              </w:rPr>
              <w:t>11</w:t>
            </w:r>
          </w:p>
        </w:tc>
      </w:tr>
      <w:tr>
        <w:trPr>
          <w:trHeight w:val="283" w:hRule="exact"/>
        </w:trPr>
        <w:tc>
          <w:tcPr>
            <w:tcW w:w="1361" w:type="dxa"/>
            <w:tcBorders>
              <w:top w:val="single" w:sz="4" w:space="0" w:color="000000"/>
              <w:left w:val="single" w:sz="4" w:space="0" w:color="000000"/>
              <w:bottom w:val="single" w:sz="4" w:space="0" w:color="000000"/>
              <w:right w:val="single" w:sz="4" w:space="0" w:color="000000"/>
            </w:tcBorders>
          </w:tcPr>
          <w:p>
            <w:pPr/>
          </w:p>
        </w:tc>
        <w:tc>
          <w:tcPr>
            <w:tcW w:w="1892"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
        </w:tc>
        <w:tc>
          <w:tcPr>
            <w:tcW w:w="1874" w:type="dxa"/>
            <w:tcBorders>
              <w:top w:val="single" w:sz="4" w:space="0" w:color="000000"/>
              <w:left w:val="single" w:sz="4" w:space="0" w:color="000000"/>
              <w:bottom w:val="single" w:sz="4" w:space="0" w:color="000000"/>
              <w:right w:val="single" w:sz="4" w:space="0" w:color="000000"/>
            </w:tcBorders>
          </w:tcPr>
          <w:p>
            <w:pPr/>
          </w:p>
        </w:tc>
        <w:tc>
          <w:tcPr>
            <w:tcW w:w="189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361" w:type="dxa"/>
            <w:tcBorders>
              <w:top w:val="single" w:sz="4" w:space="0" w:color="000000"/>
              <w:left w:val="single" w:sz="4" w:space="0" w:color="000000"/>
              <w:bottom w:val="single" w:sz="4" w:space="0" w:color="000000"/>
              <w:right w:val="single" w:sz="4" w:space="0" w:color="000000"/>
            </w:tcBorders>
          </w:tcPr>
          <w:p>
            <w:pPr/>
          </w:p>
        </w:tc>
        <w:tc>
          <w:tcPr>
            <w:tcW w:w="1892"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
        </w:tc>
        <w:tc>
          <w:tcPr>
            <w:tcW w:w="1874" w:type="dxa"/>
            <w:tcBorders>
              <w:top w:val="single" w:sz="4" w:space="0" w:color="000000"/>
              <w:left w:val="single" w:sz="4" w:space="0" w:color="000000"/>
              <w:bottom w:val="single" w:sz="4" w:space="0" w:color="000000"/>
              <w:right w:val="single" w:sz="4" w:space="0" w:color="000000"/>
            </w:tcBorders>
          </w:tcPr>
          <w:p>
            <w:pPr/>
          </w:p>
        </w:tc>
        <w:tc>
          <w:tcPr>
            <w:tcW w:w="189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6"/>
              <w:jc w:val="right"/>
              <w:rPr>
                <w:rFonts w:ascii="宋体" w:hAnsi="宋体" w:cs="宋体" w:eastAsia="宋体" w:hint="default"/>
                <w:sz w:val="21"/>
                <w:szCs w:val="21"/>
              </w:rPr>
            </w:pPr>
            <w:r>
              <w:rPr>
                <w:rFonts w:ascii="宋体"/>
                <w:spacing w:val="-1"/>
                <w:sz w:val="21"/>
              </w:rPr>
              <w:t>57,672,699</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6"/>
              <w:jc w:val="right"/>
              <w:rPr>
                <w:rFonts w:ascii="宋体" w:hAnsi="宋体" w:cs="宋体" w:eastAsia="宋体" w:hint="default"/>
                <w:sz w:val="21"/>
                <w:szCs w:val="21"/>
              </w:rPr>
            </w:pPr>
            <w:r>
              <w:rPr>
                <w:rFonts w:ascii="宋体"/>
                <w:sz w:val="21"/>
              </w:rPr>
              <w:t>100</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6"/>
              <w:jc w:val="right"/>
              <w:rPr>
                <w:rFonts w:ascii="宋体" w:hAnsi="宋体" w:cs="宋体" w:eastAsia="宋体" w:hint="default"/>
                <w:sz w:val="21"/>
                <w:szCs w:val="21"/>
              </w:rPr>
            </w:pPr>
            <w:r>
              <w:rPr>
                <w:rFonts w:ascii="宋体"/>
                <w:spacing w:val="-1"/>
                <w:sz w:val="21"/>
              </w:rPr>
              <w:t>50,394,477</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6"/>
              <w:jc w:val="right"/>
              <w:rPr>
                <w:rFonts w:ascii="宋体" w:hAnsi="宋体" w:cs="宋体" w:eastAsia="宋体" w:hint="default"/>
                <w:sz w:val="21"/>
                <w:szCs w:val="21"/>
              </w:rPr>
            </w:pPr>
            <w:r>
              <w:rPr>
                <w:rFonts w:ascii="宋体"/>
                <w:sz w:val="21"/>
              </w:rPr>
              <w:t>100</w:t>
            </w:r>
          </w:p>
        </w:tc>
      </w:tr>
    </w:tbl>
    <w:p>
      <w:pPr>
        <w:spacing w:line="240" w:lineRule="auto" w:before="2"/>
        <w:rPr>
          <w:rFonts w:ascii="宋体" w:hAnsi="宋体" w:cs="宋体" w:eastAsia="宋体" w:hint="default"/>
          <w:sz w:val="20"/>
          <w:szCs w:val="20"/>
        </w:rPr>
      </w:pPr>
    </w:p>
    <w:p>
      <w:pPr>
        <w:pStyle w:val="Heading3"/>
        <w:spacing w:line="240" w:lineRule="auto" w:before="36"/>
        <w:ind w:right="147"/>
        <w:jc w:val="left"/>
        <w:rPr>
          <w:b w:val="0"/>
          <w:bCs w:val="0"/>
        </w:rPr>
      </w:pPr>
      <w:r>
        <w:rPr>
          <w:rFonts w:ascii="宋体" w:hAnsi="宋体" w:cs="宋体" w:eastAsia="宋体" w:hint="default"/>
        </w:rPr>
        <w:t>(2).</w:t>
      </w:r>
      <w:r>
        <w:rPr>
          <w:rFonts w:ascii="宋体" w:hAnsi="宋体" w:cs="宋体" w:eastAsia="宋体" w:hint="default"/>
          <w:spacing w:val="86"/>
        </w:rPr>
        <w:t> </w:t>
      </w:r>
      <w:r>
        <w:rPr/>
        <w:t>按预付对象归集的期末余额前五名的预付款情况：</w:t>
      </w:r>
      <w:r>
        <w:rPr>
          <w:b w:val="0"/>
          <w:bCs w:val="0"/>
        </w:rPr>
      </w:r>
    </w:p>
    <w:p>
      <w:pPr>
        <w:pStyle w:val="BodyText"/>
        <w:tabs>
          <w:tab w:pos="1060" w:val="left" w:leader="none"/>
        </w:tabs>
        <w:spacing w:line="240" w:lineRule="auto" w:before="56"/>
        <w:ind w:right="147"/>
        <w:jc w:val="left"/>
      </w:pPr>
      <w:r>
        <w:rPr>
          <w:spacing w:val="-1"/>
        </w:rPr>
        <w:t>√适用</w:t>
        <w:tab/>
      </w:r>
      <w:r>
        <w:rPr>
          <w:spacing w:val="-2"/>
        </w:rPr>
        <w:t>□不适用</w:t>
      </w:r>
    </w:p>
    <w:p>
      <w:pPr>
        <w:spacing w:line="240" w:lineRule="auto" w:before="3"/>
        <w:rPr>
          <w:rFonts w:ascii="宋体" w:hAnsi="宋体" w:cs="宋体" w:eastAsia="宋体" w:hint="default"/>
          <w:sz w:val="23"/>
          <w:szCs w:val="23"/>
        </w:rPr>
      </w:pPr>
    </w:p>
    <w:tbl>
      <w:tblPr>
        <w:tblW w:w="0" w:type="auto"/>
        <w:jc w:val="left"/>
        <w:tblInd w:w="105" w:type="dxa"/>
        <w:tblLayout w:type="fixed"/>
        <w:tblCellMar>
          <w:top w:w="0" w:type="dxa"/>
          <w:left w:w="0" w:type="dxa"/>
          <w:bottom w:w="0" w:type="dxa"/>
          <w:right w:w="0" w:type="dxa"/>
        </w:tblCellMar>
        <w:tblLook w:val="01E0"/>
      </w:tblPr>
      <w:tblGrid>
        <w:gridCol w:w="2941"/>
        <w:gridCol w:w="2943"/>
        <w:gridCol w:w="2941"/>
      </w:tblGrid>
      <w:tr>
        <w:trPr>
          <w:trHeight w:val="554"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 w:right="0"/>
              <w:jc w:val="center"/>
              <w:rPr>
                <w:rFonts w:ascii="宋体" w:hAnsi="宋体" w:cs="宋体" w:eastAsia="宋体" w:hint="default"/>
                <w:sz w:val="21"/>
                <w:szCs w:val="21"/>
              </w:rPr>
            </w:pPr>
            <w:r>
              <w:rPr>
                <w:rFonts w:ascii="宋体" w:hAnsi="宋体" w:cs="宋体" w:eastAsia="宋体" w:hint="default"/>
                <w:sz w:val="21"/>
                <w:szCs w:val="21"/>
              </w:rPr>
              <w:t>单位</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623" w:right="0"/>
              <w:jc w:val="left"/>
              <w:rPr>
                <w:rFonts w:ascii="宋体" w:hAnsi="宋体" w:cs="宋体" w:eastAsia="宋体" w:hint="default"/>
                <w:sz w:val="21"/>
                <w:szCs w:val="21"/>
              </w:rPr>
            </w:pPr>
            <w:r>
              <w:rPr>
                <w:rFonts w:ascii="宋体" w:hAnsi="宋体" w:cs="宋体" w:eastAsia="宋体" w:hint="default"/>
                <w:sz w:val="21"/>
                <w:szCs w:val="21"/>
              </w:rPr>
              <w:t>预付账款年末余额</w:t>
            </w:r>
          </w:p>
        </w:tc>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14"/>
                <w:sz w:val="21"/>
                <w:szCs w:val="21"/>
              </w:rPr>
              <w:t>预付账款年末余额占预付账</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款总额的比例</w:t>
            </w:r>
            <w:r>
              <w:rPr>
                <w:rFonts w:ascii="宋体" w:hAnsi="宋体" w:cs="宋体" w:eastAsia="宋体" w:hint="default"/>
                <w:sz w:val="21"/>
                <w:szCs w:val="21"/>
              </w:rPr>
              <w:t>(%)</w:t>
            </w:r>
          </w:p>
        </w:tc>
      </w:tr>
      <w:tr>
        <w:trPr>
          <w:trHeight w:val="283"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1</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1,491,453</w:t>
            </w:r>
          </w:p>
        </w:tc>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3</w:t>
            </w:r>
          </w:p>
        </w:tc>
      </w:tr>
      <w:tr>
        <w:trPr>
          <w:trHeight w:val="283"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2</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1,210,564</w:t>
            </w:r>
          </w:p>
        </w:tc>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2</w:t>
            </w:r>
          </w:p>
        </w:tc>
      </w:tr>
      <w:tr>
        <w:trPr>
          <w:trHeight w:val="281"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3</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820,313</w:t>
            </w:r>
          </w:p>
        </w:tc>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1</w:t>
            </w:r>
          </w:p>
        </w:tc>
      </w:tr>
      <w:tr>
        <w:trPr>
          <w:trHeight w:val="284"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4</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812,950</w:t>
            </w:r>
          </w:p>
        </w:tc>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1</w:t>
            </w:r>
          </w:p>
        </w:tc>
      </w:tr>
      <w:tr>
        <w:trPr>
          <w:trHeight w:val="283"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5</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781,046</w:t>
            </w:r>
          </w:p>
        </w:tc>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1</w:t>
            </w:r>
          </w:p>
        </w:tc>
      </w:tr>
      <w:tr>
        <w:trPr>
          <w:trHeight w:val="281"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5,116,326</w:t>
            </w:r>
          </w:p>
        </w:tc>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8</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BodyText"/>
        <w:spacing w:line="274" w:lineRule="exact" w:before="36"/>
        <w:ind w:right="147"/>
        <w:jc w:val="left"/>
      </w:pPr>
      <w:r>
        <w:rPr/>
        <w:t>其他说明</w:t>
      </w:r>
    </w:p>
    <w:p>
      <w:pPr>
        <w:pStyle w:val="BodyText"/>
        <w:tabs>
          <w:tab w:pos="1060" w:val="left" w:leader="none"/>
        </w:tabs>
        <w:spacing w:line="274" w:lineRule="exact"/>
        <w:ind w:right="147"/>
        <w:jc w:val="left"/>
      </w:pPr>
      <w:r>
        <w:rPr>
          <w:spacing w:val="-1"/>
        </w:rPr>
        <w:t>□适用</w:t>
        <w:tab/>
      </w:r>
      <w:r>
        <w:rPr>
          <w:spacing w:val="-2"/>
        </w:rPr>
        <w:t>√不适用</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type w:val="continuous"/>
          <w:pgSz w:w="11910" w:h="16840"/>
          <w:pgMar w:top="1320" w:bottom="1380" w:left="1580" w:right="1120"/>
        </w:sectPr>
      </w:pPr>
    </w:p>
    <w:p>
      <w:pPr>
        <w:pStyle w:val="Heading3"/>
        <w:spacing w:line="240" w:lineRule="auto" w:before="36"/>
        <w:ind w:right="-19"/>
        <w:jc w:val="left"/>
        <w:rPr>
          <w:b w:val="0"/>
          <w:bCs w:val="0"/>
        </w:rPr>
      </w:pPr>
      <w:r>
        <w:rPr>
          <w:rFonts w:ascii="宋体" w:hAnsi="宋体" w:cs="宋体" w:eastAsia="宋体" w:hint="default"/>
        </w:rPr>
        <w:t>7</w:t>
      </w:r>
      <w:r>
        <w:rPr/>
        <w:t>、</w:t>
      </w:r>
      <w:r>
        <w:rPr>
          <w:spacing w:val="-2"/>
        </w:rPr>
        <w:t> </w:t>
      </w:r>
      <w:r>
        <w:rPr/>
        <w:t>应收利息</w:t>
      </w:r>
      <w:r>
        <w:rPr>
          <w:b w:val="0"/>
          <w:bCs w:val="0"/>
        </w:rPr>
      </w:r>
    </w:p>
    <w:p>
      <w:pPr>
        <w:pStyle w:val="Heading3"/>
        <w:spacing w:line="240" w:lineRule="auto" w:before="56"/>
        <w:ind w:right="-19"/>
        <w:jc w:val="left"/>
        <w:rPr>
          <w:b w:val="0"/>
          <w:bCs w:val="0"/>
        </w:rPr>
      </w:pPr>
      <w:r>
        <w:rPr>
          <w:rFonts w:ascii="宋体" w:hAnsi="宋体" w:cs="宋体" w:eastAsia="宋体" w:hint="default"/>
        </w:rPr>
        <w:t>(1).</w:t>
      </w:r>
      <w:r>
        <w:rPr>
          <w:rFonts w:ascii="宋体" w:hAnsi="宋体" w:cs="宋体" w:eastAsia="宋体" w:hint="default"/>
          <w:spacing w:val="19"/>
        </w:rPr>
        <w:t> </w:t>
      </w:r>
      <w:r>
        <w:rPr/>
        <w:t>应收利息分类</w:t>
      </w:r>
      <w:r>
        <w:rPr>
          <w:b w:val="0"/>
          <w:bCs w:val="0"/>
        </w:rPr>
      </w:r>
    </w:p>
    <w:p>
      <w:pPr>
        <w:pStyle w:val="BodyText"/>
        <w:spacing w:line="240" w:lineRule="auto" w:before="58"/>
        <w:ind w:right="-19"/>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tabs>
          <w:tab w:pos="1269" w:val="left" w:leader="none"/>
        </w:tabs>
        <w:spacing w:line="240" w:lineRule="auto"/>
        <w:ind w:right="0"/>
        <w:jc w:val="left"/>
      </w:pPr>
      <w:r>
        <w:rPr>
          <w:spacing w:val="-1"/>
        </w:rPr>
        <w:t>单位：元</w:t>
        <w:tab/>
      </w:r>
      <w:r>
        <w:rPr>
          <w:spacing w:val="-2"/>
        </w:rPr>
        <w:t>币种：人民币</w:t>
      </w:r>
    </w:p>
    <w:p>
      <w:pPr>
        <w:spacing w:after="0" w:line="240" w:lineRule="auto"/>
        <w:jc w:val="left"/>
        <w:sectPr>
          <w:type w:val="continuous"/>
          <w:pgSz w:w="11910" w:h="16840"/>
          <w:pgMar w:top="1320" w:bottom="1380" w:left="1580" w:right="1120"/>
          <w:cols w:num="2" w:equalWidth="0">
            <w:col w:w="2033" w:space="4489"/>
            <w:col w:w="2688"/>
          </w:cols>
        </w:sectPr>
      </w:pPr>
    </w:p>
    <w:p>
      <w:pPr>
        <w:spacing w:line="240" w:lineRule="auto" w:before="7"/>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2780"/>
        <w:gridCol w:w="3048"/>
        <w:gridCol w:w="3068"/>
      </w:tblGrid>
      <w:tr>
        <w:trPr>
          <w:trHeight w:val="281" w:hRule="exact"/>
        </w:trPr>
        <w:tc>
          <w:tcPr>
            <w:tcW w:w="27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172"/>
              <w:jc w:val="right"/>
              <w:rPr>
                <w:rFonts w:ascii="宋体" w:hAnsi="宋体" w:cs="宋体" w:eastAsia="宋体" w:hint="default"/>
                <w:sz w:val="21"/>
                <w:szCs w:val="21"/>
              </w:rPr>
            </w:pPr>
            <w:r>
              <w:rPr>
                <w:rFonts w:ascii="宋体" w:hAnsi="宋体" w:cs="宋体" w:eastAsia="宋体" w:hint="default"/>
                <w:sz w:val="21"/>
                <w:szCs w:val="21"/>
              </w:rPr>
              <w:t>项目</w:t>
            </w:r>
          </w:p>
        </w:tc>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0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83" w:hRule="exact"/>
        </w:trPr>
        <w:tc>
          <w:tcPr>
            <w:tcW w:w="27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定期存款</w:t>
            </w:r>
          </w:p>
        </w:tc>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spacing w:val="-1"/>
                <w:sz w:val="21"/>
              </w:rPr>
              <w:t>3,643,103</w:t>
            </w:r>
          </w:p>
        </w:tc>
        <w:tc>
          <w:tcPr>
            <w:tcW w:w="30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
              <w:jc w:val="right"/>
              <w:rPr>
                <w:rFonts w:ascii="宋体" w:hAnsi="宋体" w:cs="宋体" w:eastAsia="宋体" w:hint="default"/>
                <w:sz w:val="21"/>
                <w:szCs w:val="21"/>
              </w:rPr>
            </w:pPr>
            <w:r>
              <w:rPr>
                <w:rFonts w:ascii="宋体"/>
                <w:spacing w:val="-1"/>
                <w:sz w:val="21"/>
              </w:rPr>
              <w:t>8,067,682</w:t>
            </w:r>
          </w:p>
        </w:tc>
      </w:tr>
      <w:tr>
        <w:trPr>
          <w:trHeight w:val="283" w:hRule="exact"/>
        </w:trPr>
        <w:tc>
          <w:tcPr>
            <w:tcW w:w="27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委托贷款</w:t>
            </w:r>
          </w:p>
        </w:tc>
        <w:tc>
          <w:tcPr>
            <w:tcW w:w="3048" w:type="dxa"/>
            <w:tcBorders>
              <w:top w:val="single" w:sz="4" w:space="0" w:color="000000"/>
              <w:left w:val="single" w:sz="4" w:space="0" w:color="000000"/>
              <w:bottom w:val="single" w:sz="4" w:space="0" w:color="000000"/>
              <w:right w:val="single" w:sz="4" w:space="0" w:color="000000"/>
            </w:tcBorders>
          </w:tcPr>
          <w:p>
            <w:pPr/>
          </w:p>
        </w:tc>
        <w:tc>
          <w:tcPr>
            <w:tcW w:w="3068"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7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债券投资</w:t>
            </w:r>
          </w:p>
        </w:tc>
        <w:tc>
          <w:tcPr>
            <w:tcW w:w="3048" w:type="dxa"/>
            <w:tcBorders>
              <w:top w:val="single" w:sz="4" w:space="0" w:color="000000"/>
              <w:left w:val="single" w:sz="4" w:space="0" w:color="000000"/>
              <w:bottom w:val="single" w:sz="4" w:space="0" w:color="000000"/>
              <w:right w:val="single" w:sz="4" w:space="0" w:color="000000"/>
            </w:tcBorders>
          </w:tcPr>
          <w:p>
            <w:pPr/>
          </w:p>
        </w:tc>
        <w:tc>
          <w:tcPr>
            <w:tcW w:w="306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780" w:type="dxa"/>
            <w:tcBorders>
              <w:top w:val="single" w:sz="4" w:space="0" w:color="000000"/>
              <w:left w:val="single" w:sz="4" w:space="0" w:color="000000"/>
              <w:bottom w:val="single" w:sz="4" w:space="0" w:color="000000"/>
              <w:right w:val="single" w:sz="4" w:space="0" w:color="000000"/>
            </w:tcBorders>
          </w:tcPr>
          <w:p>
            <w:pPr/>
          </w:p>
        </w:tc>
        <w:tc>
          <w:tcPr>
            <w:tcW w:w="3048" w:type="dxa"/>
            <w:tcBorders>
              <w:top w:val="single" w:sz="4" w:space="0" w:color="000000"/>
              <w:left w:val="single" w:sz="4" w:space="0" w:color="000000"/>
              <w:bottom w:val="single" w:sz="4" w:space="0" w:color="000000"/>
              <w:right w:val="single" w:sz="4" w:space="0" w:color="000000"/>
            </w:tcBorders>
          </w:tcPr>
          <w:p>
            <w:pPr/>
          </w:p>
        </w:tc>
        <w:tc>
          <w:tcPr>
            <w:tcW w:w="3068"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780" w:type="dxa"/>
            <w:tcBorders>
              <w:top w:val="single" w:sz="4" w:space="0" w:color="000000"/>
              <w:left w:val="single" w:sz="4" w:space="0" w:color="000000"/>
              <w:bottom w:val="single" w:sz="4" w:space="0" w:color="000000"/>
              <w:right w:val="single" w:sz="4" w:space="0" w:color="000000"/>
            </w:tcBorders>
          </w:tcPr>
          <w:p>
            <w:pPr/>
          </w:p>
        </w:tc>
        <w:tc>
          <w:tcPr>
            <w:tcW w:w="3048" w:type="dxa"/>
            <w:tcBorders>
              <w:top w:val="single" w:sz="4" w:space="0" w:color="000000"/>
              <w:left w:val="single" w:sz="4" w:space="0" w:color="000000"/>
              <w:bottom w:val="single" w:sz="4" w:space="0" w:color="000000"/>
              <w:right w:val="single" w:sz="4" w:space="0" w:color="000000"/>
            </w:tcBorders>
          </w:tcPr>
          <w:p>
            <w:pPr/>
          </w:p>
        </w:tc>
        <w:tc>
          <w:tcPr>
            <w:tcW w:w="306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78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172"/>
              <w:jc w:val="right"/>
              <w:rPr>
                <w:rFonts w:ascii="宋体" w:hAnsi="宋体" w:cs="宋体" w:eastAsia="宋体" w:hint="default"/>
                <w:sz w:val="21"/>
                <w:szCs w:val="21"/>
              </w:rPr>
            </w:pPr>
            <w:r>
              <w:rPr>
                <w:rFonts w:ascii="宋体" w:hAnsi="宋体" w:cs="宋体" w:eastAsia="宋体" w:hint="default"/>
                <w:sz w:val="21"/>
                <w:szCs w:val="21"/>
              </w:rPr>
              <w:t>合计</w:t>
            </w:r>
          </w:p>
        </w:tc>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25"/>
              <w:jc w:val="right"/>
              <w:rPr>
                <w:rFonts w:ascii="宋体" w:hAnsi="宋体" w:cs="宋体" w:eastAsia="宋体" w:hint="default"/>
                <w:sz w:val="21"/>
                <w:szCs w:val="21"/>
              </w:rPr>
            </w:pPr>
            <w:r>
              <w:rPr>
                <w:rFonts w:ascii="宋体"/>
                <w:spacing w:val="-1"/>
                <w:sz w:val="21"/>
              </w:rPr>
              <w:t>3,643,103</w:t>
            </w:r>
          </w:p>
        </w:tc>
        <w:tc>
          <w:tcPr>
            <w:tcW w:w="306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25"/>
              <w:jc w:val="right"/>
              <w:rPr>
                <w:rFonts w:ascii="宋体" w:hAnsi="宋体" w:cs="宋体" w:eastAsia="宋体" w:hint="default"/>
                <w:sz w:val="21"/>
                <w:szCs w:val="21"/>
              </w:rPr>
            </w:pPr>
            <w:r>
              <w:rPr>
                <w:rFonts w:ascii="宋体"/>
                <w:spacing w:val="-1"/>
                <w:sz w:val="21"/>
              </w:rPr>
              <w:t>8,067,682</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pStyle w:val="Heading3"/>
        <w:spacing w:line="240" w:lineRule="auto" w:before="36"/>
        <w:ind w:right="147"/>
        <w:jc w:val="left"/>
        <w:rPr>
          <w:b w:val="0"/>
          <w:bCs w:val="0"/>
        </w:rPr>
      </w:pPr>
      <w:r>
        <w:rPr>
          <w:rFonts w:ascii="宋体" w:hAnsi="宋体" w:cs="宋体" w:eastAsia="宋体" w:hint="default"/>
        </w:rPr>
        <w:t>(2).</w:t>
      </w:r>
      <w:r>
        <w:rPr>
          <w:rFonts w:ascii="宋体" w:hAnsi="宋体" w:cs="宋体" w:eastAsia="宋体" w:hint="default"/>
          <w:spacing w:val="19"/>
        </w:rPr>
        <w:t> </w:t>
      </w:r>
      <w:r>
        <w:rPr/>
        <w:t>重要逾期利息</w:t>
      </w:r>
      <w:r>
        <w:rPr>
          <w:b w:val="0"/>
          <w:bCs w:val="0"/>
        </w:rPr>
      </w:r>
    </w:p>
    <w:p>
      <w:pPr>
        <w:pStyle w:val="BodyText"/>
        <w:spacing w:line="272" w:lineRule="exact" w:before="86"/>
        <w:ind w:right="7394"/>
        <w:jc w:val="left"/>
      </w:pPr>
      <w:r>
        <w:rPr/>
        <w:t>□适用</w:t>
      </w:r>
      <w:r>
        <w:rPr>
          <w:spacing w:val="-1"/>
        </w:rPr>
        <w:t> </w:t>
      </w:r>
      <w:r>
        <w:rPr/>
        <w:t>√不适用</w:t>
      </w:r>
      <w:r>
        <w:rPr>
          <w:w w:val="100"/>
        </w:rPr>
        <w:t> </w:t>
      </w:r>
      <w:r>
        <w:rPr/>
        <w:t>其他说明：</w:t>
      </w:r>
    </w:p>
    <w:p>
      <w:pPr>
        <w:pStyle w:val="BodyText"/>
        <w:tabs>
          <w:tab w:pos="1060" w:val="left" w:leader="none"/>
        </w:tabs>
        <w:spacing w:line="249" w:lineRule="exact"/>
        <w:ind w:right="147"/>
        <w:jc w:val="left"/>
      </w:pPr>
      <w:r>
        <w:rPr>
          <w:spacing w:val="-1"/>
        </w:rPr>
        <w:t>□适用</w:t>
        <w:tab/>
      </w:r>
      <w:r>
        <w:rPr>
          <w:spacing w:val="-2"/>
        </w:rPr>
        <w:t>√不适用</w:t>
      </w:r>
    </w:p>
    <w:p>
      <w:pPr>
        <w:spacing w:after="0" w:line="249" w:lineRule="exact"/>
        <w:jc w:val="left"/>
        <w:sectPr>
          <w:type w:val="continuous"/>
          <w:pgSz w:w="11910" w:h="16840"/>
          <w:pgMar w:top="1320" w:bottom="1380" w:left="1580" w:right="1120"/>
        </w:sectPr>
      </w:pPr>
    </w:p>
    <w:p>
      <w:pPr>
        <w:spacing w:line="240" w:lineRule="auto" w:before="2"/>
        <w:rPr>
          <w:rFonts w:ascii="宋体" w:hAnsi="宋体" w:cs="宋体" w:eastAsia="宋体" w:hint="default"/>
          <w:sz w:val="9"/>
          <w:szCs w:val="9"/>
        </w:rPr>
      </w:pPr>
    </w:p>
    <w:p>
      <w:pPr>
        <w:pStyle w:val="Heading3"/>
        <w:spacing w:line="290" w:lineRule="auto" w:before="36"/>
        <w:ind w:left="1418" w:right="8386"/>
        <w:jc w:val="left"/>
        <w:rPr>
          <w:b w:val="0"/>
          <w:bCs w:val="0"/>
        </w:rPr>
      </w:pPr>
      <w:r>
        <w:rPr>
          <w:rFonts w:ascii="宋体" w:hAnsi="宋体" w:cs="宋体" w:eastAsia="宋体" w:hint="default"/>
        </w:rPr>
        <w:t>8</w:t>
      </w:r>
      <w:r>
        <w:rPr/>
        <w:t>、</w:t>
      </w:r>
      <w:r>
        <w:rPr>
          <w:spacing w:val="-3"/>
        </w:rPr>
        <w:t> </w:t>
      </w:r>
      <w:r>
        <w:rPr/>
        <w:t>应收股利</w:t>
      </w:r>
      <w:r>
        <w:rPr>
          <w:w w:val="100"/>
        </w:rPr>
        <w:t> </w:t>
      </w:r>
      <w:r>
        <w:rPr>
          <w:rFonts w:ascii="宋体" w:hAnsi="宋体" w:cs="宋体" w:eastAsia="宋体" w:hint="default"/>
        </w:rPr>
        <w:t>(1).</w:t>
      </w:r>
      <w:r>
        <w:rPr>
          <w:rFonts w:ascii="宋体" w:hAnsi="宋体" w:cs="宋体" w:eastAsia="宋体" w:hint="default"/>
          <w:spacing w:val="30"/>
        </w:rPr>
        <w:t> </w:t>
      </w:r>
      <w:r>
        <w:rPr/>
        <w:t>应收股利</w:t>
      </w:r>
      <w:r>
        <w:rPr>
          <w:b w:val="0"/>
          <w:bCs w:val="0"/>
        </w:rPr>
      </w:r>
    </w:p>
    <w:p>
      <w:pPr>
        <w:pStyle w:val="BodyText"/>
        <w:spacing w:line="240" w:lineRule="auto" w:before="12"/>
        <w:ind w:left="1418" w:right="0"/>
        <w:jc w:val="left"/>
      </w:pPr>
      <w:r>
        <w:rPr/>
        <w:t>□适用</w:t>
      </w:r>
      <w:r>
        <w:rPr>
          <w:spacing w:val="-1"/>
        </w:rPr>
        <w:t> </w:t>
      </w:r>
      <w:r>
        <w:rPr/>
        <w:t>√不适用</w:t>
      </w:r>
    </w:p>
    <w:p>
      <w:pPr>
        <w:pStyle w:val="Heading3"/>
        <w:spacing w:line="240" w:lineRule="auto" w:before="58"/>
        <w:ind w:left="1418" w:right="0"/>
        <w:jc w:val="left"/>
        <w:rPr>
          <w:b w:val="0"/>
          <w:bCs w:val="0"/>
        </w:rPr>
      </w:pPr>
      <w:r>
        <w:rPr>
          <w:rFonts w:ascii="宋体" w:hAnsi="宋体" w:cs="宋体" w:eastAsia="宋体" w:hint="default"/>
        </w:rPr>
        <w:t>(2). </w:t>
      </w:r>
      <w:r>
        <w:rPr/>
        <w:t>重要的账龄超过 </w:t>
      </w:r>
      <w:r>
        <w:rPr>
          <w:rFonts w:ascii="Cambria" w:hAnsi="Cambria" w:cs="Cambria" w:eastAsia="Cambria" w:hint="default"/>
        </w:rPr>
        <w:t>1</w:t>
      </w:r>
      <w:r>
        <w:rPr>
          <w:rFonts w:ascii="Cambria" w:hAnsi="Cambria" w:cs="Cambria" w:eastAsia="Cambria" w:hint="default"/>
          <w:spacing w:val="-18"/>
        </w:rPr>
        <w:t> </w:t>
      </w:r>
      <w:r>
        <w:rPr/>
        <w:t>年的应收股利：</w:t>
      </w:r>
      <w:r>
        <w:rPr>
          <w:b w:val="0"/>
          <w:bCs w:val="0"/>
        </w:rPr>
      </w:r>
    </w:p>
    <w:p>
      <w:pPr>
        <w:pStyle w:val="BodyText"/>
        <w:spacing w:line="240" w:lineRule="auto" w:before="39"/>
        <w:ind w:left="1418" w:right="8214"/>
        <w:jc w:val="left"/>
      </w:pPr>
      <w:r>
        <w:rPr/>
        <w:t>□适用</w:t>
      </w:r>
      <w:r>
        <w:rPr>
          <w:spacing w:val="-1"/>
        </w:rPr>
        <w:t> </w:t>
      </w:r>
      <w:r>
        <w:rPr/>
        <w:t>√不适用</w:t>
      </w:r>
      <w:r>
        <w:rPr>
          <w:w w:val="100"/>
        </w:rPr>
        <w:t> </w:t>
      </w:r>
      <w:r>
        <w:rPr/>
        <w:t>其他说明：</w:t>
      </w:r>
    </w:p>
    <w:p>
      <w:pPr>
        <w:pStyle w:val="BodyText"/>
        <w:spacing w:line="271" w:lineRule="exact"/>
        <w:ind w:left="1418" w:right="0"/>
        <w:jc w:val="left"/>
      </w:pPr>
      <w:r>
        <w:rPr/>
        <w:t>□适用</w:t>
      </w:r>
      <w:r>
        <w:rPr>
          <w:spacing w:val="-1"/>
        </w:rPr>
        <w:t> </w:t>
      </w:r>
      <w:r>
        <w:rPr/>
        <w:t>√不适用</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57" w:footer="1195" w:top="1320" w:bottom="1380" w:left="380" w:right="300"/>
        </w:sectPr>
      </w:pPr>
    </w:p>
    <w:p>
      <w:pPr>
        <w:pStyle w:val="Heading3"/>
        <w:spacing w:line="240" w:lineRule="auto" w:before="36"/>
        <w:ind w:left="1418" w:right="-19"/>
        <w:jc w:val="left"/>
        <w:rPr>
          <w:b w:val="0"/>
          <w:bCs w:val="0"/>
        </w:rPr>
      </w:pPr>
      <w:r>
        <w:rPr>
          <w:rFonts w:ascii="宋体" w:hAnsi="宋体" w:cs="宋体" w:eastAsia="宋体" w:hint="default"/>
        </w:rPr>
        <w:t>9</w:t>
      </w:r>
      <w:r>
        <w:rPr/>
        <w:t>、</w:t>
      </w:r>
      <w:r>
        <w:rPr>
          <w:spacing w:val="-1"/>
        </w:rPr>
        <w:t> </w:t>
      </w:r>
      <w:r>
        <w:rPr/>
        <w:t>其他应收款</w:t>
      </w:r>
      <w:r>
        <w:rPr>
          <w:b w:val="0"/>
          <w:bCs w:val="0"/>
        </w:rPr>
      </w:r>
    </w:p>
    <w:p>
      <w:pPr>
        <w:pStyle w:val="Heading3"/>
        <w:spacing w:line="240" w:lineRule="auto" w:before="58"/>
        <w:ind w:left="1418" w:right="-19"/>
        <w:jc w:val="left"/>
        <w:rPr>
          <w:b w:val="0"/>
          <w:bCs w:val="0"/>
        </w:rPr>
      </w:pPr>
      <w:r>
        <w:rPr>
          <w:rFonts w:ascii="宋体" w:hAnsi="宋体" w:cs="宋体" w:eastAsia="宋体" w:hint="default"/>
        </w:rPr>
        <w:t>(1).</w:t>
      </w:r>
      <w:r>
        <w:rPr>
          <w:rFonts w:ascii="宋体" w:hAnsi="宋体" w:cs="宋体" w:eastAsia="宋体" w:hint="default"/>
          <w:spacing w:val="61"/>
        </w:rPr>
        <w:t> </w:t>
      </w:r>
      <w:r>
        <w:rPr/>
        <w:t>其他应收款分类披露</w:t>
      </w:r>
      <w:r>
        <w:rPr>
          <w:b w:val="0"/>
          <w:bCs w:val="0"/>
        </w:rPr>
      </w:r>
    </w:p>
    <w:p>
      <w:pPr>
        <w:pStyle w:val="BodyText"/>
        <w:spacing w:line="240" w:lineRule="auto" w:before="56"/>
        <w:ind w:left="1418" w:right="-19"/>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p>
      <w:pPr>
        <w:pStyle w:val="BodyText"/>
        <w:tabs>
          <w:tab w:pos="2469" w:val="left" w:leader="none"/>
        </w:tabs>
        <w:spacing w:line="240" w:lineRule="auto"/>
        <w:ind w:left="1418" w:right="0"/>
        <w:jc w:val="left"/>
      </w:pPr>
      <w:r>
        <w:rPr>
          <w:spacing w:val="-1"/>
        </w:rPr>
        <w:t>单位：元</w:t>
        <w:tab/>
      </w:r>
      <w:r>
        <w:rPr>
          <w:spacing w:val="-2"/>
        </w:rPr>
        <w:t>币种：人民币</w:t>
      </w:r>
    </w:p>
    <w:p>
      <w:pPr>
        <w:spacing w:after="0" w:line="240" w:lineRule="auto"/>
        <w:jc w:val="left"/>
        <w:sectPr>
          <w:type w:val="continuous"/>
          <w:pgSz w:w="11910" w:h="16840"/>
          <w:pgMar w:top="1320" w:bottom="1380" w:left="380" w:right="300"/>
          <w:cols w:num="2" w:equalWidth="0">
            <w:col w:w="3907" w:space="2511"/>
            <w:col w:w="4812"/>
          </w:cols>
        </w:sectPr>
      </w:pPr>
    </w:p>
    <w:p>
      <w:pPr>
        <w:spacing w:line="240" w:lineRule="auto" w:before="4"/>
        <w:rPr>
          <w:rFonts w:ascii="宋体" w:hAnsi="宋体" w:cs="宋体" w:eastAsia="宋体" w:hint="default"/>
          <w:sz w:val="2"/>
          <w:szCs w:val="2"/>
        </w:rPr>
      </w:pPr>
    </w:p>
    <w:tbl>
      <w:tblPr>
        <w:tblW w:w="0" w:type="auto"/>
        <w:jc w:val="left"/>
        <w:tblInd w:w="100" w:type="dxa"/>
        <w:tblLayout w:type="fixed"/>
        <w:tblCellMar>
          <w:top w:w="0" w:type="dxa"/>
          <w:left w:w="0" w:type="dxa"/>
          <w:bottom w:w="0" w:type="dxa"/>
          <w:right w:w="0" w:type="dxa"/>
        </w:tblCellMar>
        <w:tblLook w:val="01E0"/>
      </w:tblPr>
      <w:tblGrid>
        <w:gridCol w:w="1719"/>
        <w:gridCol w:w="1142"/>
        <w:gridCol w:w="574"/>
        <w:gridCol w:w="1142"/>
        <w:gridCol w:w="571"/>
        <w:gridCol w:w="1248"/>
        <w:gridCol w:w="1226"/>
        <w:gridCol w:w="552"/>
        <w:gridCol w:w="1119"/>
        <w:gridCol w:w="571"/>
        <w:gridCol w:w="1143"/>
      </w:tblGrid>
      <w:tr>
        <w:trPr>
          <w:trHeight w:val="293" w:hRule="exact"/>
        </w:trPr>
        <w:tc>
          <w:tcPr>
            <w:tcW w:w="171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467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4611" w:type="dxa"/>
            <w:gridSpan w:val="5"/>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83" w:hRule="exact"/>
        </w:trPr>
        <w:tc>
          <w:tcPr>
            <w:tcW w:w="1719" w:type="dxa"/>
            <w:vMerge/>
            <w:tcBorders>
              <w:left w:val="single" w:sz="4" w:space="0" w:color="000000"/>
              <w:right w:val="single" w:sz="4" w:space="0" w:color="000000"/>
            </w:tcBorders>
          </w:tcPr>
          <w:p>
            <w:pPr/>
          </w:p>
        </w:tc>
        <w:tc>
          <w:tcPr>
            <w:tcW w:w="17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31"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7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29"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248"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72" w:lineRule="exact"/>
              <w:ind w:left="407" w:right="406"/>
              <w:jc w:val="left"/>
              <w:rPr>
                <w:rFonts w:ascii="宋体" w:hAnsi="宋体" w:cs="宋体" w:eastAsia="宋体" w:hint="default"/>
                <w:sz w:val="21"/>
                <w:szCs w:val="21"/>
              </w:rPr>
            </w:pPr>
            <w:r>
              <w:rPr>
                <w:rFonts w:ascii="宋体" w:hAnsi="宋体" w:cs="宋体" w:eastAsia="宋体" w:hint="default"/>
                <w:sz w:val="21"/>
                <w:szCs w:val="21"/>
              </w:rPr>
              <w:t>账面</w:t>
            </w:r>
            <w:r>
              <w:rPr>
                <w:rFonts w:ascii="宋体" w:hAnsi="宋体" w:cs="宋体" w:eastAsia="宋体" w:hint="default"/>
                <w:spacing w:val="-103"/>
                <w:sz w:val="21"/>
                <w:szCs w:val="21"/>
              </w:rPr>
              <w:t> </w:t>
            </w:r>
            <w:r>
              <w:rPr>
                <w:rFonts w:ascii="宋体" w:hAnsi="宋体" w:cs="宋体" w:eastAsia="宋体" w:hint="default"/>
                <w:sz w:val="21"/>
                <w:szCs w:val="21"/>
              </w:rPr>
              <w:t>价值</w:t>
            </w:r>
          </w:p>
        </w:tc>
        <w:tc>
          <w:tcPr>
            <w:tcW w:w="177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6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6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18"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143"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72" w:lineRule="exact"/>
              <w:ind w:left="355" w:right="353"/>
              <w:jc w:val="left"/>
              <w:rPr>
                <w:rFonts w:ascii="宋体" w:hAnsi="宋体" w:cs="宋体" w:eastAsia="宋体" w:hint="default"/>
                <w:sz w:val="21"/>
                <w:szCs w:val="21"/>
              </w:rPr>
            </w:pPr>
            <w:r>
              <w:rPr>
                <w:rFonts w:ascii="宋体" w:hAnsi="宋体" w:cs="宋体" w:eastAsia="宋体" w:hint="default"/>
                <w:sz w:val="21"/>
                <w:szCs w:val="21"/>
              </w:rPr>
              <w:t>账面</w:t>
            </w:r>
            <w:r>
              <w:rPr>
                <w:rFonts w:ascii="宋体" w:hAnsi="宋体" w:cs="宋体" w:eastAsia="宋体" w:hint="default"/>
                <w:spacing w:val="-103"/>
                <w:sz w:val="21"/>
                <w:szCs w:val="21"/>
              </w:rPr>
              <w:t> </w:t>
            </w:r>
            <w:r>
              <w:rPr>
                <w:rFonts w:ascii="宋体" w:hAnsi="宋体" w:cs="宋体" w:eastAsia="宋体" w:hint="default"/>
                <w:sz w:val="21"/>
                <w:szCs w:val="21"/>
              </w:rPr>
              <w:t>价值</w:t>
            </w:r>
          </w:p>
        </w:tc>
      </w:tr>
      <w:tr>
        <w:trPr>
          <w:trHeight w:val="826" w:hRule="exact"/>
        </w:trPr>
        <w:tc>
          <w:tcPr>
            <w:tcW w:w="1719" w:type="dxa"/>
            <w:vMerge/>
            <w:tcBorders>
              <w:left w:val="single" w:sz="4" w:space="0" w:color="000000"/>
              <w:bottom w:val="single" w:sz="4" w:space="0" w:color="000000"/>
              <w:right w:val="single" w:sz="4" w:space="0" w:color="000000"/>
            </w:tcBorders>
          </w:tcPr>
          <w:p>
            <w:pP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355"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30"/>
              <w:ind w:left="124" w:right="68" w:hanging="53"/>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pacing w:val="-103"/>
                <w:sz w:val="21"/>
                <w:szCs w:val="21"/>
              </w:rPr>
              <w:t> </w:t>
            </w:r>
            <w:r>
              <w:rPr>
                <w:rFonts w:ascii="宋体" w:hAnsi="宋体" w:cs="宋体" w:eastAsia="宋体" w:hint="default"/>
                <w:sz w:val="21"/>
                <w:szCs w:val="21"/>
              </w:rPr>
              <w:t>(%)</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352"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69" w:right="0"/>
              <w:jc w:val="left"/>
              <w:rPr>
                <w:rFonts w:ascii="宋体" w:hAnsi="宋体" w:cs="宋体" w:eastAsia="宋体" w:hint="default"/>
                <w:sz w:val="21"/>
                <w:szCs w:val="21"/>
              </w:rPr>
            </w:pPr>
            <w:r>
              <w:rPr>
                <w:rFonts w:ascii="宋体" w:hAnsi="宋体" w:cs="宋体" w:eastAsia="宋体" w:hint="default"/>
                <w:sz w:val="21"/>
                <w:szCs w:val="21"/>
              </w:rPr>
              <w:t>计提</w:t>
            </w:r>
          </w:p>
          <w:p>
            <w:pPr>
              <w:pStyle w:val="TableParagraph"/>
              <w:spacing w:line="272" w:lineRule="exact" w:before="27"/>
              <w:ind w:left="122" w:right="67" w:hanging="53"/>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pacing w:val="-103"/>
                <w:sz w:val="21"/>
                <w:szCs w:val="21"/>
              </w:rPr>
              <w:t> </w:t>
            </w:r>
            <w:r>
              <w:rPr>
                <w:rFonts w:ascii="宋体" w:hAnsi="宋体" w:cs="宋体" w:eastAsia="宋体" w:hint="default"/>
                <w:sz w:val="21"/>
                <w:szCs w:val="21"/>
              </w:rPr>
              <w:t>(%)</w:t>
            </w:r>
          </w:p>
        </w:tc>
        <w:tc>
          <w:tcPr>
            <w:tcW w:w="1248" w:type="dxa"/>
            <w:vMerge/>
            <w:tcBorders>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398"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30"/>
              <w:ind w:left="110" w:right="60" w:hanging="53"/>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pacing w:val="-103"/>
                <w:sz w:val="21"/>
                <w:szCs w:val="21"/>
              </w:rPr>
              <w:t> </w:t>
            </w:r>
            <w:r>
              <w:rPr>
                <w:rFonts w:ascii="宋体" w:hAnsi="宋体" w:cs="宋体" w:eastAsia="宋体" w:hint="default"/>
                <w:sz w:val="21"/>
                <w:szCs w:val="21"/>
              </w:rPr>
              <w:t>(%)</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341"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69" w:right="0"/>
              <w:jc w:val="left"/>
              <w:rPr>
                <w:rFonts w:ascii="宋体" w:hAnsi="宋体" w:cs="宋体" w:eastAsia="宋体" w:hint="default"/>
                <w:sz w:val="21"/>
                <w:szCs w:val="21"/>
              </w:rPr>
            </w:pPr>
            <w:r>
              <w:rPr>
                <w:rFonts w:ascii="宋体" w:hAnsi="宋体" w:cs="宋体" w:eastAsia="宋体" w:hint="default"/>
                <w:sz w:val="21"/>
                <w:szCs w:val="21"/>
              </w:rPr>
              <w:t>计提</w:t>
            </w:r>
          </w:p>
          <w:p>
            <w:pPr>
              <w:pStyle w:val="TableParagraph"/>
              <w:spacing w:line="272" w:lineRule="exact" w:before="27"/>
              <w:ind w:left="122" w:right="67" w:hanging="53"/>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pacing w:val="-103"/>
                <w:sz w:val="21"/>
                <w:szCs w:val="21"/>
              </w:rPr>
              <w:t> </w:t>
            </w:r>
            <w:r>
              <w:rPr>
                <w:rFonts w:ascii="宋体" w:hAnsi="宋体" w:cs="宋体" w:eastAsia="宋体" w:hint="default"/>
                <w:sz w:val="21"/>
                <w:szCs w:val="21"/>
              </w:rPr>
              <w:t>(%)</w:t>
            </w:r>
          </w:p>
        </w:tc>
        <w:tc>
          <w:tcPr>
            <w:tcW w:w="1143" w:type="dxa"/>
            <w:vMerge/>
            <w:tcBorders>
              <w:left w:val="single" w:sz="4" w:space="0" w:color="000000"/>
              <w:bottom w:val="single" w:sz="4" w:space="0" w:color="000000"/>
              <w:right w:val="single" w:sz="4" w:space="0" w:color="000000"/>
            </w:tcBorders>
          </w:tcPr>
          <w:p>
            <w:pPr/>
          </w:p>
        </w:tc>
      </w:tr>
      <w:tr>
        <w:trPr>
          <w:trHeight w:val="828" w:hRule="exact"/>
        </w:trPr>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单项金额重大并</w:t>
            </w:r>
          </w:p>
          <w:p>
            <w:pPr>
              <w:pStyle w:val="TableParagraph"/>
              <w:spacing w:line="240" w:lineRule="auto"/>
              <w:ind w:left="26" w:right="207"/>
              <w:jc w:val="left"/>
              <w:rPr>
                <w:rFonts w:ascii="宋体" w:hAnsi="宋体" w:cs="宋体" w:eastAsia="宋体" w:hint="default"/>
                <w:sz w:val="21"/>
                <w:szCs w:val="21"/>
              </w:rPr>
            </w:pPr>
            <w:r>
              <w:rPr>
                <w:rFonts w:ascii="宋体" w:hAnsi="宋体" w:cs="宋体" w:eastAsia="宋体" w:hint="default"/>
                <w:sz w:val="21"/>
                <w:szCs w:val="21"/>
              </w:rPr>
              <w:t>单独计提坏账准</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备的其他应收款</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3"/>
              <w:jc w:val="right"/>
              <w:rPr>
                <w:rFonts w:ascii="宋体" w:hAnsi="宋体" w:cs="宋体" w:eastAsia="宋体" w:hint="default"/>
                <w:sz w:val="18"/>
                <w:szCs w:val="18"/>
              </w:rPr>
            </w:pPr>
            <w:r>
              <w:rPr>
                <w:rFonts w:ascii="宋体"/>
                <w:spacing w:val="-1"/>
                <w:sz w:val="18"/>
              </w:rPr>
              <w:t>2,515,235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6"/>
              <w:jc w:val="right"/>
              <w:rPr>
                <w:rFonts w:ascii="宋体" w:hAnsi="宋体" w:cs="宋体" w:eastAsia="宋体" w:hint="default"/>
                <w:sz w:val="18"/>
                <w:szCs w:val="18"/>
              </w:rPr>
            </w:pPr>
            <w:r>
              <w:rPr>
                <w:rFonts w:ascii="宋体"/>
                <w:sz w:val="18"/>
              </w:rPr>
              <w:t>1</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6"/>
              <w:jc w:val="right"/>
              <w:rPr>
                <w:rFonts w:ascii="宋体" w:hAnsi="宋体" w:cs="宋体" w:eastAsia="宋体" w:hint="default"/>
                <w:sz w:val="18"/>
                <w:szCs w:val="18"/>
              </w:rPr>
            </w:pPr>
            <w:r>
              <w:rPr>
                <w:rFonts w:ascii="宋体"/>
                <w:spacing w:val="-1"/>
                <w:sz w:val="18"/>
              </w:rPr>
              <w:t>2,515,235</w:t>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3"/>
              <w:jc w:val="right"/>
              <w:rPr>
                <w:rFonts w:ascii="宋体" w:hAnsi="宋体" w:cs="宋体" w:eastAsia="宋体" w:hint="default"/>
                <w:sz w:val="18"/>
                <w:szCs w:val="18"/>
              </w:rPr>
            </w:pPr>
            <w:r>
              <w:rPr>
                <w:rFonts w:ascii="宋体"/>
                <w:sz w:val="18"/>
              </w:rPr>
              <w:t>100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5"/>
              <w:jc w:val="right"/>
              <w:rPr>
                <w:rFonts w:ascii="宋体" w:hAnsi="宋体" w:cs="宋体" w:eastAsia="宋体" w:hint="default"/>
                <w:sz w:val="18"/>
                <w:szCs w:val="18"/>
              </w:rPr>
            </w:pPr>
            <w:r>
              <w:rPr>
                <w:rFonts w:ascii="宋体"/>
                <w:sz w:val="18"/>
              </w:rPr>
              <w:t>-</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5"/>
              <w:jc w:val="right"/>
              <w:rPr>
                <w:rFonts w:ascii="宋体" w:hAnsi="宋体" w:cs="宋体" w:eastAsia="宋体" w:hint="default"/>
                <w:sz w:val="18"/>
                <w:szCs w:val="18"/>
              </w:rPr>
            </w:pPr>
            <w:r>
              <w:rPr>
                <w:rFonts w:ascii="宋体"/>
                <w:sz w:val="18"/>
              </w:rPr>
              <w:t>-</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9"/>
              <w:jc w:val="right"/>
              <w:rPr>
                <w:rFonts w:ascii="宋体" w:hAnsi="宋体" w:cs="宋体" w:eastAsia="宋体" w:hint="default"/>
                <w:sz w:val="18"/>
                <w:szCs w:val="18"/>
              </w:rPr>
            </w:pPr>
            <w:r>
              <w:rPr>
                <w:rFonts w:ascii="宋体"/>
                <w:sz w:val="18"/>
              </w:rPr>
              <w:t>-</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9"/>
              <w:jc w:val="right"/>
              <w:rPr>
                <w:rFonts w:ascii="宋体" w:hAnsi="宋体" w:cs="宋体" w:eastAsia="宋体" w:hint="default"/>
                <w:sz w:val="18"/>
                <w:szCs w:val="18"/>
              </w:rPr>
            </w:pPr>
            <w:r>
              <w:rPr>
                <w:rFonts w:ascii="宋体"/>
                <w:sz w:val="18"/>
              </w:rPr>
              <w:t>-</w:t>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5"/>
              <w:jc w:val="right"/>
              <w:rPr>
                <w:rFonts w:ascii="宋体" w:hAnsi="宋体" w:cs="宋体" w:eastAsia="宋体" w:hint="default"/>
                <w:sz w:val="18"/>
                <w:szCs w:val="18"/>
              </w:rPr>
            </w:pPr>
            <w:r>
              <w:rPr>
                <w:rFonts w:ascii="宋体"/>
                <w:sz w:val="18"/>
              </w:rPr>
              <w:t>-</w:t>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7"/>
              <w:jc w:val="right"/>
              <w:rPr>
                <w:rFonts w:ascii="宋体" w:hAnsi="宋体" w:cs="宋体" w:eastAsia="宋体" w:hint="default"/>
                <w:sz w:val="18"/>
                <w:szCs w:val="18"/>
              </w:rPr>
            </w:pPr>
            <w:r>
              <w:rPr>
                <w:rFonts w:ascii="宋体"/>
                <w:sz w:val="18"/>
              </w:rPr>
              <w:t>-</w:t>
            </w:r>
          </w:p>
        </w:tc>
      </w:tr>
      <w:tr>
        <w:trPr>
          <w:trHeight w:val="828" w:hRule="exact"/>
        </w:trPr>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按信用风险特征</w:t>
            </w:r>
          </w:p>
          <w:p>
            <w:pPr>
              <w:pStyle w:val="TableParagraph"/>
              <w:spacing w:line="272" w:lineRule="exact" w:before="27"/>
              <w:ind w:left="26" w:right="207"/>
              <w:jc w:val="left"/>
              <w:rPr>
                <w:rFonts w:ascii="宋体" w:hAnsi="宋体" w:cs="宋体" w:eastAsia="宋体" w:hint="default"/>
                <w:sz w:val="21"/>
                <w:szCs w:val="21"/>
              </w:rPr>
            </w:pPr>
            <w:r>
              <w:rPr>
                <w:rFonts w:ascii="宋体" w:hAnsi="宋体" w:cs="宋体" w:eastAsia="宋体" w:hint="default"/>
                <w:sz w:val="21"/>
                <w:szCs w:val="21"/>
              </w:rPr>
              <w:t>组合计提坏账准</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备的其他应收款</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259,566,192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2"/>
              <w:jc w:val="right"/>
              <w:rPr>
                <w:rFonts w:ascii="宋体" w:hAnsi="宋体" w:cs="宋体" w:eastAsia="宋体" w:hint="default"/>
                <w:sz w:val="18"/>
                <w:szCs w:val="18"/>
              </w:rPr>
            </w:pPr>
            <w:r>
              <w:rPr>
                <w:rFonts w:ascii="宋体"/>
                <w:sz w:val="18"/>
              </w:rPr>
              <w:t>94</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6"/>
              <w:jc w:val="right"/>
              <w:rPr>
                <w:rFonts w:ascii="宋体" w:hAnsi="宋体" w:cs="宋体" w:eastAsia="宋体" w:hint="default"/>
                <w:sz w:val="18"/>
                <w:szCs w:val="18"/>
              </w:rPr>
            </w:pPr>
            <w:r>
              <w:rPr>
                <w:rFonts w:ascii="宋体"/>
                <w:spacing w:val="-1"/>
                <w:sz w:val="18"/>
              </w:rPr>
              <w:t>22,492,639</w:t>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
              <w:jc w:val="right"/>
              <w:rPr>
                <w:rFonts w:ascii="宋体" w:hAnsi="宋体" w:cs="宋体" w:eastAsia="宋体" w:hint="default"/>
                <w:sz w:val="18"/>
                <w:szCs w:val="18"/>
              </w:rPr>
            </w:pPr>
            <w:r>
              <w:rPr>
                <w:rFonts w:ascii="宋体"/>
                <w:sz w:val="18"/>
              </w:rPr>
              <w:t>9</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237,073,553</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163,535,612</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z w:val="18"/>
              </w:rPr>
              <w:t>97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7"/>
              <w:jc w:val="right"/>
              <w:rPr>
                <w:rFonts w:ascii="宋体" w:hAnsi="宋体" w:cs="宋体" w:eastAsia="宋体" w:hint="default"/>
                <w:sz w:val="18"/>
                <w:szCs w:val="18"/>
              </w:rPr>
            </w:pPr>
            <w:r>
              <w:rPr>
                <w:rFonts w:ascii="宋体"/>
                <w:spacing w:val="-1"/>
                <w:sz w:val="18"/>
              </w:rPr>
              <w:t>20,776,894</w:t>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13</w:t>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142,758,718</w:t>
            </w:r>
          </w:p>
        </w:tc>
      </w:tr>
      <w:tr>
        <w:trPr>
          <w:trHeight w:val="1099" w:hRule="exact"/>
        </w:trPr>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both"/>
              <w:rPr>
                <w:rFonts w:ascii="宋体" w:hAnsi="宋体" w:cs="宋体" w:eastAsia="宋体" w:hint="default"/>
                <w:sz w:val="21"/>
                <w:szCs w:val="21"/>
              </w:rPr>
            </w:pPr>
            <w:r>
              <w:rPr>
                <w:rFonts w:ascii="宋体" w:hAnsi="宋体" w:cs="宋体" w:eastAsia="宋体" w:hint="default"/>
                <w:sz w:val="21"/>
                <w:szCs w:val="21"/>
              </w:rPr>
              <w:t>单项金额不重大</w:t>
            </w:r>
          </w:p>
          <w:p>
            <w:pPr>
              <w:pStyle w:val="TableParagraph"/>
              <w:spacing w:line="237" w:lineRule="auto"/>
              <w:ind w:left="26" w:right="207"/>
              <w:jc w:val="both"/>
              <w:rPr>
                <w:rFonts w:ascii="宋体" w:hAnsi="宋体" w:cs="宋体" w:eastAsia="宋体" w:hint="default"/>
                <w:sz w:val="21"/>
                <w:szCs w:val="21"/>
              </w:rPr>
            </w:pPr>
            <w:r>
              <w:rPr>
                <w:rFonts w:ascii="宋体" w:hAnsi="宋体" w:cs="宋体" w:eastAsia="宋体" w:hint="default"/>
                <w:sz w:val="21"/>
                <w:szCs w:val="21"/>
              </w:rPr>
              <w:t>但单独计提坏账</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准备的其他应收</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款</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14,523,043</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6"/>
              <w:jc w:val="right"/>
              <w:rPr>
                <w:rFonts w:ascii="宋体" w:hAnsi="宋体" w:cs="宋体" w:eastAsia="宋体" w:hint="default"/>
                <w:sz w:val="18"/>
                <w:szCs w:val="18"/>
              </w:rPr>
            </w:pPr>
            <w:r>
              <w:rPr>
                <w:rFonts w:ascii="宋体"/>
                <w:sz w:val="18"/>
              </w:rPr>
              <w:t>5</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6"/>
              <w:jc w:val="right"/>
              <w:rPr>
                <w:rFonts w:ascii="宋体" w:hAnsi="宋体" w:cs="宋体" w:eastAsia="宋体" w:hint="default"/>
                <w:sz w:val="18"/>
                <w:szCs w:val="18"/>
              </w:rPr>
            </w:pPr>
            <w:r>
              <w:rPr>
                <w:rFonts w:ascii="宋体"/>
                <w:spacing w:val="-1"/>
                <w:sz w:val="18"/>
              </w:rPr>
              <w:t>14,523,043</w:t>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100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
              <w:jc w:val="right"/>
              <w:rPr>
                <w:rFonts w:ascii="宋体" w:hAnsi="宋体" w:cs="宋体" w:eastAsia="宋体" w:hint="default"/>
                <w:sz w:val="18"/>
                <w:szCs w:val="18"/>
              </w:rPr>
            </w:pPr>
            <w:r>
              <w:rPr>
                <w:rFonts w:ascii="宋体"/>
                <w:sz w:val="18"/>
              </w:rPr>
              <w:t>-</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pacing w:val="-1"/>
                <w:sz w:val="18"/>
              </w:rPr>
              <w:t>5,751,178</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9"/>
              <w:jc w:val="right"/>
              <w:rPr>
                <w:rFonts w:ascii="宋体" w:hAnsi="宋体" w:cs="宋体" w:eastAsia="宋体" w:hint="default"/>
                <w:sz w:val="18"/>
                <w:szCs w:val="18"/>
              </w:rPr>
            </w:pPr>
            <w:r>
              <w:rPr>
                <w:rFonts w:ascii="宋体"/>
                <w:sz w:val="18"/>
              </w:rPr>
              <w:t>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6"/>
              <w:jc w:val="right"/>
              <w:rPr>
                <w:rFonts w:ascii="宋体" w:hAnsi="宋体" w:cs="宋体" w:eastAsia="宋体" w:hint="default"/>
                <w:sz w:val="18"/>
                <w:szCs w:val="18"/>
              </w:rPr>
            </w:pPr>
            <w:r>
              <w:rPr>
                <w:rFonts w:ascii="宋体"/>
                <w:spacing w:val="-1"/>
                <w:sz w:val="18"/>
              </w:rPr>
              <w:t>5,751,178</w:t>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100</w:t>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7"/>
              <w:jc w:val="right"/>
              <w:rPr>
                <w:rFonts w:ascii="宋体" w:hAnsi="宋体" w:cs="宋体" w:eastAsia="宋体" w:hint="default"/>
                <w:sz w:val="18"/>
                <w:szCs w:val="18"/>
              </w:rPr>
            </w:pPr>
            <w:r>
              <w:rPr>
                <w:rFonts w:ascii="宋体"/>
                <w:sz w:val="18"/>
              </w:rPr>
              <w:t>-</w:t>
            </w:r>
          </w:p>
        </w:tc>
      </w:tr>
      <w:tr>
        <w:trPr>
          <w:trHeight w:val="283" w:hRule="exact"/>
        </w:trPr>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276,604,470</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46" w:right="0"/>
              <w:jc w:val="left"/>
              <w:rPr>
                <w:rFonts w:ascii="宋体" w:hAnsi="宋体" w:cs="宋体" w:eastAsia="宋体" w:hint="default"/>
                <w:sz w:val="18"/>
                <w:szCs w:val="18"/>
              </w:rPr>
            </w:pPr>
            <w:r>
              <w:rPr>
                <w:rFonts w:ascii="宋体"/>
                <w:sz w:val="18"/>
              </w:rPr>
              <w:t>100</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6"/>
              <w:jc w:val="right"/>
              <w:rPr>
                <w:rFonts w:ascii="宋体" w:hAnsi="宋体" w:cs="宋体" w:eastAsia="宋体" w:hint="default"/>
                <w:sz w:val="18"/>
                <w:szCs w:val="18"/>
              </w:rPr>
            </w:pPr>
            <w:r>
              <w:rPr>
                <w:rFonts w:ascii="宋体"/>
                <w:spacing w:val="-1"/>
                <w:sz w:val="18"/>
              </w:rPr>
              <w:t>39,530,917</w:t>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5"/>
              <w:jc w:val="center"/>
              <w:rPr>
                <w:rFonts w:ascii="宋体" w:hAnsi="宋体" w:cs="宋体" w:eastAsia="宋体" w:hint="default"/>
                <w:sz w:val="18"/>
                <w:szCs w:val="18"/>
              </w:rPr>
            </w:pPr>
            <w:r>
              <w:rPr>
                <w:rFonts w:ascii="宋体"/>
                <w:sz w:val="18"/>
              </w:rPr>
              <w:t>/</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237,073,553</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169,286,790</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32" w:right="0"/>
              <w:jc w:val="left"/>
              <w:rPr>
                <w:rFonts w:ascii="宋体" w:hAnsi="宋体" w:cs="宋体" w:eastAsia="宋体" w:hint="default"/>
                <w:sz w:val="18"/>
                <w:szCs w:val="18"/>
              </w:rPr>
            </w:pPr>
            <w:r>
              <w:rPr>
                <w:rFonts w:ascii="宋体"/>
                <w:sz w:val="18"/>
              </w:rPr>
              <w:t>100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7"/>
              <w:jc w:val="right"/>
              <w:rPr>
                <w:rFonts w:ascii="宋体" w:hAnsi="宋体" w:cs="宋体" w:eastAsia="宋体" w:hint="default"/>
                <w:sz w:val="18"/>
                <w:szCs w:val="18"/>
              </w:rPr>
            </w:pPr>
            <w:r>
              <w:rPr>
                <w:rFonts w:ascii="宋体"/>
                <w:spacing w:val="-1"/>
                <w:sz w:val="18"/>
              </w:rPr>
              <w:t>26,528,072</w:t>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4"/>
              <w:jc w:val="center"/>
              <w:rPr>
                <w:rFonts w:ascii="宋体" w:hAnsi="宋体" w:cs="宋体" w:eastAsia="宋体" w:hint="default"/>
                <w:sz w:val="18"/>
                <w:szCs w:val="18"/>
              </w:rPr>
            </w:pPr>
            <w:r>
              <w:rPr>
                <w:rFonts w:ascii="宋体"/>
                <w:sz w:val="18"/>
              </w:rPr>
              <w:t>/</w:t>
            </w: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24"/>
              <w:jc w:val="right"/>
              <w:rPr>
                <w:rFonts w:ascii="宋体" w:hAnsi="宋体" w:cs="宋体" w:eastAsia="宋体" w:hint="default"/>
                <w:sz w:val="18"/>
                <w:szCs w:val="18"/>
              </w:rPr>
            </w:pPr>
            <w:r>
              <w:rPr>
                <w:rFonts w:ascii="宋体"/>
                <w:spacing w:val="-1"/>
                <w:sz w:val="18"/>
              </w:rPr>
              <w:t>142,758,718</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type w:val="continuous"/>
          <w:pgSz w:w="11910" w:h="16840"/>
          <w:pgMar w:top="1320" w:bottom="1380" w:left="380" w:right="300"/>
        </w:sectPr>
      </w:pPr>
    </w:p>
    <w:p>
      <w:pPr>
        <w:pStyle w:val="BodyText"/>
        <w:spacing w:line="273" w:lineRule="exact" w:before="36"/>
        <w:ind w:left="1418" w:right="0"/>
        <w:jc w:val="left"/>
      </w:pPr>
      <w:r>
        <w:rPr>
          <w:spacing w:val="-2"/>
        </w:rPr>
        <w:t>期末单项金额重大并单项计提坏帐准备的其他应收款</w:t>
      </w:r>
    </w:p>
    <w:p>
      <w:pPr>
        <w:pStyle w:val="BodyText"/>
        <w:spacing w:line="273" w:lineRule="exact"/>
        <w:ind w:left="1418" w:right="0"/>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5"/>
        <w:rPr>
          <w:rFonts w:ascii="宋体" w:hAnsi="宋体" w:cs="宋体" w:eastAsia="宋体" w:hint="default"/>
          <w:sz w:val="24"/>
          <w:szCs w:val="24"/>
        </w:rPr>
      </w:pPr>
    </w:p>
    <w:p>
      <w:pPr>
        <w:pStyle w:val="BodyText"/>
        <w:tabs>
          <w:tab w:pos="2469" w:val="left" w:leader="none"/>
        </w:tabs>
        <w:spacing w:line="240" w:lineRule="auto"/>
        <w:ind w:left="1418" w:right="0"/>
        <w:jc w:val="left"/>
      </w:pPr>
      <w:r>
        <w:rPr>
          <w:spacing w:val="-1"/>
        </w:rPr>
        <w:t>单位：元</w:t>
        <w:tab/>
      </w:r>
      <w:r>
        <w:rPr>
          <w:spacing w:val="-2"/>
        </w:rPr>
        <w:t>币种：人民币</w:t>
      </w:r>
    </w:p>
    <w:p>
      <w:pPr>
        <w:spacing w:after="0" w:line="240" w:lineRule="auto"/>
        <w:jc w:val="left"/>
        <w:sectPr>
          <w:type w:val="continuous"/>
          <w:pgSz w:w="11910" w:h="16840"/>
          <w:pgMar w:top="1320" w:bottom="1380" w:left="380" w:right="300"/>
          <w:cols w:num="2" w:equalWidth="0">
            <w:col w:w="6253" w:space="269"/>
            <w:col w:w="4708"/>
          </w:cols>
        </w:sectPr>
      </w:pPr>
    </w:p>
    <w:p>
      <w:pPr>
        <w:spacing w:line="240" w:lineRule="auto" w:before="4"/>
        <w:rPr>
          <w:rFonts w:ascii="宋体" w:hAnsi="宋体" w:cs="宋体" w:eastAsia="宋体" w:hint="default"/>
          <w:sz w:val="2"/>
          <w:szCs w:val="2"/>
        </w:rPr>
      </w:pPr>
    </w:p>
    <w:tbl>
      <w:tblPr>
        <w:tblW w:w="0" w:type="auto"/>
        <w:jc w:val="left"/>
        <w:tblInd w:w="1305" w:type="dxa"/>
        <w:tblLayout w:type="fixed"/>
        <w:tblCellMar>
          <w:top w:w="0" w:type="dxa"/>
          <w:left w:w="0" w:type="dxa"/>
          <w:bottom w:w="0" w:type="dxa"/>
          <w:right w:w="0" w:type="dxa"/>
        </w:tblCellMar>
        <w:tblLook w:val="01E0"/>
      </w:tblPr>
      <w:tblGrid>
        <w:gridCol w:w="1927"/>
        <w:gridCol w:w="1517"/>
        <w:gridCol w:w="1724"/>
        <w:gridCol w:w="1805"/>
        <w:gridCol w:w="2077"/>
      </w:tblGrid>
      <w:tr>
        <w:trPr>
          <w:trHeight w:val="284" w:hRule="exact"/>
        </w:trPr>
        <w:tc>
          <w:tcPr>
            <w:tcW w:w="1927" w:type="dxa"/>
            <w:tcBorders>
              <w:top w:val="single" w:sz="4" w:space="0" w:color="000000"/>
              <w:left w:val="single" w:sz="4" w:space="0" w:color="000000"/>
              <w:bottom w:val="single" w:sz="4" w:space="0" w:color="000000"/>
              <w:right w:val="single" w:sz="4" w:space="0" w:color="000000"/>
            </w:tcBorders>
          </w:tcPr>
          <w:p>
            <w:pPr/>
          </w:p>
        </w:tc>
        <w:tc>
          <w:tcPr>
            <w:tcW w:w="7122" w:type="dxa"/>
            <w:gridSpan w:val="4"/>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5" w:right="0"/>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554" w:hRule="exact"/>
        </w:trPr>
        <w:tc>
          <w:tcPr>
            <w:tcW w:w="192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431" w:right="0"/>
              <w:jc w:val="left"/>
              <w:rPr>
                <w:rFonts w:ascii="宋体" w:hAnsi="宋体" w:cs="宋体" w:eastAsia="宋体" w:hint="default"/>
                <w:sz w:val="21"/>
                <w:szCs w:val="21"/>
              </w:rPr>
            </w:pPr>
            <w:r>
              <w:rPr>
                <w:rFonts w:ascii="宋体" w:hAnsi="宋体" w:cs="宋体" w:eastAsia="宋体" w:hint="default"/>
                <w:sz w:val="21"/>
                <w:szCs w:val="21"/>
              </w:rPr>
              <w:t>其他应收款</w:t>
            </w:r>
          </w:p>
          <w:p>
            <w:pPr>
              <w:pStyle w:val="TableParagraph"/>
              <w:spacing w:line="274" w:lineRule="exact"/>
              <w:ind w:left="431" w:right="0"/>
              <w:jc w:val="left"/>
              <w:rPr>
                <w:rFonts w:ascii="宋体" w:hAnsi="宋体" w:cs="宋体" w:eastAsia="宋体" w:hint="default"/>
                <w:sz w:val="21"/>
                <w:szCs w:val="21"/>
              </w:rPr>
            </w:pPr>
            <w:r>
              <w:rPr>
                <w:rFonts w:ascii="宋体" w:hAnsi="宋体" w:cs="宋体" w:eastAsia="宋体" w:hint="default"/>
                <w:sz w:val="21"/>
                <w:szCs w:val="21"/>
              </w:rPr>
              <w:t>（按单位）</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28"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436"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5" w:right="0"/>
              <w:jc w:val="left"/>
              <w:rPr>
                <w:rFonts w:ascii="宋体" w:hAnsi="宋体" w:cs="宋体" w:eastAsia="宋体" w:hint="default"/>
                <w:sz w:val="21"/>
                <w:szCs w:val="21"/>
              </w:rPr>
            </w:pPr>
            <w:r>
              <w:rPr>
                <w:rFonts w:ascii="宋体" w:hAnsi="宋体" w:cs="宋体" w:eastAsia="宋体" w:hint="default"/>
                <w:sz w:val="21"/>
                <w:szCs w:val="21"/>
              </w:rPr>
              <w:t>计提比例（</w:t>
            </w:r>
            <w:r>
              <w:rPr>
                <w:rFonts w:ascii="宋体" w:hAnsi="宋体" w:cs="宋体" w:eastAsia="宋体" w:hint="default"/>
                <w:sz w:val="21"/>
                <w:szCs w:val="21"/>
              </w:rPr>
              <w:t>%</w:t>
            </w:r>
            <w:r>
              <w:rPr>
                <w:rFonts w:ascii="宋体" w:hAnsi="宋体" w:cs="宋体" w:eastAsia="宋体" w:hint="default"/>
                <w:sz w:val="21"/>
                <w:szCs w:val="21"/>
              </w:rPr>
              <w:t>）</w:t>
            </w:r>
          </w:p>
        </w:tc>
        <w:tc>
          <w:tcPr>
            <w:tcW w:w="2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计提理由</w:t>
            </w:r>
          </w:p>
        </w:tc>
      </w:tr>
      <w:tr>
        <w:trPr>
          <w:trHeight w:val="283" w:hRule="exact"/>
        </w:trPr>
        <w:tc>
          <w:tcPr>
            <w:tcW w:w="19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1</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2,515,235</w:t>
            </w:r>
          </w:p>
        </w:tc>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2,515,235</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100</w:t>
            </w:r>
          </w:p>
        </w:tc>
        <w:tc>
          <w:tcPr>
            <w:tcW w:w="2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 w:right="0"/>
              <w:jc w:val="center"/>
              <w:rPr>
                <w:rFonts w:ascii="宋体" w:hAnsi="宋体" w:cs="宋体" w:eastAsia="宋体" w:hint="default"/>
                <w:sz w:val="21"/>
                <w:szCs w:val="21"/>
              </w:rPr>
            </w:pPr>
            <w:r>
              <w:rPr>
                <w:rFonts w:ascii="宋体" w:hAnsi="宋体" w:cs="宋体" w:eastAsia="宋体" w:hint="default"/>
                <w:sz w:val="21"/>
                <w:szCs w:val="21"/>
              </w:rPr>
              <w:t>预计无法收回</w:t>
            </w:r>
          </w:p>
        </w:tc>
      </w:tr>
      <w:tr>
        <w:trPr>
          <w:trHeight w:val="281" w:hRule="exact"/>
        </w:trPr>
        <w:tc>
          <w:tcPr>
            <w:tcW w:w="1927"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1724"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207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92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2,515,235</w:t>
            </w:r>
          </w:p>
        </w:tc>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2,515,235</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w:t>
            </w:r>
          </w:p>
        </w:tc>
        <w:tc>
          <w:tcPr>
            <w:tcW w:w="20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center"/>
              <w:rPr>
                <w:rFonts w:ascii="宋体" w:hAnsi="宋体" w:cs="宋体" w:eastAsia="宋体" w:hint="default"/>
                <w:sz w:val="21"/>
                <w:szCs w:val="21"/>
              </w:rPr>
            </w:pPr>
            <w:r>
              <w:rPr>
                <w:rFonts w:ascii="宋体"/>
                <w:w w:val="100"/>
                <w:sz w:val="21"/>
              </w:rPr>
              <w:t>/</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type w:val="continuous"/>
          <w:pgSz w:w="11910" w:h="16840"/>
          <w:pgMar w:top="1320" w:bottom="1380" w:left="380" w:right="300"/>
        </w:sectPr>
      </w:pPr>
    </w:p>
    <w:p>
      <w:pPr>
        <w:pStyle w:val="BodyText"/>
        <w:spacing w:line="274" w:lineRule="exact" w:before="36"/>
        <w:ind w:left="1418" w:right="0"/>
        <w:jc w:val="left"/>
      </w:pPr>
      <w:r>
        <w:rPr>
          <w:spacing w:val="-2"/>
        </w:rPr>
        <w:t>组合中，按账龄分析法计提坏账准备的其他应收款：</w:t>
      </w:r>
    </w:p>
    <w:p>
      <w:pPr>
        <w:pStyle w:val="BodyText"/>
        <w:spacing w:line="274" w:lineRule="exact"/>
        <w:ind w:left="1418" w:right="0"/>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5"/>
        <w:rPr>
          <w:rFonts w:ascii="宋体" w:hAnsi="宋体" w:cs="宋体" w:eastAsia="宋体" w:hint="default"/>
          <w:sz w:val="24"/>
          <w:szCs w:val="24"/>
        </w:rPr>
      </w:pPr>
    </w:p>
    <w:p>
      <w:pPr>
        <w:pStyle w:val="BodyText"/>
        <w:tabs>
          <w:tab w:pos="2469" w:val="left" w:leader="none"/>
        </w:tabs>
        <w:spacing w:line="240" w:lineRule="auto"/>
        <w:ind w:left="1418" w:right="0"/>
        <w:jc w:val="left"/>
      </w:pPr>
      <w:r>
        <w:rPr>
          <w:spacing w:val="-1"/>
        </w:rPr>
        <w:t>单位：元</w:t>
        <w:tab/>
      </w:r>
      <w:r>
        <w:rPr>
          <w:spacing w:val="-2"/>
        </w:rPr>
        <w:t>币种：人民币</w:t>
      </w:r>
    </w:p>
    <w:p>
      <w:pPr>
        <w:spacing w:after="0" w:line="240" w:lineRule="auto"/>
        <w:jc w:val="left"/>
        <w:sectPr>
          <w:type w:val="continuous"/>
          <w:pgSz w:w="11910" w:h="16840"/>
          <w:pgMar w:top="1320" w:bottom="1380" w:left="380" w:right="300"/>
          <w:cols w:num="2" w:equalWidth="0">
            <w:col w:w="6253" w:space="269"/>
            <w:col w:w="4708"/>
          </w:cols>
        </w:sectPr>
      </w:pPr>
    </w:p>
    <w:p>
      <w:pPr>
        <w:spacing w:line="240" w:lineRule="auto" w:before="7"/>
        <w:rPr>
          <w:rFonts w:ascii="宋体" w:hAnsi="宋体" w:cs="宋体" w:eastAsia="宋体" w:hint="default"/>
          <w:sz w:val="2"/>
          <w:szCs w:val="2"/>
        </w:rPr>
      </w:pPr>
    </w:p>
    <w:tbl>
      <w:tblPr>
        <w:tblW w:w="0" w:type="auto"/>
        <w:jc w:val="left"/>
        <w:tblInd w:w="1382" w:type="dxa"/>
        <w:tblLayout w:type="fixed"/>
        <w:tblCellMar>
          <w:top w:w="0" w:type="dxa"/>
          <w:left w:w="0" w:type="dxa"/>
          <w:bottom w:w="0" w:type="dxa"/>
          <w:right w:w="0" w:type="dxa"/>
        </w:tblCellMar>
        <w:tblLook w:val="01E0"/>
      </w:tblPr>
      <w:tblGrid>
        <w:gridCol w:w="2374"/>
        <w:gridCol w:w="2203"/>
        <w:gridCol w:w="2131"/>
        <w:gridCol w:w="2187"/>
      </w:tblGrid>
      <w:tr>
        <w:trPr>
          <w:trHeight w:val="281" w:hRule="exact"/>
        </w:trPr>
        <w:tc>
          <w:tcPr>
            <w:tcW w:w="2374"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652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284" w:hRule="exact"/>
        </w:trPr>
        <w:tc>
          <w:tcPr>
            <w:tcW w:w="2374" w:type="dxa"/>
            <w:vMerge/>
            <w:tcBorders>
              <w:left w:val="single" w:sz="4" w:space="0" w:color="000000"/>
              <w:bottom w:val="single" w:sz="4" w:space="0" w:color="000000"/>
              <w:right w:val="single" w:sz="4" w:space="0" w:color="000000"/>
            </w:tcBorders>
          </w:tcPr>
          <w:p>
            <w:pP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71"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38"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1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03" w:right="0"/>
              <w:jc w:val="left"/>
              <w:rPr>
                <w:rFonts w:ascii="宋体" w:hAnsi="宋体" w:cs="宋体" w:eastAsia="宋体" w:hint="default"/>
                <w:sz w:val="21"/>
                <w:szCs w:val="21"/>
              </w:rPr>
            </w:pPr>
            <w:r>
              <w:rPr>
                <w:rFonts w:ascii="宋体" w:hAnsi="宋体" w:cs="宋体" w:eastAsia="宋体" w:hint="default"/>
                <w:sz w:val="21"/>
                <w:szCs w:val="21"/>
              </w:rPr>
              <w:t>计提比例（</w:t>
            </w:r>
            <w:r>
              <w:rPr>
                <w:rFonts w:ascii="宋体" w:hAnsi="宋体" w:cs="宋体" w:eastAsia="宋体" w:hint="default"/>
                <w:sz w:val="21"/>
                <w:szCs w:val="21"/>
              </w:rPr>
              <w:t>%</w:t>
            </w:r>
            <w:r>
              <w:rPr>
                <w:rFonts w:ascii="宋体" w:hAnsi="宋体" w:cs="宋体" w:eastAsia="宋体" w:hint="default"/>
                <w:sz w:val="21"/>
                <w:szCs w:val="21"/>
              </w:rPr>
              <w:t>）</w:t>
            </w:r>
          </w:p>
        </w:tc>
      </w:tr>
      <w:tr>
        <w:trPr>
          <w:trHeight w:val="283" w:hRule="exact"/>
        </w:trPr>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6522" w:type="dxa"/>
            <w:gridSpan w:val="3"/>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320" w:bottom="1380" w:left="380" w:right="300"/>
        </w:sectPr>
      </w:pPr>
    </w:p>
    <w:p>
      <w:pPr>
        <w:spacing w:line="240" w:lineRule="auto" w:before="6"/>
        <w:rPr>
          <w:rFonts w:ascii="宋体" w:hAnsi="宋体" w:cs="宋体" w:eastAsia="宋体" w:hint="default"/>
          <w:sz w:val="14"/>
          <w:szCs w:val="14"/>
        </w:rPr>
      </w:pPr>
    </w:p>
    <w:tbl>
      <w:tblPr>
        <w:tblW w:w="0" w:type="auto"/>
        <w:jc w:val="left"/>
        <w:tblInd w:w="182" w:type="dxa"/>
        <w:tblLayout w:type="fixed"/>
        <w:tblCellMar>
          <w:top w:w="0" w:type="dxa"/>
          <w:left w:w="0" w:type="dxa"/>
          <w:bottom w:w="0" w:type="dxa"/>
          <w:right w:w="0" w:type="dxa"/>
        </w:tblCellMar>
        <w:tblLook w:val="01E0"/>
      </w:tblPr>
      <w:tblGrid>
        <w:gridCol w:w="2374"/>
        <w:gridCol w:w="2203"/>
        <w:gridCol w:w="2131"/>
        <w:gridCol w:w="2187"/>
      </w:tblGrid>
      <w:tr>
        <w:trPr>
          <w:trHeight w:val="284" w:hRule="exact"/>
        </w:trPr>
        <w:tc>
          <w:tcPr>
            <w:tcW w:w="8896" w:type="dxa"/>
            <w:gridSpan w:val="4"/>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26"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年以内分项</w:t>
            </w:r>
          </w:p>
        </w:tc>
      </w:tr>
      <w:tr>
        <w:trPr>
          <w:trHeight w:val="283" w:hRule="exact"/>
        </w:trPr>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0-12</w:t>
            </w:r>
            <w:r>
              <w:rPr>
                <w:rFonts w:ascii="宋体" w:hAnsi="宋体" w:cs="宋体" w:eastAsia="宋体" w:hint="default"/>
                <w:spacing w:val="-52"/>
                <w:sz w:val="21"/>
                <w:szCs w:val="21"/>
              </w:rPr>
              <w:t> </w:t>
            </w:r>
            <w:r>
              <w:rPr>
                <w:rFonts w:ascii="宋体" w:hAnsi="宋体" w:cs="宋体" w:eastAsia="宋体" w:hint="default"/>
                <w:sz w:val="21"/>
                <w:szCs w:val="21"/>
              </w:rPr>
              <w:t>个月</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181,701,646</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right"/>
              <w:rPr>
                <w:rFonts w:ascii="宋体" w:hAnsi="宋体" w:cs="宋体" w:eastAsia="宋体" w:hint="default"/>
                <w:sz w:val="21"/>
                <w:szCs w:val="21"/>
              </w:rPr>
            </w:pPr>
            <w:r>
              <w:rPr>
                <w:rFonts w:ascii="宋体"/>
                <w:w w:val="100"/>
                <w:sz w:val="21"/>
              </w:rPr>
              <w:t>-</w:t>
            </w:r>
          </w:p>
        </w:tc>
        <w:tc>
          <w:tcPr>
            <w:tcW w:w="21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w w:val="100"/>
                <w:sz w:val="21"/>
              </w:rPr>
              <w:t>-</w:t>
            </w:r>
          </w:p>
        </w:tc>
      </w:tr>
      <w:tr>
        <w:trPr>
          <w:trHeight w:val="281" w:hRule="exact"/>
        </w:trPr>
        <w:tc>
          <w:tcPr>
            <w:tcW w:w="2374" w:type="dxa"/>
            <w:tcBorders>
              <w:top w:val="single" w:sz="4" w:space="0" w:color="000000"/>
              <w:left w:val="single" w:sz="4" w:space="0" w:color="000000"/>
              <w:bottom w:val="single" w:sz="4" w:space="0" w:color="000000"/>
              <w:right w:val="single" w:sz="4" w:space="0" w:color="000000"/>
            </w:tcBorders>
          </w:tcPr>
          <w:p>
            <w:pPr/>
          </w:p>
        </w:tc>
        <w:tc>
          <w:tcPr>
            <w:tcW w:w="2203" w:type="dxa"/>
            <w:tcBorders>
              <w:top w:val="single" w:sz="4" w:space="0" w:color="000000"/>
              <w:left w:val="single" w:sz="4" w:space="0" w:color="000000"/>
              <w:bottom w:val="single" w:sz="4" w:space="0" w:color="000000"/>
              <w:right w:val="single" w:sz="4" w:space="0" w:color="000000"/>
            </w:tcBorders>
          </w:tcPr>
          <w:p>
            <w:pPr/>
          </w:p>
        </w:tc>
        <w:tc>
          <w:tcPr>
            <w:tcW w:w="2131" w:type="dxa"/>
            <w:tcBorders>
              <w:top w:val="single" w:sz="4" w:space="0" w:color="000000"/>
              <w:left w:val="single" w:sz="4" w:space="0" w:color="000000"/>
              <w:bottom w:val="single" w:sz="4" w:space="0" w:color="000000"/>
              <w:right w:val="single" w:sz="4" w:space="0" w:color="000000"/>
            </w:tcBorders>
          </w:tcPr>
          <w:p>
            <w:pPr/>
          </w:p>
        </w:tc>
        <w:tc>
          <w:tcPr>
            <w:tcW w:w="218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年以内小计</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181,701,646</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6"/>
              <w:jc w:val="right"/>
              <w:rPr>
                <w:rFonts w:ascii="宋体" w:hAnsi="宋体" w:cs="宋体" w:eastAsia="宋体" w:hint="default"/>
                <w:sz w:val="21"/>
                <w:szCs w:val="21"/>
              </w:rPr>
            </w:pPr>
            <w:r>
              <w:rPr>
                <w:rFonts w:ascii="宋体"/>
                <w:w w:val="100"/>
                <w:sz w:val="21"/>
              </w:rPr>
              <w:t>-</w:t>
            </w:r>
          </w:p>
        </w:tc>
        <w:tc>
          <w:tcPr>
            <w:tcW w:w="218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4"/>
              <w:jc w:val="right"/>
              <w:rPr>
                <w:rFonts w:ascii="宋体" w:hAnsi="宋体" w:cs="宋体" w:eastAsia="宋体" w:hint="default"/>
                <w:sz w:val="21"/>
                <w:szCs w:val="21"/>
              </w:rPr>
            </w:pPr>
            <w:r>
              <w:rPr>
                <w:rFonts w:ascii="宋体"/>
                <w:w w:val="100"/>
                <w:sz w:val="21"/>
              </w:rPr>
              <w:t>-</w:t>
            </w:r>
          </w:p>
        </w:tc>
      </w:tr>
      <w:tr>
        <w:trPr>
          <w:trHeight w:val="283" w:hRule="exact"/>
        </w:trPr>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40,784,255</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spacing w:val="-1"/>
                <w:sz w:val="21"/>
              </w:rPr>
              <w:t>4,078,426</w:t>
            </w:r>
          </w:p>
        </w:tc>
        <w:tc>
          <w:tcPr>
            <w:tcW w:w="21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sz w:val="21"/>
              </w:rPr>
              <w:t>10</w:t>
            </w:r>
          </w:p>
        </w:tc>
      </w:tr>
      <w:tr>
        <w:trPr>
          <w:trHeight w:val="281" w:hRule="exact"/>
        </w:trPr>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9,872,909</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spacing w:val="-1"/>
                <w:sz w:val="21"/>
              </w:rPr>
              <w:t>1,974,581</w:t>
            </w:r>
          </w:p>
        </w:tc>
        <w:tc>
          <w:tcPr>
            <w:tcW w:w="21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sz w:val="21"/>
              </w:rPr>
              <w:t>20</w:t>
            </w:r>
          </w:p>
        </w:tc>
      </w:tr>
      <w:tr>
        <w:trPr>
          <w:trHeight w:val="283" w:hRule="exact"/>
        </w:trPr>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203" w:type="dxa"/>
            <w:tcBorders>
              <w:top w:val="single" w:sz="4" w:space="0" w:color="000000"/>
              <w:left w:val="single" w:sz="4" w:space="0" w:color="000000"/>
              <w:bottom w:val="single" w:sz="4" w:space="0" w:color="000000"/>
              <w:right w:val="single" w:sz="4" w:space="0" w:color="000000"/>
            </w:tcBorders>
          </w:tcPr>
          <w:p>
            <w:pPr/>
          </w:p>
        </w:tc>
        <w:tc>
          <w:tcPr>
            <w:tcW w:w="2131" w:type="dxa"/>
            <w:tcBorders>
              <w:top w:val="single" w:sz="4" w:space="0" w:color="000000"/>
              <w:left w:val="single" w:sz="4" w:space="0" w:color="000000"/>
              <w:bottom w:val="single" w:sz="4" w:space="0" w:color="000000"/>
              <w:right w:val="single" w:sz="4" w:space="0" w:color="000000"/>
            </w:tcBorders>
          </w:tcPr>
          <w:p>
            <w:pPr/>
          </w:p>
        </w:tc>
        <w:tc>
          <w:tcPr>
            <w:tcW w:w="218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11,458,499</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spacing w:val="-1"/>
                <w:sz w:val="21"/>
              </w:rPr>
              <w:t>4,583,400</w:t>
            </w:r>
          </w:p>
        </w:tc>
        <w:tc>
          <w:tcPr>
            <w:tcW w:w="21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sz w:val="21"/>
              </w:rPr>
              <w:t>40</w:t>
            </w:r>
          </w:p>
        </w:tc>
      </w:tr>
      <w:tr>
        <w:trPr>
          <w:trHeight w:val="281" w:hRule="exact"/>
        </w:trPr>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7,785,301</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spacing w:val="-1"/>
                <w:sz w:val="21"/>
              </w:rPr>
              <w:t>3,892,650</w:t>
            </w:r>
          </w:p>
        </w:tc>
        <w:tc>
          <w:tcPr>
            <w:tcW w:w="21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sz w:val="21"/>
              </w:rPr>
              <w:t>50</w:t>
            </w:r>
          </w:p>
        </w:tc>
      </w:tr>
      <w:tr>
        <w:trPr>
          <w:trHeight w:val="283" w:hRule="exact"/>
        </w:trPr>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7,963,582</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spacing w:val="-1"/>
                <w:sz w:val="21"/>
              </w:rPr>
              <w:t>7,963,582</w:t>
            </w:r>
          </w:p>
        </w:tc>
        <w:tc>
          <w:tcPr>
            <w:tcW w:w="21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sz w:val="21"/>
              </w:rPr>
              <w:t>100</w:t>
            </w:r>
          </w:p>
        </w:tc>
      </w:tr>
      <w:tr>
        <w:trPr>
          <w:trHeight w:val="281" w:hRule="exact"/>
        </w:trPr>
        <w:tc>
          <w:tcPr>
            <w:tcW w:w="2374" w:type="dxa"/>
            <w:tcBorders>
              <w:top w:val="single" w:sz="4" w:space="0" w:color="000000"/>
              <w:left w:val="single" w:sz="4" w:space="0" w:color="000000"/>
              <w:bottom w:val="single" w:sz="4" w:space="0" w:color="000000"/>
              <w:right w:val="single" w:sz="4" w:space="0" w:color="000000"/>
            </w:tcBorders>
          </w:tcPr>
          <w:p>
            <w:pPr/>
          </w:p>
        </w:tc>
        <w:tc>
          <w:tcPr>
            <w:tcW w:w="2203" w:type="dxa"/>
            <w:tcBorders>
              <w:top w:val="single" w:sz="4" w:space="0" w:color="000000"/>
              <w:left w:val="single" w:sz="4" w:space="0" w:color="000000"/>
              <w:bottom w:val="single" w:sz="4" w:space="0" w:color="000000"/>
              <w:right w:val="single" w:sz="4" w:space="0" w:color="000000"/>
            </w:tcBorders>
          </w:tcPr>
          <w:p>
            <w:pPr/>
          </w:p>
        </w:tc>
        <w:tc>
          <w:tcPr>
            <w:tcW w:w="2131" w:type="dxa"/>
            <w:tcBorders>
              <w:top w:val="single" w:sz="4" w:space="0" w:color="000000"/>
              <w:left w:val="single" w:sz="4" w:space="0" w:color="000000"/>
              <w:bottom w:val="single" w:sz="4" w:space="0" w:color="000000"/>
              <w:right w:val="single" w:sz="4" w:space="0" w:color="000000"/>
            </w:tcBorders>
          </w:tcPr>
          <w:p>
            <w:pPr/>
          </w:p>
        </w:tc>
        <w:tc>
          <w:tcPr>
            <w:tcW w:w="2187"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2374" w:type="dxa"/>
            <w:tcBorders>
              <w:top w:val="single" w:sz="4" w:space="0" w:color="000000"/>
              <w:left w:val="single" w:sz="4" w:space="0" w:color="000000"/>
              <w:bottom w:val="single" w:sz="4" w:space="0" w:color="000000"/>
              <w:right w:val="single" w:sz="4" w:space="0" w:color="000000"/>
            </w:tcBorders>
          </w:tcPr>
          <w:p>
            <w:pPr/>
          </w:p>
        </w:tc>
        <w:tc>
          <w:tcPr>
            <w:tcW w:w="2203" w:type="dxa"/>
            <w:tcBorders>
              <w:top w:val="single" w:sz="4" w:space="0" w:color="000000"/>
              <w:left w:val="single" w:sz="4" w:space="0" w:color="000000"/>
              <w:bottom w:val="single" w:sz="4" w:space="0" w:color="000000"/>
              <w:right w:val="single" w:sz="4" w:space="0" w:color="000000"/>
            </w:tcBorders>
          </w:tcPr>
          <w:p>
            <w:pPr/>
          </w:p>
        </w:tc>
        <w:tc>
          <w:tcPr>
            <w:tcW w:w="2131" w:type="dxa"/>
            <w:tcBorders>
              <w:top w:val="single" w:sz="4" w:space="0" w:color="000000"/>
              <w:left w:val="single" w:sz="4" w:space="0" w:color="000000"/>
              <w:bottom w:val="single" w:sz="4" w:space="0" w:color="000000"/>
              <w:right w:val="single" w:sz="4" w:space="0" w:color="000000"/>
            </w:tcBorders>
          </w:tcPr>
          <w:p>
            <w:pPr/>
          </w:p>
        </w:tc>
        <w:tc>
          <w:tcPr>
            <w:tcW w:w="218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259,566,192</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spacing w:val="-1"/>
                <w:sz w:val="21"/>
              </w:rPr>
              <w:t>22,492,639</w:t>
            </w:r>
          </w:p>
        </w:tc>
        <w:tc>
          <w:tcPr>
            <w:tcW w:w="2187"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BodyText"/>
        <w:spacing w:line="273" w:lineRule="exact" w:before="36"/>
        <w:ind w:right="99"/>
        <w:jc w:val="left"/>
      </w:pPr>
      <w:r>
        <w:rPr/>
        <w:t>组合中，采用余额百分比法计提坏账准备的其他应收款：</w:t>
      </w:r>
    </w:p>
    <w:p>
      <w:pPr>
        <w:pStyle w:val="BodyText"/>
        <w:spacing w:line="273" w:lineRule="exact"/>
        <w:ind w:right="99"/>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BodyText"/>
        <w:spacing w:line="273" w:lineRule="exact"/>
        <w:ind w:right="99"/>
        <w:jc w:val="left"/>
      </w:pPr>
      <w:r>
        <w:rPr/>
        <w:t>组合中，采用其他方法计提坏账准备的其他应收款：</w:t>
      </w:r>
    </w:p>
    <w:p>
      <w:pPr>
        <w:pStyle w:val="BodyText"/>
        <w:spacing w:line="273" w:lineRule="exact"/>
        <w:ind w:right="99"/>
        <w:jc w:val="left"/>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right="99"/>
        <w:jc w:val="left"/>
        <w:rPr>
          <w:b w:val="0"/>
          <w:bCs w:val="0"/>
        </w:rPr>
      </w:pPr>
      <w:r>
        <w:rPr>
          <w:rFonts w:ascii="宋体" w:hAnsi="宋体" w:cs="宋体" w:eastAsia="宋体" w:hint="default"/>
        </w:rPr>
        <w:t>(2).</w:t>
      </w:r>
      <w:r>
        <w:rPr>
          <w:rFonts w:ascii="宋体" w:hAnsi="宋体" w:cs="宋体" w:eastAsia="宋体" w:hint="default"/>
          <w:spacing w:val="58"/>
        </w:rPr>
        <w:t> </w:t>
      </w:r>
      <w:r>
        <w:rPr/>
        <w:t>本期计提、收回或转回的坏账准备情况：</w:t>
      </w:r>
      <w:r>
        <w:rPr>
          <w:b w:val="0"/>
          <w:bCs w:val="0"/>
        </w:rPr>
      </w:r>
    </w:p>
    <w:p>
      <w:pPr>
        <w:pStyle w:val="BodyText"/>
        <w:spacing w:line="272" w:lineRule="exact" w:before="87"/>
        <w:ind w:right="1189"/>
        <w:jc w:val="left"/>
      </w:pPr>
      <w:r>
        <w:rPr/>
        <w:t>本期计提坏账准备金额</w:t>
      </w:r>
      <w:r>
        <w:rPr>
          <w:spacing w:val="-54"/>
        </w:rPr>
        <w:t> </w:t>
      </w:r>
      <w:r>
        <w:rPr>
          <w:rFonts w:ascii="宋体" w:hAnsi="宋体" w:cs="宋体" w:eastAsia="宋体" w:hint="default"/>
        </w:rPr>
        <w:t>15,999,762</w:t>
      </w:r>
      <w:r>
        <w:rPr>
          <w:rFonts w:ascii="宋体" w:hAnsi="宋体" w:cs="宋体" w:eastAsia="宋体" w:hint="default"/>
          <w:spacing w:val="-57"/>
        </w:rPr>
        <w:t> </w:t>
      </w:r>
      <w:r>
        <w:rPr/>
        <w:t>元；本期收回或转回坏账准备金额</w:t>
      </w:r>
      <w:r>
        <w:rPr>
          <w:spacing w:val="-55"/>
        </w:rPr>
        <w:t> </w:t>
      </w:r>
      <w:r>
        <w:rPr>
          <w:rFonts w:ascii="宋体" w:hAnsi="宋体" w:cs="宋体" w:eastAsia="宋体" w:hint="default"/>
        </w:rPr>
        <w:t>2,919,779</w:t>
      </w:r>
      <w:r>
        <w:rPr>
          <w:rFonts w:ascii="宋体" w:hAnsi="宋体" w:cs="宋体" w:eastAsia="宋体" w:hint="default"/>
          <w:spacing w:val="-54"/>
        </w:rPr>
        <w:t> </w:t>
      </w:r>
      <w:r>
        <w:rPr>
          <w:spacing w:val="-3"/>
        </w:rPr>
        <w:t>元。</w:t>
      </w:r>
      <w:r>
        <w:rPr>
          <w:spacing w:val="-3"/>
          <w:w w:val="100"/>
        </w:rPr>
        <w:t> </w:t>
      </w:r>
      <w:r>
        <w:rPr/>
        <w:t>其中本期坏账准备转回或收回金额重要的：</w:t>
      </w:r>
    </w:p>
    <w:p>
      <w:pPr>
        <w:pStyle w:val="BodyText"/>
        <w:spacing w:line="249" w:lineRule="exact"/>
        <w:ind w:right="99"/>
        <w:jc w:val="left"/>
      </w:pPr>
      <w:r>
        <w:rPr/>
        <w:t>□适用</w:t>
      </w:r>
      <w:r>
        <w:rPr>
          <w:spacing w:val="-1"/>
        </w:rPr>
        <w:t> </w:t>
      </w:r>
      <w:r>
        <w:rPr/>
        <w:t>√不适用</w:t>
      </w:r>
    </w:p>
    <w:p>
      <w:pPr>
        <w:pStyle w:val="Heading3"/>
        <w:spacing w:line="240" w:lineRule="auto" w:before="56"/>
        <w:ind w:right="99"/>
        <w:jc w:val="left"/>
        <w:rPr>
          <w:b w:val="0"/>
          <w:bCs w:val="0"/>
        </w:rPr>
      </w:pPr>
      <w:r>
        <w:rPr>
          <w:rFonts w:ascii="宋体" w:hAnsi="宋体" w:cs="宋体" w:eastAsia="宋体" w:hint="default"/>
        </w:rPr>
        <w:t>(3).</w:t>
      </w:r>
      <w:r>
        <w:rPr>
          <w:rFonts w:ascii="宋体" w:hAnsi="宋体" w:cs="宋体" w:eastAsia="宋体" w:hint="default"/>
          <w:spacing w:val="57"/>
        </w:rPr>
        <w:t> </w:t>
      </w:r>
      <w:r>
        <w:rPr/>
        <w:t>本期实际核销的其他应收款情况</w:t>
      </w:r>
      <w:r>
        <w:rPr>
          <w:b w:val="0"/>
          <w:bCs w:val="0"/>
        </w:rPr>
      </w:r>
    </w:p>
    <w:p>
      <w:pPr>
        <w:pStyle w:val="BodyText"/>
        <w:spacing w:line="240" w:lineRule="auto" w:before="58"/>
        <w:ind w:right="99"/>
        <w:jc w:val="left"/>
      </w:pPr>
      <w:r>
        <w:rPr/>
        <w:t>√适用</w:t>
      </w:r>
      <w:r>
        <w:rPr>
          <w:spacing w:val="-1"/>
        </w:rPr>
        <w:t> </w:t>
      </w:r>
      <w:r>
        <w:rPr/>
        <w:t>□不适用</w:t>
      </w:r>
    </w:p>
    <w:p>
      <w:pPr>
        <w:pStyle w:val="BodyText"/>
        <w:tabs>
          <w:tab w:pos="1051" w:val="left" w:leader="none"/>
        </w:tabs>
        <w:spacing w:line="271" w:lineRule="exact"/>
        <w:ind w:left="0" w:right="230"/>
        <w:jc w:val="right"/>
      </w:pPr>
      <w:r>
        <w:rPr>
          <w:spacing w:val="-1"/>
        </w:rPr>
        <w:t>单位：元</w:t>
        <w:tab/>
      </w:r>
      <w:r>
        <w:rPr>
          <w:spacing w:val="-2"/>
        </w:rPr>
        <w:t>币种：人民币</w:t>
      </w:r>
    </w:p>
    <w:p>
      <w:pPr>
        <w:spacing w:line="240" w:lineRule="auto" w:before="7"/>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4431"/>
        <w:gridCol w:w="4465"/>
      </w:tblGrid>
      <w:tr>
        <w:trPr>
          <w:trHeight w:val="281" w:hRule="exact"/>
        </w:trPr>
        <w:tc>
          <w:tcPr>
            <w:tcW w:w="44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0"/>
              <w:jc w:val="center"/>
              <w:rPr>
                <w:rFonts w:ascii="宋体" w:hAnsi="宋体" w:cs="宋体" w:eastAsia="宋体" w:hint="default"/>
                <w:sz w:val="21"/>
                <w:szCs w:val="21"/>
              </w:rPr>
            </w:pPr>
            <w:r>
              <w:rPr>
                <w:rFonts w:ascii="宋体" w:hAnsi="宋体" w:cs="宋体" w:eastAsia="宋体" w:hint="default"/>
                <w:sz w:val="21"/>
                <w:szCs w:val="21"/>
              </w:rPr>
              <w:t>项目</w:t>
            </w:r>
          </w:p>
        </w:tc>
        <w:tc>
          <w:tcPr>
            <w:tcW w:w="44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67"/>
              <w:jc w:val="center"/>
              <w:rPr>
                <w:rFonts w:ascii="宋体" w:hAnsi="宋体" w:cs="宋体" w:eastAsia="宋体" w:hint="default"/>
                <w:sz w:val="21"/>
                <w:szCs w:val="21"/>
              </w:rPr>
            </w:pPr>
            <w:r>
              <w:rPr>
                <w:rFonts w:ascii="宋体" w:hAnsi="宋体" w:cs="宋体" w:eastAsia="宋体" w:hint="default"/>
                <w:sz w:val="21"/>
                <w:szCs w:val="21"/>
              </w:rPr>
              <w:t>核销金额</w:t>
            </w:r>
          </w:p>
        </w:tc>
      </w:tr>
      <w:tr>
        <w:trPr>
          <w:trHeight w:val="283" w:hRule="exact"/>
        </w:trPr>
        <w:tc>
          <w:tcPr>
            <w:tcW w:w="44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实际核销的其他应收款</w:t>
            </w:r>
          </w:p>
        </w:tc>
        <w:tc>
          <w:tcPr>
            <w:tcW w:w="44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5"/>
              <w:jc w:val="right"/>
              <w:rPr>
                <w:rFonts w:ascii="宋体" w:hAnsi="宋体" w:cs="宋体" w:eastAsia="宋体" w:hint="default"/>
                <w:sz w:val="21"/>
                <w:szCs w:val="21"/>
              </w:rPr>
            </w:pPr>
            <w:r>
              <w:rPr>
                <w:rFonts w:ascii="宋体"/>
                <w:sz w:val="21"/>
              </w:rPr>
              <w:t>77,138</w:t>
            </w:r>
          </w:p>
        </w:tc>
      </w:tr>
    </w:tbl>
    <w:p>
      <w:pPr>
        <w:spacing w:line="240" w:lineRule="auto" w:before="7"/>
        <w:rPr>
          <w:rFonts w:ascii="宋体" w:hAnsi="宋体" w:cs="宋体" w:eastAsia="宋体" w:hint="default"/>
          <w:sz w:val="15"/>
          <w:szCs w:val="15"/>
        </w:rPr>
      </w:pPr>
    </w:p>
    <w:p>
      <w:pPr>
        <w:pStyle w:val="BodyText"/>
        <w:spacing w:line="273" w:lineRule="exact" w:before="36"/>
        <w:ind w:right="99"/>
        <w:jc w:val="left"/>
      </w:pPr>
      <w:r>
        <w:rPr/>
        <w:t>其中重要的其他应收款核销情况：</w:t>
      </w:r>
    </w:p>
    <w:p>
      <w:pPr>
        <w:pStyle w:val="BodyText"/>
        <w:spacing w:line="272" w:lineRule="exact" w:before="26"/>
        <w:ind w:right="6820"/>
        <w:jc w:val="left"/>
      </w:pPr>
      <w:r>
        <w:rPr/>
        <w:t>□适用</w:t>
      </w:r>
      <w:r>
        <w:rPr>
          <w:spacing w:val="-2"/>
        </w:rPr>
        <w:t> </w:t>
      </w:r>
      <w:r>
        <w:rPr/>
        <w:t>√不适用</w:t>
      </w:r>
      <w:r>
        <w:rPr>
          <w:w w:val="100"/>
        </w:rPr>
        <w:t> </w:t>
      </w:r>
      <w:r>
        <w:rPr>
          <w:spacing w:val="-2"/>
        </w:rPr>
        <w:t>其他应收款核销说明：</w:t>
      </w:r>
    </w:p>
    <w:p>
      <w:pPr>
        <w:pStyle w:val="BodyText"/>
        <w:spacing w:line="249" w:lineRule="exact"/>
        <w:ind w:right="99"/>
        <w:jc w:val="left"/>
      </w:pPr>
      <w:r>
        <w:rPr/>
        <w:t>□适用</w:t>
      </w:r>
      <w:r>
        <w:rPr>
          <w:spacing w:val="-1"/>
        </w:rPr>
        <w:t> </w:t>
      </w:r>
      <w:r>
        <w:rPr/>
        <w:t>√不适用</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57" w:footer="1195" w:top="1320" w:bottom="1380" w:left="1580" w:right="1040"/>
        </w:sectPr>
      </w:pPr>
    </w:p>
    <w:p>
      <w:pPr>
        <w:pStyle w:val="Heading3"/>
        <w:spacing w:line="240" w:lineRule="auto" w:before="36"/>
        <w:ind w:right="-18"/>
        <w:jc w:val="left"/>
        <w:rPr>
          <w:b w:val="0"/>
          <w:bCs w:val="0"/>
        </w:rPr>
      </w:pPr>
      <w:r>
        <w:rPr>
          <w:rFonts w:ascii="宋体" w:hAnsi="宋体" w:cs="宋体" w:eastAsia="宋体" w:hint="default"/>
        </w:rPr>
        <w:t>(4).</w:t>
      </w:r>
      <w:r>
        <w:rPr>
          <w:rFonts w:ascii="宋体" w:hAnsi="宋体" w:cs="宋体" w:eastAsia="宋体" w:hint="default"/>
          <w:spacing w:val="57"/>
        </w:rPr>
        <w:t> </w:t>
      </w:r>
      <w:r>
        <w:rPr/>
        <w:t>其他应收款按款项性质分类情况</w:t>
      </w:r>
      <w:r>
        <w:rPr>
          <w:b w:val="0"/>
          <w:bCs w:val="0"/>
        </w:rPr>
      </w:r>
    </w:p>
    <w:p>
      <w:pPr>
        <w:pStyle w:val="BodyText"/>
        <w:spacing w:line="240" w:lineRule="auto" w:before="56"/>
        <w:ind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tabs>
          <w:tab w:pos="1269" w:val="left" w:leader="none"/>
        </w:tabs>
        <w:spacing w:line="240" w:lineRule="auto"/>
        <w:ind w:right="0"/>
        <w:jc w:val="left"/>
      </w:pPr>
      <w:r>
        <w:rPr>
          <w:spacing w:val="-1"/>
        </w:rPr>
        <w:t>单位：元</w:t>
        <w:tab/>
      </w:r>
      <w:r>
        <w:rPr>
          <w:spacing w:val="-2"/>
        </w:rPr>
        <w:t>币种：人民币</w:t>
      </w:r>
    </w:p>
    <w:p>
      <w:pPr>
        <w:spacing w:after="0" w:line="240" w:lineRule="auto"/>
        <w:jc w:val="left"/>
        <w:sectPr>
          <w:type w:val="continuous"/>
          <w:pgSz w:w="11910" w:h="16840"/>
          <w:pgMar w:top="1320" w:bottom="1380" w:left="1580" w:right="1040"/>
          <w:cols w:num="2" w:equalWidth="0">
            <w:col w:w="3759" w:space="2753"/>
            <w:col w:w="2778"/>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077"/>
        <w:gridCol w:w="2981"/>
        <w:gridCol w:w="2991"/>
      </w:tblGrid>
      <w:tr>
        <w:trPr>
          <w:trHeight w:val="283" w:hRule="exact"/>
        </w:trPr>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款项性质</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51" w:right="0"/>
              <w:jc w:val="left"/>
              <w:rPr>
                <w:rFonts w:ascii="宋体" w:hAnsi="宋体" w:cs="宋体" w:eastAsia="宋体" w:hint="default"/>
                <w:sz w:val="21"/>
                <w:szCs w:val="21"/>
              </w:rPr>
            </w:pPr>
            <w:r>
              <w:rPr>
                <w:rFonts w:ascii="宋体" w:hAnsi="宋体" w:cs="宋体" w:eastAsia="宋体" w:hint="default"/>
                <w:sz w:val="21"/>
                <w:szCs w:val="21"/>
              </w:rPr>
              <w:t>期末账面余额</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59" w:right="0"/>
              <w:jc w:val="left"/>
              <w:rPr>
                <w:rFonts w:ascii="宋体" w:hAnsi="宋体" w:cs="宋体" w:eastAsia="宋体" w:hint="default"/>
                <w:sz w:val="21"/>
                <w:szCs w:val="21"/>
              </w:rPr>
            </w:pPr>
            <w:r>
              <w:rPr>
                <w:rFonts w:ascii="宋体" w:hAnsi="宋体" w:cs="宋体" w:eastAsia="宋体" w:hint="default"/>
                <w:sz w:val="21"/>
                <w:szCs w:val="21"/>
              </w:rPr>
              <w:t>期初账面余额</w:t>
            </w:r>
          </w:p>
        </w:tc>
      </w:tr>
      <w:tr>
        <w:trPr>
          <w:trHeight w:val="283" w:hRule="exact"/>
        </w:trPr>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押金及保证金</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133,120,731</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111,296,042</w:t>
            </w:r>
          </w:p>
        </w:tc>
      </w:tr>
      <w:tr>
        <w:trPr>
          <w:trHeight w:val="281" w:hRule="exact"/>
        </w:trPr>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第三方支付平台款</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39,237,245</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w:t>
            </w:r>
          </w:p>
        </w:tc>
      </w:tr>
      <w:tr>
        <w:trPr>
          <w:trHeight w:val="283" w:hRule="exact"/>
        </w:trPr>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员工备用金</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30,953,266</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14,108,898</w:t>
            </w:r>
          </w:p>
        </w:tc>
      </w:tr>
      <w:tr>
        <w:trPr>
          <w:trHeight w:val="283" w:hRule="exact"/>
        </w:trPr>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增值税退税款</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7,544,208</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5,178,169</w:t>
            </w:r>
          </w:p>
        </w:tc>
      </w:tr>
      <w:tr>
        <w:trPr>
          <w:trHeight w:val="281" w:hRule="exact"/>
        </w:trPr>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65,749,020</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38,703,681</w:t>
            </w:r>
          </w:p>
        </w:tc>
      </w:tr>
      <w:tr>
        <w:trPr>
          <w:trHeight w:val="283" w:hRule="exact"/>
        </w:trPr>
        <w:tc>
          <w:tcPr>
            <w:tcW w:w="3077" w:type="dxa"/>
            <w:tcBorders>
              <w:top w:val="single" w:sz="4" w:space="0" w:color="000000"/>
              <w:left w:val="single" w:sz="4" w:space="0" w:color="000000"/>
              <w:bottom w:val="single" w:sz="4" w:space="0" w:color="000000"/>
              <w:right w:val="single" w:sz="4" w:space="0" w:color="000000"/>
            </w:tcBorders>
          </w:tcPr>
          <w:p>
            <w:pPr/>
          </w:p>
        </w:tc>
        <w:tc>
          <w:tcPr>
            <w:tcW w:w="2981" w:type="dxa"/>
            <w:tcBorders>
              <w:top w:val="single" w:sz="4" w:space="0" w:color="000000"/>
              <w:left w:val="single" w:sz="4" w:space="0" w:color="000000"/>
              <w:bottom w:val="single" w:sz="4" w:space="0" w:color="000000"/>
              <w:right w:val="single" w:sz="4" w:space="0" w:color="000000"/>
            </w:tcBorders>
          </w:tcPr>
          <w:p>
            <w:pPr/>
          </w:p>
        </w:tc>
        <w:tc>
          <w:tcPr>
            <w:tcW w:w="299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276,604,470</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169,286,790</w:t>
            </w:r>
          </w:p>
        </w:tc>
      </w:tr>
    </w:tbl>
    <w:p>
      <w:pPr>
        <w:spacing w:after="0" w:line="241" w:lineRule="exact"/>
        <w:jc w:val="right"/>
        <w:rPr>
          <w:rFonts w:ascii="宋体" w:hAnsi="宋体" w:cs="宋体" w:eastAsia="宋体" w:hint="default"/>
          <w:sz w:val="21"/>
          <w:szCs w:val="21"/>
        </w:rPr>
        <w:sectPr>
          <w:type w:val="continuous"/>
          <w:pgSz w:w="11910" w:h="16840"/>
          <w:pgMar w:top="1320" w:bottom="1380" w:left="1580" w:right="10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pgSz w:w="11910" w:h="16840"/>
          <w:pgMar w:header="857" w:footer="1195" w:top="1320" w:bottom="1380" w:left="1580" w:right="1040"/>
        </w:sectPr>
      </w:pPr>
    </w:p>
    <w:p>
      <w:pPr>
        <w:pStyle w:val="Heading3"/>
        <w:spacing w:line="240" w:lineRule="auto" w:before="36"/>
        <w:ind w:right="-16"/>
        <w:jc w:val="left"/>
        <w:rPr>
          <w:b w:val="0"/>
          <w:bCs w:val="0"/>
        </w:rPr>
      </w:pPr>
      <w:r>
        <w:rPr>
          <w:rFonts w:ascii="宋体" w:hAnsi="宋体" w:cs="宋体" w:eastAsia="宋体" w:hint="default"/>
        </w:rPr>
        <w:t>(5).</w:t>
      </w:r>
      <w:r>
        <w:rPr>
          <w:rFonts w:ascii="宋体" w:hAnsi="宋体" w:cs="宋体" w:eastAsia="宋体" w:hint="default"/>
          <w:spacing w:val="54"/>
        </w:rPr>
        <w:t> </w:t>
      </w:r>
      <w:r>
        <w:rPr/>
        <w:t>按欠款方归集的期末余额前五名的其他应收款情况：</w:t>
      </w:r>
      <w:r>
        <w:rPr>
          <w:b w:val="0"/>
          <w:bCs w:val="0"/>
        </w:rPr>
      </w:r>
    </w:p>
    <w:p>
      <w:pPr>
        <w:pStyle w:val="BodyText"/>
        <w:spacing w:line="240" w:lineRule="auto" w:before="58"/>
        <w:ind w:right="-16"/>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tabs>
          <w:tab w:pos="1269" w:val="left" w:leader="none"/>
        </w:tabs>
        <w:spacing w:line="240" w:lineRule="auto"/>
        <w:ind w:right="0"/>
        <w:jc w:val="left"/>
      </w:pPr>
      <w:r>
        <w:rPr>
          <w:spacing w:val="-1"/>
        </w:rPr>
        <w:t>单位：元</w:t>
        <w:tab/>
      </w:r>
      <w:r>
        <w:rPr>
          <w:spacing w:val="-2"/>
        </w:rPr>
        <w:t>币种：人民币</w:t>
      </w:r>
    </w:p>
    <w:p>
      <w:pPr>
        <w:spacing w:after="0" w:line="240" w:lineRule="auto"/>
        <w:jc w:val="left"/>
        <w:sectPr>
          <w:type w:val="continuous"/>
          <w:pgSz w:w="11910" w:h="16840"/>
          <w:pgMar w:top="1320" w:bottom="1380" w:left="1580" w:right="1040"/>
          <w:cols w:num="2" w:equalWidth="0">
            <w:col w:w="5655" w:space="867"/>
            <w:col w:w="2768"/>
          </w:cols>
        </w:sectPr>
      </w:pPr>
    </w:p>
    <w:p>
      <w:pPr>
        <w:spacing w:line="240" w:lineRule="auto" w:before="7"/>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1426"/>
        <w:gridCol w:w="1573"/>
        <w:gridCol w:w="1714"/>
        <w:gridCol w:w="1286"/>
        <w:gridCol w:w="1431"/>
        <w:gridCol w:w="1466"/>
      </w:tblGrid>
      <w:tr>
        <w:trPr>
          <w:trHeight w:val="826" w:hRule="exact"/>
        </w:trPr>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35" w:right="0"/>
              <w:jc w:val="left"/>
              <w:rPr>
                <w:rFonts w:ascii="宋体" w:hAnsi="宋体" w:cs="宋体" w:eastAsia="宋体" w:hint="default"/>
                <w:sz w:val="21"/>
                <w:szCs w:val="21"/>
              </w:rPr>
            </w:pPr>
            <w:r>
              <w:rPr>
                <w:rFonts w:ascii="宋体" w:hAnsi="宋体" w:cs="宋体" w:eastAsia="宋体" w:hint="default"/>
                <w:sz w:val="21"/>
                <w:szCs w:val="21"/>
              </w:rPr>
              <w:t>单位名称</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18" w:right="0"/>
              <w:jc w:val="left"/>
              <w:rPr>
                <w:rFonts w:ascii="宋体" w:hAnsi="宋体" w:cs="宋体" w:eastAsia="宋体" w:hint="default"/>
                <w:sz w:val="21"/>
                <w:szCs w:val="21"/>
              </w:rPr>
            </w:pPr>
            <w:r>
              <w:rPr>
                <w:rFonts w:ascii="宋体" w:hAnsi="宋体" w:cs="宋体" w:eastAsia="宋体" w:hint="default"/>
                <w:sz w:val="21"/>
                <w:szCs w:val="21"/>
              </w:rPr>
              <w:t>款项的性质</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395"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70"/>
              <w:jc w:val="center"/>
              <w:rPr>
                <w:rFonts w:ascii="宋体" w:hAnsi="宋体" w:cs="宋体" w:eastAsia="宋体" w:hint="default"/>
                <w:sz w:val="21"/>
                <w:szCs w:val="21"/>
              </w:rPr>
            </w:pPr>
            <w:r>
              <w:rPr>
                <w:rFonts w:ascii="宋体" w:hAnsi="宋体" w:cs="宋体" w:eastAsia="宋体" w:hint="default"/>
                <w:sz w:val="21"/>
                <w:szCs w:val="21"/>
              </w:rPr>
              <w:t>账龄</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79" w:right="0"/>
              <w:jc w:val="left"/>
              <w:rPr>
                <w:rFonts w:ascii="宋体" w:hAnsi="宋体" w:cs="宋体" w:eastAsia="宋体" w:hint="default"/>
                <w:sz w:val="21"/>
                <w:szCs w:val="21"/>
              </w:rPr>
            </w:pPr>
            <w:r>
              <w:rPr>
                <w:rFonts w:ascii="宋体" w:hAnsi="宋体" w:cs="宋体" w:eastAsia="宋体" w:hint="default"/>
                <w:sz w:val="21"/>
                <w:szCs w:val="21"/>
              </w:rPr>
              <w:t>占其他应收款</w:t>
            </w:r>
          </w:p>
          <w:p>
            <w:pPr>
              <w:pStyle w:val="TableParagraph"/>
              <w:spacing w:line="240" w:lineRule="auto"/>
              <w:ind w:left="132" w:right="77" w:hanging="53"/>
              <w:jc w:val="left"/>
              <w:rPr>
                <w:rFonts w:ascii="宋体" w:hAnsi="宋体" w:cs="宋体" w:eastAsia="宋体" w:hint="default"/>
                <w:sz w:val="21"/>
                <w:szCs w:val="21"/>
              </w:rPr>
            </w:pPr>
            <w:r>
              <w:rPr>
                <w:rFonts w:ascii="宋体" w:hAnsi="宋体" w:cs="宋体" w:eastAsia="宋体" w:hint="default"/>
                <w:sz w:val="21"/>
                <w:szCs w:val="21"/>
              </w:rPr>
              <w:t>期末余额合计</w:t>
            </w:r>
            <w:r>
              <w:rPr>
                <w:rFonts w:ascii="宋体" w:hAnsi="宋体" w:cs="宋体" w:eastAsia="宋体" w:hint="default"/>
                <w:w w:val="100"/>
                <w:sz w:val="21"/>
                <w:szCs w:val="21"/>
              </w:rPr>
              <w:t> </w:t>
            </w:r>
            <w:r>
              <w:rPr>
                <w:rFonts w:ascii="宋体" w:hAnsi="宋体" w:cs="宋体" w:eastAsia="宋体" w:hint="default"/>
                <w:sz w:val="21"/>
                <w:szCs w:val="21"/>
              </w:rPr>
              <w:t>数的比例</w:t>
            </w:r>
            <w:r>
              <w:rPr>
                <w:rFonts w:ascii="宋体" w:hAnsi="宋体" w:cs="宋体" w:eastAsia="宋体" w:hint="default"/>
                <w:sz w:val="21"/>
                <w:szCs w:val="21"/>
              </w:rPr>
              <w:t>(%)</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30"/>
              <w:ind w:left="307" w:right="305"/>
              <w:jc w:val="left"/>
              <w:rPr>
                <w:rFonts w:ascii="宋体" w:hAnsi="宋体" w:cs="宋体" w:eastAsia="宋体" w:hint="default"/>
                <w:sz w:val="21"/>
                <w:szCs w:val="21"/>
              </w:rPr>
            </w:pPr>
            <w:r>
              <w:rPr>
                <w:rFonts w:ascii="宋体" w:hAnsi="宋体" w:cs="宋体" w:eastAsia="宋体" w:hint="default"/>
                <w:sz w:val="21"/>
                <w:szCs w:val="21"/>
              </w:rPr>
              <w:t>坏账准备</w:t>
            </w:r>
            <w:r>
              <w:rPr>
                <w:rFonts w:ascii="宋体" w:hAnsi="宋体" w:cs="宋体" w:eastAsia="宋体" w:hint="default"/>
                <w:w w:val="100"/>
                <w:sz w:val="21"/>
                <w:szCs w:val="21"/>
              </w:rPr>
              <w:t> </w:t>
            </w:r>
            <w:r>
              <w:rPr>
                <w:rFonts w:ascii="宋体" w:hAnsi="宋体" w:cs="宋体" w:eastAsia="宋体" w:hint="default"/>
                <w:sz w:val="21"/>
                <w:szCs w:val="21"/>
              </w:rPr>
              <w:t>期末余额</w:t>
            </w:r>
          </w:p>
        </w:tc>
      </w:tr>
      <w:tr>
        <w:trPr>
          <w:trHeight w:val="283" w:hRule="exact"/>
        </w:trPr>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1</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增值税退税款</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4"/>
              <w:jc w:val="right"/>
              <w:rPr>
                <w:rFonts w:ascii="宋体" w:hAnsi="宋体" w:cs="宋体" w:eastAsia="宋体" w:hint="default"/>
                <w:sz w:val="21"/>
                <w:szCs w:val="21"/>
              </w:rPr>
            </w:pPr>
            <w:r>
              <w:rPr>
                <w:rFonts w:ascii="宋体"/>
                <w:spacing w:val="-1"/>
                <w:sz w:val="21"/>
              </w:rPr>
              <w:t>7,544,208</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67"/>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4"/>
              <w:jc w:val="right"/>
              <w:rPr>
                <w:rFonts w:ascii="宋体" w:hAnsi="宋体" w:cs="宋体" w:eastAsia="宋体" w:hint="default"/>
                <w:sz w:val="21"/>
                <w:szCs w:val="21"/>
              </w:rPr>
            </w:pPr>
            <w:r>
              <w:rPr>
                <w:rFonts w:ascii="宋体"/>
                <w:w w:val="100"/>
                <w:sz w:val="21"/>
              </w:rPr>
              <w:t>3</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4"/>
              <w:jc w:val="right"/>
              <w:rPr>
                <w:rFonts w:ascii="宋体" w:hAnsi="宋体" w:cs="宋体" w:eastAsia="宋体" w:hint="default"/>
                <w:sz w:val="21"/>
                <w:szCs w:val="21"/>
              </w:rPr>
            </w:pPr>
            <w:r>
              <w:rPr>
                <w:rFonts w:ascii="宋体"/>
                <w:w w:val="100"/>
                <w:sz w:val="21"/>
              </w:rPr>
              <w:t>-</w:t>
            </w:r>
          </w:p>
        </w:tc>
      </w:tr>
      <w:tr>
        <w:trPr>
          <w:trHeight w:val="283" w:hRule="exact"/>
        </w:trPr>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2</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房屋租金</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4"/>
              <w:jc w:val="right"/>
              <w:rPr>
                <w:rFonts w:ascii="宋体" w:hAnsi="宋体" w:cs="宋体" w:eastAsia="宋体" w:hint="default"/>
                <w:sz w:val="21"/>
                <w:szCs w:val="21"/>
              </w:rPr>
            </w:pPr>
            <w:r>
              <w:rPr>
                <w:rFonts w:ascii="宋体"/>
                <w:spacing w:val="-1"/>
                <w:sz w:val="21"/>
              </w:rPr>
              <w:t>6,830,243</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67"/>
              <w:jc w:val="center"/>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w w:val="100"/>
                <w:sz w:val="21"/>
              </w:rPr>
              <w:t>2</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1,373,921</w:t>
            </w:r>
          </w:p>
        </w:tc>
      </w:tr>
      <w:tr>
        <w:trPr>
          <w:trHeight w:val="281" w:hRule="exact"/>
        </w:trPr>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3</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垫付款</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4"/>
              <w:jc w:val="right"/>
              <w:rPr>
                <w:rFonts w:ascii="宋体" w:hAnsi="宋体" w:cs="宋体" w:eastAsia="宋体" w:hint="default"/>
                <w:sz w:val="21"/>
                <w:szCs w:val="21"/>
              </w:rPr>
            </w:pPr>
            <w:r>
              <w:rPr>
                <w:rFonts w:ascii="宋体"/>
                <w:spacing w:val="-1"/>
                <w:sz w:val="21"/>
              </w:rPr>
              <w:t>4,309,011</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67"/>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w w:val="100"/>
                <w:sz w:val="21"/>
              </w:rPr>
              <w:t>2</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w w:val="100"/>
                <w:sz w:val="21"/>
              </w:rPr>
              <w:t>-</w:t>
            </w:r>
          </w:p>
        </w:tc>
      </w:tr>
      <w:tr>
        <w:trPr>
          <w:trHeight w:val="284" w:hRule="exact"/>
        </w:trPr>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4</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招标押金</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4"/>
              <w:jc w:val="right"/>
              <w:rPr>
                <w:rFonts w:ascii="宋体" w:hAnsi="宋体" w:cs="宋体" w:eastAsia="宋体" w:hint="default"/>
                <w:sz w:val="21"/>
                <w:szCs w:val="21"/>
              </w:rPr>
            </w:pPr>
            <w:r>
              <w:rPr>
                <w:rFonts w:ascii="宋体"/>
                <w:spacing w:val="-1"/>
                <w:sz w:val="21"/>
              </w:rPr>
              <w:t>3,228,300</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67"/>
              <w:jc w:val="center"/>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w w:val="100"/>
                <w:sz w:val="21"/>
              </w:rPr>
              <w:t>1</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293,214</w:t>
            </w:r>
          </w:p>
        </w:tc>
      </w:tr>
      <w:tr>
        <w:trPr>
          <w:trHeight w:val="283" w:hRule="exact"/>
        </w:trPr>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5</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代垫款项</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4"/>
              <w:jc w:val="right"/>
              <w:rPr>
                <w:rFonts w:ascii="宋体" w:hAnsi="宋体" w:cs="宋体" w:eastAsia="宋体" w:hint="default"/>
                <w:sz w:val="21"/>
                <w:szCs w:val="21"/>
              </w:rPr>
            </w:pPr>
            <w:r>
              <w:rPr>
                <w:rFonts w:ascii="宋体"/>
                <w:spacing w:val="-1"/>
                <w:sz w:val="21"/>
              </w:rPr>
              <w:t>2,673,993</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67"/>
              <w:jc w:val="center"/>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w w:val="100"/>
                <w:sz w:val="21"/>
              </w:rPr>
              <w:t>1</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227,342</w:t>
            </w:r>
          </w:p>
        </w:tc>
      </w:tr>
      <w:tr>
        <w:trPr>
          <w:trHeight w:val="281" w:hRule="exact"/>
        </w:trPr>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46"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1"/>
              <w:jc w:val="center"/>
              <w:rPr>
                <w:rFonts w:ascii="宋体" w:hAnsi="宋体" w:cs="宋体" w:eastAsia="宋体" w:hint="default"/>
                <w:sz w:val="21"/>
                <w:szCs w:val="21"/>
              </w:rPr>
            </w:pPr>
            <w:r>
              <w:rPr>
                <w:rFonts w:ascii="宋体"/>
                <w:w w:val="100"/>
                <w:sz w:val="21"/>
              </w:rPr>
              <w:t>/</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4"/>
              <w:jc w:val="right"/>
              <w:rPr>
                <w:rFonts w:ascii="宋体" w:hAnsi="宋体" w:cs="宋体" w:eastAsia="宋体" w:hint="default"/>
                <w:sz w:val="21"/>
                <w:szCs w:val="21"/>
              </w:rPr>
            </w:pPr>
            <w:r>
              <w:rPr>
                <w:rFonts w:ascii="宋体"/>
                <w:spacing w:val="-1"/>
                <w:sz w:val="21"/>
              </w:rPr>
              <w:t>24,585,755</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0"/>
              <w:jc w:val="center"/>
              <w:rPr>
                <w:rFonts w:ascii="宋体" w:hAnsi="宋体" w:cs="宋体" w:eastAsia="宋体" w:hint="default"/>
                <w:sz w:val="21"/>
                <w:szCs w:val="21"/>
              </w:rPr>
            </w:pPr>
            <w:r>
              <w:rPr>
                <w:rFonts w:ascii="宋体"/>
                <w:w w:val="100"/>
                <w:sz w:val="21"/>
              </w:rPr>
              <w:t>/</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w w:val="100"/>
                <w:sz w:val="21"/>
              </w:rPr>
              <w:t>9</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1,894,477</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320" w:bottom="1380" w:left="1580" w:right="1040"/>
        </w:sectPr>
      </w:pPr>
    </w:p>
    <w:p>
      <w:pPr>
        <w:pStyle w:val="Heading3"/>
        <w:spacing w:line="240" w:lineRule="auto" w:before="36"/>
        <w:ind w:right="-19"/>
        <w:jc w:val="left"/>
        <w:rPr>
          <w:b w:val="0"/>
          <w:bCs w:val="0"/>
        </w:rPr>
      </w:pPr>
      <w:r>
        <w:rPr>
          <w:rFonts w:ascii="宋体" w:hAnsi="宋体" w:cs="宋体" w:eastAsia="宋体" w:hint="default"/>
        </w:rPr>
        <w:t>(6).</w:t>
      </w:r>
      <w:r>
        <w:rPr>
          <w:rFonts w:ascii="宋体" w:hAnsi="宋体" w:cs="宋体" w:eastAsia="宋体" w:hint="default"/>
          <w:spacing w:val="59"/>
        </w:rPr>
        <w:t> </w:t>
      </w:r>
      <w:r>
        <w:rPr/>
        <w:t>涉及政府补助的应收款项</w:t>
      </w:r>
      <w:r>
        <w:rPr>
          <w:b w:val="0"/>
          <w:bCs w:val="0"/>
        </w:rPr>
      </w:r>
    </w:p>
    <w:p>
      <w:pPr>
        <w:pStyle w:val="BodyText"/>
        <w:spacing w:line="240" w:lineRule="auto" w:before="58"/>
        <w:ind w:right="-19"/>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tabs>
          <w:tab w:pos="1269" w:val="left" w:leader="none"/>
        </w:tabs>
        <w:spacing w:line="240" w:lineRule="auto"/>
        <w:ind w:right="0"/>
        <w:jc w:val="left"/>
      </w:pPr>
      <w:r>
        <w:rPr>
          <w:spacing w:val="-1"/>
        </w:rPr>
        <w:t>单位：元</w:t>
        <w:tab/>
      </w:r>
      <w:r>
        <w:rPr>
          <w:spacing w:val="-2"/>
        </w:rPr>
        <w:t>币种：人民币</w:t>
      </w:r>
    </w:p>
    <w:p>
      <w:pPr>
        <w:spacing w:after="0" w:line="240" w:lineRule="auto"/>
        <w:jc w:val="left"/>
        <w:sectPr>
          <w:type w:val="continuous"/>
          <w:pgSz w:w="11910" w:h="16840"/>
          <w:pgMar w:top="1320" w:bottom="1380" w:left="1580" w:right="1040"/>
          <w:cols w:num="2" w:equalWidth="0">
            <w:col w:w="3127" w:space="3394"/>
            <w:col w:w="2769"/>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450"/>
        <w:gridCol w:w="2036"/>
        <w:gridCol w:w="1311"/>
        <w:gridCol w:w="1164"/>
        <w:gridCol w:w="3089"/>
      </w:tblGrid>
      <w:tr>
        <w:trPr>
          <w:trHeight w:val="281" w:hRule="exact"/>
        </w:trPr>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5"/>
              <w:jc w:val="right"/>
              <w:rPr>
                <w:rFonts w:ascii="宋体" w:hAnsi="宋体" w:cs="宋体" w:eastAsia="宋体" w:hint="default"/>
                <w:sz w:val="21"/>
                <w:szCs w:val="21"/>
              </w:rPr>
            </w:pPr>
            <w:r>
              <w:rPr>
                <w:rFonts w:ascii="宋体" w:hAnsi="宋体" w:cs="宋体" w:eastAsia="宋体" w:hint="default"/>
                <w:spacing w:val="-1"/>
                <w:sz w:val="21"/>
                <w:szCs w:val="21"/>
              </w:rPr>
              <w:t>单位名称</w:t>
            </w:r>
          </w:p>
        </w:tc>
        <w:tc>
          <w:tcPr>
            <w:tcW w:w="20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政府补助项目名称</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28"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sz w:val="21"/>
                <w:szCs w:val="21"/>
              </w:rPr>
              <w:t>期末账龄</w:t>
            </w:r>
          </w:p>
        </w:tc>
        <w:tc>
          <w:tcPr>
            <w:tcW w:w="30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预计收取的时间、金额及依据</w:t>
            </w:r>
          </w:p>
        </w:tc>
      </w:tr>
      <w:tr>
        <w:trPr>
          <w:trHeight w:val="828" w:hRule="exact"/>
        </w:trPr>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北京市海淀</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区税务局</w:t>
            </w:r>
          </w:p>
        </w:tc>
        <w:tc>
          <w:tcPr>
            <w:tcW w:w="203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增值税退税</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49" w:right="0"/>
              <w:jc w:val="left"/>
              <w:rPr>
                <w:rFonts w:ascii="宋体" w:hAnsi="宋体" w:cs="宋体" w:eastAsia="宋体" w:hint="default"/>
                <w:sz w:val="21"/>
                <w:szCs w:val="21"/>
              </w:rPr>
            </w:pPr>
            <w:r>
              <w:rPr>
                <w:rFonts w:ascii="宋体"/>
                <w:sz w:val="21"/>
              </w:rPr>
              <w:t>7,544,208</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30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2018</w:t>
            </w:r>
            <w:r>
              <w:rPr>
                <w:rFonts w:ascii="宋体" w:hAnsi="宋体" w:cs="宋体" w:eastAsia="宋体" w:hint="default"/>
                <w:spacing w:val="-55"/>
                <w:sz w:val="21"/>
                <w:szCs w:val="21"/>
              </w:rPr>
              <w:t> </w:t>
            </w:r>
            <w:r>
              <w:rPr>
                <w:rFonts w:ascii="宋体" w:hAnsi="宋体" w:cs="宋体" w:eastAsia="宋体" w:hint="default"/>
                <w:w w:val="100"/>
                <w:sz w:val="21"/>
                <w:szCs w:val="21"/>
              </w:rPr>
              <w:t>年</w:t>
            </w:r>
            <w:r>
              <w:rPr>
                <w:rFonts w:ascii="宋体" w:hAnsi="宋体" w:cs="宋体" w:eastAsia="宋体" w:hint="default"/>
                <w:spacing w:val="-53"/>
                <w:sz w:val="21"/>
                <w:szCs w:val="21"/>
              </w:rPr>
              <w:t> </w:t>
            </w:r>
            <w:r>
              <w:rPr>
                <w:rFonts w:ascii="宋体" w:hAnsi="宋体" w:cs="宋体" w:eastAsia="宋体" w:hint="default"/>
                <w:w w:val="100"/>
                <w:sz w:val="21"/>
                <w:szCs w:val="21"/>
              </w:rPr>
              <w:t>3</w:t>
            </w:r>
            <w:r>
              <w:rPr>
                <w:rFonts w:ascii="宋体" w:hAnsi="宋体" w:cs="宋体" w:eastAsia="宋体" w:hint="default"/>
                <w:spacing w:val="-55"/>
                <w:sz w:val="21"/>
                <w:szCs w:val="21"/>
              </w:rPr>
              <w:t> </w:t>
            </w:r>
            <w:r>
              <w:rPr>
                <w:rFonts w:ascii="宋体" w:hAnsi="宋体" w:cs="宋体" w:eastAsia="宋体" w:hint="default"/>
                <w:w w:val="100"/>
                <w:sz w:val="21"/>
                <w:szCs w:val="21"/>
              </w:rPr>
              <w:t>月</w:t>
            </w:r>
            <w:r>
              <w:rPr>
                <w:rFonts w:ascii="宋体" w:hAnsi="宋体" w:cs="宋体" w:eastAsia="宋体" w:hint="default"/>
                <w:spacing w:val="-93"/>
                <w:w w:val="100"/>
                <w:sz w:val="21"/>
                <w:szCs w:val="21"/>
              </w:rPr>
              <w:t>、</w:t>
            </w:r>
            <w:r>
              <w:rPr>
                <w:rFonts w:ascii="宋体" w:hAnsi="宋体" w:cs="宋体" w:eastAsia="宋体" w:hint="default"/>
                <w:w w:val="100"/>
                <w:sz w:val="21"/>
                <w:szCs w:val="21"/>
              </w:rPr>
              <w:t>7,5</w:t>
            </w:r>
            <w:r>
              <w:rPr>
                <w:rFonts w:ascii="宋体" w:hAnsi="宋体" w:cs="宋体" w:eastAsia="宋体" w:hint="default"/>
                <w:spacing w:val="-3"/>
                <w:w w:val="100"/>
                <w:sz w:val="21"/>
                <w:szCs w:val="21"/>
              </w:rPr>
              <w:t>4</w:t>
            </w:r>
            <w:r>
              <w:rPr>
                <w:rFonts w:ascii="宋体" w:hAnsi="宋体" w:cs="宋体" w:eastAsia="宋体" w:hint="default"/>
                <w:w w:val="100"/>
                <w:sz w:val="21"/>
                <w:szCs w:val="21"/>
              </w:rPr>
              <w:t>4,2</w:t>
            </w:r>
            <w:r>
              <w:rPr>
                <w:rFonts w:ascii="宋体" w:hAnsi="宋体" w:cs="宋体" w:eastAsia="宋体" w:hint="default"/>
                <w:spacing w:val="-3"/>
                <w:w w:val="100"/>
                <w:sz w:val="21"/>
                <w:szCs w:val="21"/>
              </w:rPr>
              <w:t>0</w:t>
            </w:r>
            <w:r>
              <w:rPr>
                <w:rFonts w:ascii="宋体" w:hAnsi="宋体" w:cs="宋体" w:eastAsia="宋体" w:hint="default"/>
                <w:w w:val="100"/>
                <w:sz w:val="21"/>
                <w:szCs w:val="21"/>
              </w:rPr>
              <w:t>8</w:t>
            </w:r>
            <w:r>
              <w:rPr>
                <w:rFonts w:ascii="宋体" w:hAnsi="宋体" w:cs="宋体" w:eastAsia="宋体" w:hint="default"/>
                <w:spacing w:val="-53"/>
                <w:sz w:val="21"/>
                <w:szCs w:val="21"/>
              </w:rPr>
              <w:t> </w:t>
            </w:r>
            <w:r>
              <w:rPr>
                <w:rFonts w:ascii="宋体" w:hAnsi="宋体" w:cs="宋体" w:eastAsia="宋体" w:hint="default"/>
                <w:spacing w:val="-3"/>
                <w:w w:val="100"/>
                <w:sz w:val="21"/>
                <w:szCs w:val="21"/>
              </w:rPr>
              <w:t>元</w:t>
            </w:r>
            <w:r>
              <w:rPr>
                <w:rFonts w:ascii="宋体" w:hAnsi="宋体" w:cs="宋体" w:eastAsia="宋体" w:hint="default"/>
                <w:spacing w:val="-183"/>
                <w:w w:val="100"/>
                <w:sz w:val="21"/>
                <w:szCs w:val="21"/>
              </w:rPr>
              <w:t>、</w:t>
            </w:r>
            <w:r>
              <w:rPr>
                <w:rFonts w:ascii="宋体" w:hAnsi="宋体" w:cs="宋体" w:eastAsia="宋体" w:hint="default"/>
                <w:spacing w:val="-3"/>
                <w:w w:val="100"/>
                <w:sz w:val="21"/>
                <w:szCs w:val="21"/>
              </w:rPr>
              <w:t>《关</w:t>
            </w:r>
            <w:r>
              <w:rPr>
                <w:rFonts w:ascii="宋体" w:hAnsi="宋体" w:cs="宋体" w:eastAsia="宋体" w:hint="default"/>
                <w:w w:val="100"/>
                <w:sz w:val="21"/>
                <w:szCs w:val="21"/>
              </w:rPr>
            </w:r>
          </w:p>
          <w:p>
            <w:pPr>
              <w:pStyle w:val="TableParagraph"/>
              <w:spacing w:line="240" w:lineRule="auto"/>
              <w:ind w:left="100" w:right="34"/>
              <w:jc w:val="left"/>
              <w:rPr>
                <w:rFonts w:ascii="宋体" w:hAnsi="宋体" w:cs="宋体" w:eastAsia="宋体" w:hint="default"/>
                <w:sz w:val="21"/>
                <w:szCs w:val="21"/>
              </w:rPr>
            </w:pPr>
            <w:r>
              <w:rPr>
                <w:rFonts w:ascii="宋体" w:hAnsi="宋体" w:cs="宋体" w:eastAsia="宋体" w:hint="default"/>
                <w:spacing w:val="-2"/>
                <w:sz w:val="21"/>
                <w:szCs w:val="21"/>
              </w:rPr>
              <w:t>于软件产品增值税政策的通知》</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w:t>
            </w:r>
            <w:r>
              <w:rPr>
                <w:rFonts w:ascii="宋体" w:hAnsi="宋体" w:cs="宋体" w:eastAsia="宋体" w:hint="default"/>
                <w:sz w:val="21"/>
                <w:szCs w:val="21"/>
              </w:rPr>
              <w:t>财税</w:t>
            </w:r>
            <w:r>
              <w:rPr>
                <w:rFonts w:ascii="宋体" w:hAnsi="宋体" w:cs="宋体" w:eastAsia="宋体" w:hint="default"/>
                <w:sz w:val="21"/>
                <w:szCs w:val="21"/>
              </w:rPr>
              <w:t>[2011]100</w:t>
            </w:r>
            <w:r>
              <w:rPr>
                <w:rFonts w:ascii="宋体" w:hAnsi="宋体" w:cs="宋体" w:eastAsia="宋体" w:hint="default"/>
                <w:spacing w:val="-51"/>
                <w:sz w:val="21"/>
                <w:szCs w:val="21"/>
              </w:rPr>
              <w:t> </w:t>
            </w:r>
            <w:r>
              <w:rPr>
                <w:rFonts w:ascii="宋体" w:hAnsi="宋体" w:cs="宋体" w:eastAsia="宋体" w:hint="default"/>
                <w:sz w:val="21"/>
                <w:szCs w:val="21"/>
              </w:rPr>
              <w:t>号</w:t>
            </w:r>
            <w:r>
              <w:rPr>
                <w:rFonts w:ascii="宋体" w:hAnsi="宋体" w:cs="宋体" w:eastAsia="宋体" w:hint="default"/>
                <w:sz w:val="21"/>
                <w:szCs w:val="21"/>
              </w:rPr>
              <w:t>)</w:t>
            </w:r>
          </w:p>
        </w:tc>
      </w:tr>
      <w:tr>
        <w:trPr>
          <w:trHeight w:val="284" w:hRule="exact"/>
        </w:trPr>
        <w:tc>
          <w:tcPr>
            <w:tcW w:w="1450" w:type="dxa"/>
            <w:tcBorders>
              <w:top w:val="single" w:sz="4" w:space="0" w:color="000000"/>
              <w:left w:val="single" w:sz="4" w:space="0" w:color="000000"/>
              <w:bottom w:val="single" w:sz="4" w:space="0" w:color="000000"/>
              <w:right w:val="single" w:sz="4" w:space="0" w:color="000000"/>
            </w:tcBorders>
          </w:tcPr>
          <w:p>
            <w:pPr/>
          </w:p>
        </w:tc>
        <w:tc>
          <w:tcPr>
            <w:tcW w:w="2036" w:type="dxa"/>
            <w:tcBorders>
              <w:top w:val="single" w:sz="4" w:space="0" w:color="000000"/>
              <w:left w:val="single" w:sz="4" w:space="0" w:color="000000"/>
              <w:bottom w:val="single" w:sz="4" w:space="0" w:color="000000"/>
              <w:right w:val="single" w:sz="4" w:space="0" w:color="000000"/>
            </w:tcBorders>
          </w:tcPr>
          <w:p>
            <w:pPr/>
          </w:p>
        </w:tc>
        <w:tc>
          <w:tcPr>
            <w:tcW w:w="1311"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
        </w:tc>
        <w:tc>
          <w:tcPr>
            <w:tcW w:w="3089"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48"/>
              <w:jc w:val="right"/>
              <w:rPr>
                <w:rFonts w:ascii="宋体" w:hAnsi="宋体" w:cs="宋体" w:eastAsia="宋体" w:hint="default"/>
                <w:sz w:val="21"/>
                <w:szCs w:val="21"/>
              </w:rPr>
            </w:pPr>
            <w:r>
              <w:rPr>
                <w:rFonts w:ascii="宋体" w:hAnsi="宋体" w:cs="宋体" w:eastAsia="宋体" w:hint="default"/>
                <w:sz w:val="21"/>
                <w:szCs w:val="21"/>
              </w:rPr>
              <w:t>合计</w:t>
            </w:r>
          </w:p>
        </w:tc>
        <w:tc>
          <w:tcPr>
            <w:tcW w:w="20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9" w:right="0"/>
              <w:jc w:val="left"/>
              <w:rPr>
                <w:rFonts w:ascii="宋体" w:hAnsi="宋体" w:cs="宋体" w:eastAsia="宋体" w:hint="default"/>
                <w:sz w:val="21"/>
                <w:szCs w:val="21"/>
              </w:rPr>
            </w:pPr>
            <w:r>
              <w:rPr>
                <w:rFonts w:ascii="宋体"/>
                <w:sz w:val="21"/>
              </w:rPr>
              <w:t>7,544,208</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center"/>
              <w:rPr>
                <w:rFonts w:ascii="宋体" w:hAnsi="宋体" w:cs="宋体" w:eastAsia="宋体" w:hint="default"/>
                <w:sz w:val="21"/>
                <w:szCs w:val="21"/>
              </w:rPr>
            </w:pPr>
            <w:r>
              <w:rPr>
                <w:rFonts w:ascii="宋体"/>
                <w:w w:val="100"/>
                <w:sz w:val="21"/>
              </w:rPr>
              <w:t>/</w:t>
            </w:r>
          </w:p>
        </w:tc>
        <w:tc>
          <w:tcPr>
            <w:tcW w:w="30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w w:val="100"/>
                <w:sz w:val="21"/>
              </w:rPr>
              <w:t>/</w:t>
            </w:r>
          </w:p>
        </w:tc>
      </w:tr>
    </w:tbl>
    <w:p>
      <w:pPr>
        <w:spacing w:line="240" w:lineRule="auto" w:before="2"/>
        <w:rPr>
          <w:rFonts w:ascii="宋体" w:hAnsi="宋体" w:cs="宋体" w:eastAsia="宋体" w:hint="default"/>
          <w:sz w:val="20"/>
          <w:szCs w:val="20"/>
        </w:rPr>
      </w:pPr>
    </w:p>
    <w:p>
      <w:pPr>
        <w:pStyle w:val="Heading3"/>
        <w:spacing w:line="240" w:lineRule="auto" w:before="36"/>
        <w:ind w:right="99"/>
        <w:jc w:val="left"/>
        <w:rPr>
          <w:b w:val="0"/>
          <w:bCs w:val="0"/>
        </w:rPr>
      </w:pPr>
      <w:r>
        <w:rPr>
          <w:rFonts w:ascii="宋体" w:hAnsi="宋体" w:cs="宋体" w:eastAsia="宋体" w:hint="default"/>
        </w:rPr>
        <w:t>(7).</w:t>
      </w:r>
      <w:r>
        <w:rPr>
          <w:rFonts w:ascii="宋体" w:hAnsi="宋体" w:cs="宋体" w:eastAsia="宋体" w:hint="default"/>
          <w:spacing w:val="59"/>
        </w:rPr>
        <w:t> </w:t>
      </w:r>
      <w:r>
        <w:rPr/>
        <w:t>因金融资产转移而终止确认的其他应收款：</w:t>
      </w:r>
      <w:r>
        <w:rPr>
          <w:b w:val="0"/>
          <w:bCs w:val="0"/>
        </w:rPr>
      </w:r>
    </w:p>
    <w:p>
      <w:pPr>
        <w:pStyle w:val="BodyText"/>
        <w:tabs>
          <w:tab w:pos="1060" w:val="left" w:leader="none"/>
        </w:tabs>
        <w:spacing w:line="240" w:lineRule="auto" w:before="56"/>
        <w:ind w:right="99"/>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right="99"/>
        <w:jc w:val="left"/>
        <w:rPr>
          <w:b w:val="0"/>
          <w:bCs w:val="0"/>
        </w:rPr>
      </w:pPr>
      <w:r>
        <w:rPr>
          <w:rFonts w:ascii="宋体" w:hAnsi="宋体" w:cs="宋体" w:eastAsia="宋体" w:hint="default"/>
        </w:rPr>
        <w:t>(8).</w:t>
      </w:r>
      <w:r>
        <w:rPr>
          <w:rFonts w:ascii="宋体" w:hAnsi="宋体" w:cs="宋体" w:eastAsia="宋体" w:hint="default"/>
          <w:spacing w:val="55"/>
        </w:rPr>
        <w:t> </w:t>
      </w:r>
      <w:r>
        <w:rPr/>
        <w:t>转移其他应收款且继续涉入形成的资产、负债的金额：</w:t>
      </w:r>
      <w:r>
        <w:rPr>
          <w:b w:val="0"/>
          <w:bCs w:val="0"/>
        </w:rPr>
      </w:r>
    </w:p>
    <w:p>
      <w:pPr>
        <w:pStyle w:val="BodyText"/>
        <w:tabs>
          <w:tab w:pos="1060" w:val="left" w:leader="none"/>
        </w:tabs>
        <w:spacing w:line="240" w:lineRule="auto" w:before="58"/>
        <w:ind w:right="99"/>
        <w:jc w:val="left"/>
      </w:pPr>
      <w:r>
        <w:rPr>
          <w:spacing w:val="-1"/>
        </w:rPr>
        <w:t>□适用</w:t>
        <w:tab/>
      </w:r>
      <w:r>
        <w:rPr>
          <w:spacing w:val="-2"/>
        </w:rPr>
        <w:t>√不适用</w:t>
      </w:r>
    </w:p>
    <w:p>
      <w:pPr>
        <w:spacing w:line="240" w:lineRule="auto" w:before="8"/>
        <w:rPr>
          <w:rFonts w:ascii="宋体" w:hAnsi="宋体" w:cs="宋体" w:eastAsia="宋体" w:hint="default"/>
          <w:sz w:val="20"/>
          <w:szCs w:val="20"/>
        </w:rPr>
      </w:pPr>
    </w:p>
    <w:p>
      <w:pPr>
        <w:pStyle w:val="BodyText"/>
        <w:spacing w:line="273" w:lineRule="exact"/>
        <w:ind w:right="99"/>
        <w:jc w:val="left"/>
      </w:pPr>
      <w:r>
        <w:rPr/>
        <w:t>其他说明：</w:t>
      </w:r>
    </w:p>
    <w:p>
      <w:pPr>
        <w:pStyle w:val="BodyText"/>
        <w:tabs>
          <w:tab w:pos="1060" w:val="left" w:leader="none"/>
        </w:tabs>
        <w:spacing w:line="273" w:lineRule="exact"/>
        <w:ind w:right="99"/>
        <w:jc w:val="left"/>
      </w:pPr>
      <w:r>
        <w:rPr>
          <w:spacing w:val="-1"/>
        </w:rPr>
        <w:t>□适用</w:t>
        <w:tab/>
      </w:r>
      <w:r>
        <w:rPr>
          <w:spacing w:val="-2"/>
        </w:rPr>
        <w:t>√不适用</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type w:val="continuous"/>
          <w:pgSz w:w="11910" w:h="16840"/>
          <w:pgMar w:top="1320" w:bottom="1380" w:left="1580" w:right="1040"/>
        </w:sectPr>
      </w:pPr>
    </w:p>
    <w:p>
      <w:pPr>
        <w:pStyle w:val="Heading3"/>
        <w:tabs>
          <w:tab w:pos="849" w:val="left" w:leader="none"/>
          <w:tab w:pos="1057" w:val="left" w:leader="none"/>
        </w:tabs>
        <w:spacing w:line="290" w:lineRule="auto" w:before="36"/>
        <w:ind w:right="98"/>
        <w:jc w:val="left"/>
        <w:rPr>
          <w:b w:val="0"/>
          <w:bCs w:val="0"/>
        </w:rPr>
      </w:pPr>
      <w:r>
        <w:rPr>
          <w:rFonts w:ascii="宋体" w:hAnsi="宋体" w:cs="宋体" w:eastAsia="宋体" w:hint="default"/>
          <w:spacing w:val="-1"/>
        </w:rPr>
        <w:t>10</w:t>
      </w:r>
      <w:r>
        <w:rPr>
          <w:spacing w:val="-1"/>
        </w:rPr>
        <w:t>、</w:t>
        <w:tab/>
        <w:tab/>
      </w:r>
      <w:r>
        <w:rPr/>
        <w:t>存货</w:t>
      </w:r>
      <w:r>
        <w:rPr>
          <w:w w:val="100"/>
        </w:rPr>
        <w:t> </w:t>
      </w:r>
      <w:r>
        <w:rPr>
          <w:rFonts w:ascii="宋体" w:hAnsi="宋体" w:cs="宋体" w:eastAsia="宋体" w:hint="default"/>
          <w:w w:val="95"/>
        </w:rPr>
        <w:t>(1).</w:t>
        <w:tab/>
      </w:r>
      <w:r>
        <w:rPr/>
        <w:t>存货分类</w:t>
      </w:r>
      <w:r>
        <w:rPr>
          <w:b w:val="0"/>
          <w:bCs w:val="0"/>
        </w:rPr>
      </w:r>
    </w:p>
    <w:p>
      <w:pPr>
        <w:pStyle w:val="BodyText"/>
        <w:spacing w:line="240" w:lineRule="auto" w:before="12"/>
        <w:ind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BodyText"/>
        <w:tabs>
          <w:tab w:pos="1269" w:val="left" w:leader="none"/>
        </w:tabs>
        <w:spacing w:line="240" w:lineRule="auto"/>
        <w:ind w:right="0"/>
        <w:jc w:val="left"/>
      </w:pPr>
      <w:r>
        <w:rPr>
          <w:spacing w:val="-1"/>
        </w:rPr>
        <w:t>单位：元</w:t>
        <w:tab/>
      </w:r>
      <w:r>
        <w:rPr>
          <w:spacing w:val="-2"/>
        </w:rPr>
        <w:t>币种：人民币</w:t>
      </w:r>
    </w:p>
    <w:p>
      <w:pPr>
        <w:spacing w:after="0" w:line="240" w:lineRule="auto"/>
        <w:jc w:val="left"/>
        <w:sectPr>
          <w:type w:val="continuous"/>
          <w:pgSz w:w="11910" w:h="16840"/>
          <w:pgMar w:top="1320" w:bottom="1380" w:left="1580" w:right="1040"/>
          <w:cols w:num="2" w:equalWidth="0">
            <w:col w:w="1795" w:space="4726"/>
            <w:col w:w="2769"/>
          </w:cols>
        </w:sectPr>
      </w:pPr>
    </w:p>
    <w:p>
      <w:pPr>
        <w:spacing w:line="240" w:lineRule="auto" w:before="4"/>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1855"/>
        <w:gridCol w:w="1285"/>
        <w:gridCol w:w="1003"/>
        <w:gridCol w:w="1287"/>
        <w:gridCol w:w="1286"/>
        <w:gridCol w:w="999"/>
        <w:gridCol w:w="1181"/>
      </w:tblGrid>
      <w:tr>
        <w:trPr>
          <w:trHeight w:val="283" w:hRule="exact"/>
        </w:trPr>
        <w:tc>
          <w:tcPr>
            <w:tcW w:w="1855" w:type="dxa"/>
            <w:vMerge w:val="restart"/>
            <w:tcBorders>
              <w:top w:val="single" w:sz="4" w:space="0" w:color="000000"/>
              <w:left w:val="single" w:sz="4" w:space="0" w:color="000000"/>
              <w:right w:val="single" w:sz="4" w:space="0" w:color="000000"/>
            </w:tcBorders>
          </w:tcPr>
          <w:p>
            <w:pPr>
              <w:pStyle w:val="TableParagraph"/>
              <w:spacing w:line="240" w:lineRule="auto" w:before="107"/>
              <w:ind w:left="2"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57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46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81" w:hRule="exact"/>
        </w:trPr>
        <w:tc>
          <w:tcPr>
            <w:tcW w:w="1855" w:type="dxa"/>
            <w:vMerge/>
            <w:tcBorders>
              <w:left w:val="single" w:sz="4" w:space="0" w:color="000000"/>
              <w:bottom w:val="single" w:sz="4" w:space="0" w:color="000000"/>
              <w:right w:val="single" w:sz="4" w:space="0" w:color="000000"/>
            </w:tcBorders>
          </w:tcPr>
          <w:p>
            <w:pP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4"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4"/>
              <w:jc w:val="right"/>
              <w:rPr>
                <w:rFonts w:ascii="宋体" w:hAnsi="宋体" w:cs="宋体" w:eastAsia="宋体" w:hint="default"/>
                <w:sz w:val="21"/>
                <w:szCs w:val="21"/>
              </w:rPr>
            </w:pPr>
            <w:r>
              <w:rPr>
                <w:rFonts w:ascii="宋体" w:hAnsi="宋体" w:cs="宋体" w:eastAsia="宋体" w:hint="default"/>
                <w:spacing w:val="-1"/>
                <w:sz w:val="21"/>
                <w:szCs w:val="21"/>
              </w:rPr>
              <w:t>跌价准备</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6" w:right="0"/>
              <w:jc w:val="left"/>
              <w:rPr>
                <w:rFonts w:ascii="宋体" w:hAnsi="宋体" w:cs="宋体" w:eastAsia="宋体" w:hint="default"/>
                <w:sz w:val="21"/>
                <w:szCs w:val="21"/>
              </w:rPr>
            </w:pPr>
            <w:r>
              <w:rPr>
                <w:rFonts w:ascii="宋体" w:hAnsi="宋体" w:cs="宋体" w:eastAsia="宋体" w:hint="default"/>
                <w:sz w:val="21"/>
                <w:szCs w:val="21"/>
              </w:rPr>
              <w:t>账面价值</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9" w:right="0"/>
              <w:jc w:val="left"/>
              <w:rPr>
                <w:rFonts w:ascii="宋体" w:hAnsi="宋体" w:cs="宋体" w:eastAsia="宋体" w:hint="default"/>
                <w:sz w:val="21"/>
                <w:szCs w:val="21"/>
              </w:rPr>
            </w:pPr>
            <w:r>
              <w:rPr>
                <w:rFonts w:ascii="宋体" w:hAnsi="宋体" w:cs="宋体" w:eastAsia="宋体" w:hint="default"/>
                <w:sz w:val="21"/>
                <w:szCs w:val="21"/>
              </w:rPr>
              <w:t>跌价准备</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63" w:right="0"/>
              <w:jc w:val="left"/>
              <w:rPr>
                <w:rFonts w:ascii="宋体" w:hAnsi="宋体" w:cs="宋体" w:eastAsia="宋体" w:hint="default"/>
                <w:sz w:val="21"/>
                <w:szCs w:val="21"/>
              </w:rPr>
            </w:pPr>
            <w:r>
              <w:rPr>
                <w:rFonts w:ascii="宋体" w:hAnsi="宋体" w:cs="宋体" w:eastAsia="宋体" w:hint="default"/>
                <w:sz w:val="21"/>
                <w:szCs w:val="21"/>
              </w:rPr>
              <w:t>账面价值</w:t>
            </w:r>
          </w:p>
        </w:tc>
      </w:tr>
      <w:tr>
        <w:trPr>
          <w:trHeight w:val="283"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6"/>
              <w:jc w:val="right"/>
              <w:rPr>
                <w:rFonts w:ascii="宋体" w:hAnsi="宋体" w:cs="宋体" w:eastAsia="宋体" w:hint="default"/>
                <w:sz w:val="21"/>
                <w:szCs w:val="21"/>
              </w:rPr>
            </w:pPr>
            <w:r>
              <w:rPr>
                <w:rFonts w:ascii="宋体"/>
                <w:spacing w:val="-1"/>
                <w:sz w:val="21"/>
              </w:rPr>
              <w:t>4,824,523</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9"/>
              <w:jc w:val="right"/>
              <w:rPr>
                <w:rFonts w:ascii="宋体" w:hAnsi="宋体" w:cs="宋体" w:eastAsia="宋体" w:hint="default"/>
                <w:sz w:val="21"/>
                <w:szCs w:val="21"/>
              </w:rPr>
            </w:pPr>
            <w:r>
              <w:rPr>
                <w:rFonts w:ascii="宋体"/>
                <w:w w:val="100"/>
                <w:sz w:val="21"/>
              </w:rPr>
              <w:t>-</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7"/>
              <w:jc w:val="right"/>
              <w:rPr>
                <w:rFonts w:ascii="宋体" w:hAnsi="宋体" w:cs="宋体" w:eastAsia="宋体" w:hint="default"/>
                <w:sz w:val="21"/>
                <w:szCs w:val="21"/>
              </w:rPr>
            </w:pPr>
            <w:r>
              <w:rPr>
                <w:rFonts w:ascii="宋体"/>
                <w:spacing w:val="-1"/>
                <w:sz w:val="21"/>
              </w:rPr>
              <w:t>4,824,523</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9"/>
              <w:jc w:val="right"/>
              <w:rPr>
                <w:rFonts w:ascii="宋体" w:hAnsi="宋体" w:cs="宋体" w:eastAsia="宋体" w:hint="default"/>
                <w:sz w:val="21"/>
                <w:szCs w:val="21"/>
              </w:rPr>
            </w:pPr>
            <w:r>
              <w:rPr>
                <w:rFonts w:ascii="宋体"/>
                <w:spacing w:val="-1"/>
                <w:sz w:val="21"/>
              </w:rPr>
              <w:t>3,231,372</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9"/>
              <w:jc w:val="right"/>
              <w:rPr>
                <w:rFonts w:ascii="宋体" w:hAnsi="宋体" w:cs="宋体" w:eastAsia="宋体" w:hint="default"/>
                <w:sz w:val="21"/>
                <w:szCs w:val="21"/>
              </w:rPr>
            </w:pPr>
            <w:r>
              <w:rPr>
                <w:rFonts w:ascii="宋体"/>
                <w:w w:val="100"/>
                <w:sz w:val="21"/>
              </w:rPr>
              <w:t>-</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6"/>
              <w:jc w:val="right"/>
              <w:rPr>
                <w:rFonts w:ascii="宋体" w:hAnsi="宋体" w:cs="宋体" w:eastAsia="宋体" w:hint="default"/>
                <w:sz w:val="21"/>
                <w:szCs w:val="21"/>
              </w:rPr>
            </w:pPr>
            <w:r>
              <w:rPr>
                <w:rFonts w:ascii="宋体"/>
                <w:spacing w:val="-1"/>
                <w:sz w:val="21"/>
              </w:rPr>
              <w:t>3,231,372</w:t>
            </w:r>
          </w:p>
        </w:tc>
      </w:tr>
      <w:tr>
        <w:trPr>
          <w:trHeight w:val="283"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在产品</w:t>
            </w:r>
          </w:p>
        </w:tc>
        <w:tc>
          <w:tcPr>
            <w:tcW w:w="128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c>
          <w:tcPr>
            <w:tcW w:w="1286" w:type="dxa"/>
            <w:tcBorders>
              <w:top w:val="single" w:sz="4" w:space="0" w:color="000000"/>
              <w:left w:val="single" w:sz="4" w:space="0" w:color="000000"/>
              <w:bottom w:val="single" w:sz="4" w:space="0" w:color="000000"/>
              <w:right w:val="single" w:sz="4" w:space="0" w:color="000000"/>
            </w:tcBorders>
          </w:tcPr>
          <w:p>
            <w:pPr/>
          </w:p>
        </w:tc>
        <w:tc>
          <w:tcPr>
            <w:tcW w:w="999"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right"/>
              <w:rPr>
                <w:rFonts w:ascii="宋体" w:hAnsi="宋体" w:cs="宋体" w:eastAsia="宋体" w:hint="default"/>
                <w:sz w:val="21"/>
                <w:szCs w:val="21"/>
              </w:rPr>
            </w:pPr>
            <w:r>
              <w:rPr>
                <w:rFonts w:ascii="宋体"/>
                <w:spacing w:val="-1"/>
                <w:sz w:val="21"/>
              </w:rPr>
              <w:t>27,012,555</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right"/>
              <w:rPr>
                <w:rFonts w:ascii="宋体" w:hAnsi="宋体" w:cs="宋体" w:eastAsia="宋体" w:hint="default"/>
                <w:sz w:val="21"/>
                <w:szCs w:val="21"/>
              </w:rPr>
            </w:pPr>
            <w:r>
              <w:rPr>
                <w:rFonts w:ascii="宋体"/>
                <w:w w:val="100"/>
                <w:sz w:val="21"/>
              </w:rPr>
              <w:t>-</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7"/>
              <w:jc w:val="right"/>
              <w:rPr>
                <w:rFonts w:ascii="宋体" w:hAnsi="宋体" w:cs="宋体" w:eastAsia="宋体" w:hint="default"/>
                <w:sz w:val="21"/>
                <w:szCs w:val="21"/>
              </w:rPr>
            </w:pPr>
            <w:r>
              <w:rPr>
                <w:rFonts w:ascii="宋体"/>
                <w:spacing w:val="-1"/>
                <w:sz w:val="21"/>
              </w:rPr>
              <w:t>27,012,555</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right"/>
              <w:rPr>
                <w:rFonts w:ascii="宋体" w:hAnsi="宋体" w:cs="宋体" w:eastAsia="宋体" w:hint="default"/>
                <w:sz w:val="21"/>
                <w:szCs w:val="21"/>
              </w:rPr>
            </w:pPr>
            <w:r>
              <w:rPr>
                <w:rFonts w:ascii="宋体"/>
                <w:spacing w:val="-1"/>
                <w:sz w:val="21"/>
              </w:rPr>
              <w:t>31,393,308</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right"/>
              <w:rPr>
                <w:rFonts w:ascii="宋体" w:hAnsi="宋体" w:cs="宋体" w:eastAsia="宋体" w:hint="default"/>
                <w:sz w:val="21"/>
                <w:szCs w:val="21"/>
              </w:rPr>
            </w:pPr>
            <w:r>
              <w:rPr>
                <w:rFonts w:ascii="宋体"/>
                <w:w w:val="100"/>
                <w:sz w:val="21"/>
              </w:rPr>
              <w:t>-</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right"/>
              <w:rPr>
                <w:rFonts w:ascii="宋体" w:hAnsi="宋体" w:cs="宋体" w:eastAsia="宋体" w:hint="default"/>
                <w:sz w:val="21"/>
                <w:szCs w:val="21"/>
              </w:rPr>
            </w:pPr>
            <w:r>
              <w:rPr>
                <w:rFonts w:ascii="宋体"/>
                <w:spacing w:val="-1"/>
                <w:sz w:val="21"/>
              </w:rPr>
              <w:t>31,393,308</w:t>
            </w:r>
          </w:p>
        </w:tc>
      </w:tr>
      <w:tr>
        <w:trPr>
          <w:trHeight w:val="283"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周转材料</w:t>
            </w:r>
          </w:p>
        </w:tc>
        <w:tc>
          <w:tcPr>
            <w:tcW w:w="128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c>
          <w:tcPr>
            <w:tcW w:w="1286" w:type="dxa"/>
            <w:tcBorders>
              <w:top w:val="single" w:sz="4" w:space="0" w:color="000000"/>
              <w:left w:val="single" w:sz="4" w:space="0" w:color="000000"/>
              <w:bottom w:val="single" w:sz="4" w:space="0" w:color="000000"/>
              <w:right w:val="single" w:sz="4" w:space="0" w:color="000000"/>
            </w:tcBorders>
          </w:tcPr>
          <w:p>
            <w:pPr/>
          </w:p>
        </w:tc>
        <w:tc>
          <w:tcPr>
            <w:tcW w:w="999"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消耗性生物资产</w:t>
            </w:r>
          </w:p>
        </w:tc>
        <w:tc>
          <w:tcPr>
            <w:tcW w:w="128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c>
          <w:tcPr>
            <w:tcW w:w="1286" w:type="dxa"/>
            <w:tcBorders>
              <w:top w:val="single" w:sz="4" w:space="0" w:color="000000"/>
              <w:left w:val="single" w:sz="4" w:space="0" w:color="000000"/>
              <w:bottom w:val="single" w:sz="4" w:space="0" w:color="000000"/>
              <w:right w:val="single" w:sz="4" w:space="0" w:color="000000"/>
            </w:tcBorders>
          </w:tcPr>
          <w:p>
            <w:pPr/>
          </w:p>
        </w:tc>
        <w:tc>
          <w:tcPr>
            <w:tcW w:w="999"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320" w:bottom="1380" w:left="1580" w:right="1040"/>
        </w:sectPr>
      </w:pPr>
    </w:p>
    <w:p>
      <w:pPr>
        <w:spacing w:line="240" w:lineRule="auto" w:before="6"/>
        <w:rPr>
          <w:rFonts w:ascii="宋体" w:hAnsi="宋体" w:cs="宋体" w:eastAsia="宋体" w:hint="default"/>
          <w:sz w:val="14"/>
          <w:szCs w:val="14"/>
        </w:rPr>
      </w:pPr>
    </w:p>
    <w:tbl>
      <w:tblPr>
        <w:tblW w:w="0" w:type="auto"/>
        <w:jc w:val="left"/>
        <w:tblInd w:w="182" w:type="dxa"/>
        <w:tblLayout w:type="fixed"/>
        <w:tblCellMar>
          <w:top w:w="0" w:type="dxa"/>
          <w:left w:w="0" w:type="dxa"/>
          <w:bottom w:w="0" w:type="dxa"/>
          <w:right w:w="0" w:type="dxa"/>
        </w:tblCellMar>
        <w:tblLook w:val="01E0"/>
      </w:tblPr>
      <w:tblGrid>
        <w:gridCol w:w="1855"/>
        <w:gridCol w:w="1285"/>
        <w:gridCol w:w="1003"/>
        <w:gridCol w:w="1287"/>
        <w:gridCol w:w="1286"/>
        <w:gridCol w:w="999"/>
        <w:gridCol w:w="1181"/>
      </w:tblGrid>
      <w:tr>
        <w:trPr>
          <w:trHeight w:val="557"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26" w:right="0"/>
              <w:jc w:val="left"/>
              <w:rPr>
                <w:rFonts w:ascii="宋体" w:hAnsi="宋体" w:cs="宋体" w:eastAsia="宋体" w:hint="default"/>
                <w:sz w:val="21"/>
                <w:szCs w:val="21"/>
              </w:rPr>
            </w:pPr>
            <w:r>
              <w:rPr>
                <w:rFonts w:ascii="宋体" w:hAnsi="宋体" w:cs="宋体" w:eastAsia="宋体" w:hint="default"/>
                <w:sz w:val="21"/>
                <w:szCs w:val="21"/>
              </w:rPr>
              <w:t>建造合同形成的已</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完工未结算资产</w:t>
            </w:r>
          </w:p>
        </w:tc>
        <w:tc>
          <w:tcPr>
            <w:tcW w:w="128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c>
          <w:tcPr>
            <w:tcW w:w="1286" w:type="dxa"/>
            <w:tcBorders>
              <w:top w:val="single" w:sz="4" w:space="0" w:color="000000"/>
              <w:left w:val="single" w:sz="4" w:space="0" w:color="000000"/>
              <w:bottom w:val="single" w:sz="4" w:space="0" w:color="000000"/>
              <w:right w:val="single" w:sz="4" w:space="0" w:color="000000"/>
            </w:tcBorders>
          </w:tcPr>
          <w:p>
            <w:pPr/>
          </w:p>
        </w:tc>
        <w:tc>
          <w:tcPr>
            <w:tcW w:w="999"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855" w:type="dxa"/>
            <w:tcBorders>
              <w:top w:val="single" w:sz="4" w:space="0" w:color="000000"/>
              <w:left w:val="single" w:sz="4" w:space="0" w:color="000000"/>
              <w:bottom w:val="single" w:sz="4" w:space="0" w:color="000000"/>
              <w:right w:val="single" w:sz="4" w:space="0" w:color="000000"/>
            </w:tcBorders>
          </w:tcPr>
          <w:p>
            <w:pPr/>
          </w:p>
        </w:tc>
        <w:tc>
          <w:tcPr>
            <w:tcW w:w="128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c>
          <w:tcPr>
            <w:tcW w:w="1286" w:type="dxa"/>
            <w:tcBorders>
              <w:top w:val="single" w:sz="4" w:space="0" w:color="000000"/>
              <w:left w:val="single" w:sz="4" w:space="0" w:color="000000"/>
              <w:bottom w:val="single" w:sz="4" w:space="0" w:color="000000"/>
              <w:right w:val="single" w:sz="4" w:space="0" w:color="000000"/>
            </w:tcBorders>
          </w:tcPr>
          <w:p>
            <w:pPr/>
          </w:p>
        </w:tc>
        <w:tc>
          <w:tcPr>
            <w:tcW w:w="999"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55" w:type="dxa"/>
            <w:tcBorders>
              <w:top w:val="single" w:sz="4" w:space="0" w:color="000000"/>
              <w:left w:val="single" w:sz="4" w:space="0" w:color="000000"/>
              <w:bottom w:val="single" w:sz="4" w:space="0" w:color="000000"/>
              <w:right w:val="single" w:sz="4" w:space="0" w:color="000000"/>
            </w:tcBorders>
          </w:tcPr>
          <w:p>
            <w:pPr/>
          </w:p>
        </w:tc>
        <w:tc>
          <w:tcPr>
            <w:tcW w:w="128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c>
          <w:tcPr>
            <w:tcW w:w="1286" w:type="dxa"/>
            <w:tcBorders>
              <w:top w:val="single" w:sz="4" w:space="0" w:color="000000"/>
              <w:left w:val="single" w:sz="4" w:space="0" w:color="000000"/>
              <w:bottom w:val="single" w:sz="4" w:space="0" w:color="000000"/>
              <w:right w:val="single" w:sz="4" w:space="0" w:color="000000"/>
            </w:tcBorders>
          </w:tcPr>
          <w:p>
            <w:pPr/>
          </w:p>
        </w:tc>
        <w:tc>
          <w:tcPr>
            <w:tcW w:w="999"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97" w:right="0"/>
              <w:jc w:val="left"/>
              <w:rPr>
                <w:rFonts w:ascii="宋体" w:hAnsi="宋体" w:cs="宋体" w:eastAsia="宋体" w:hint="default"/>
                <w:sz w:val="21"/>
                <w:szCs w:val="21"/>
              </w:rPr>
            </w:pPr>
            <w:r>
              <w:rPr>
                <w:rFonts w:ascii="宋体"/>
                <w:sz w:val="21"/>
              </w:rPr>
              <w:t>31,837,078</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w w:val="100"/>
                <w:sz w:val="21"/>
              </w:rPr>
              <w:t>-</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99" w:right="0"/>
              <w:jc w:val="left"/>
              <w:rPr>
                <w:rFonts w:ascii="宋体" w:hAnsi="宋体" w:cs="宋体" w:eastAsia="宋体" w:hint="default"/>
                <w:sz w:val="21"/>
                <w:szCs w:val="21"/>
              </w:rPr>
            </w:pPr>
            <w:r>
              <w:rPr>
                <w:rFonts w:ascii="宋体"/>
                <w:sz w:val="21"/>
              </w:rPr>
              <w:t>31,837,078</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96" w:right="0"/>
              <w:jc w:val="left"/>
              <w:rPr>
                <w:rFonts w:ascii="宋体" w:hAnsi="宋体" w:cs="宋体" w:eastAsia="宋体" w:hint="default"/>
                <w:sz w:val="21"/>
                <w:szCs w:val="21"/>
              </w:rPr>
            </w:pPr>
            <w:r>
              <w:rPr>
                <w:rFonts w:ascii="宋体"/>
                <w:sz w:val="21"/>
              </w:rPr>
              <w:t>34,624,680</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w w:val="100"/>
                <w:sz w:val="21"/>
              </w:rPr>
              <w:t>-</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sz w:val="21"/>
              </w:rPr>
              <w:t>34,624,680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Heading3"/>
        <w:tabs>
          <w:tab w:pos="849" w:val="left" w:leader="none"/>
        </w:tabs>
        <w:spacing w:line="240" w:lineRule="auto" w:before="36"/>
        <w:ind w:right="99"/>
        <w:jc w:val="left"/>
        <w:rPr>
          <w:b w:val="0"/>
          <w:bCs w:val="0"/>
        </w:rPr>
      </w:pPr>
      <w:r>
        <w:rPr>
          <w:rFonts w:ascii="宋体" w:hAnsi="宋体" w:cs="宋体" w:eastAsia="宋体" w:hint="default"/>
          <w:w w:val="95"/>
        </w:rPr>
        <w:t>(2).</w:t>
        <w:tab/>
      </w:r>
      <w:r>
        <w:rPr/>
        <w:t>存货跌价准备</w:t>
      </w:r>
      <w:r>
        <w:rPr>
          <w:b w:val="0"/>
          <w:bCs w:val="0"/>
        </w:rPr>
      </w:r>
    </w:p>
    <w:p>
      <w:pPr>
        <w:pStyle w:val="BodyText"/>
        <w:spacing w:line="240" w:lineRule="auto" w:before="58"/>
        <w:ind w:right="99"/>
        <w:jc w:val="left"/>
      </w:pPr>
      <w:r>
        <w:rPr/>
        <w:t>□适用</w:t>
      </w:r>
      <w:r>
        <w:rPr>
          <w:spacing w:val="-1"/>
        </w:rPr>
        <w:t> </w:t>
      </w:r>
      <w:r>
        <w:rPr/>
        <w:t>√不适用</w:t>
      </w:r>
    </w:p>
    <w:p>
      <w:pPr>
        <w:pStyle w:val="Heading3"/>
        <w:tabs>
          <w:tab w:pos="849" w:val="left" w:leader="none"/>
        </w:tabs>
        <w:spacing w:line="240" w:lineRule="auto" w:before="56"/>
        <w:ind w:right="99"/>
        <w:jc w:val="left"/>
        <w:rPr>
          <w:b w:val="0"/>
          <w:bCs w:val="0"/>
        </w:rPr>
      </w:pPr>
      <w:r>
        <w:rPr>
          <w:rFonts w:ascii="宋体" w:hAnsi="宋体" w:cs="宋体" w:eastAsia="宋体" w:hint="default"/>
          <w:w w:val="95"/>
        </w:rPr>
        <w:t>(3).</w:t>
        <w:tab/>
      </w:r>
      <w:r>
        <w:rPr/>
        <w:t>存货期末余额含有借款费用资本化金额的说明：</w:t>
      </w:r>
      <w:r>
        <w:rPr>
          <w:b w:val="0"/>
          <w:bCs w:val="0"/>
        </w:rPr>
      </w:r>
    </w:p>
    <w:p>
      <w:pPr>
        <w:pStyle w:val="BodyText"/>
        <w:tabs>
          <w:tab w:pos="1060" w:val="left" w:leader="none"/>
        </w:tabs>
        <w:spacing w:line="240" w:lineRule="auto" w:before="57"/>
        <w:ind w:right="99"/>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tabs>
          <w:tab w:pos="849" w:val="left" w:leader="none"/>
        </w:tabs>
        <w:spacing w:line="240" w:lineRule="auto"/>
        <w:ind w:right="99"/>
        <w:jc w:val="left"/>
        <w:rPr>
          <w:b w:val="0"/>
          <w:bCs w:val="0"/>
        </w:rPr>
      </w:pPr>
      <w:r>
        <w:rPr>
          <w:rFonts w:ascii="宋体" w:hAnsi="宋体" w:cs="宋体" w:eastAsia="宋体" w:hint="default"/>
          <w:w w:val="95"/>
        </w:rPr>
        <w:t>(4).</w:t>
        <w:tab/>
      </w:r>
      <w:r>
        <w:rPr/>
        <w:t>期末建造合同形成的已完工未结算资产情况：</w:t>
      </w:r>
      <w:r>
        <w:rPr>
          <w:b w:val="0"/>
          <w:bCs w:val="0"/>
        </w:rPr>
      </w:r>
    </w:p>
    <w:p>
      <w:pPr>
        <w:pStyle w:val="BodyText"/>
        <w:spacing w:line="272" w:lineRule="exact" w:before="86"/>
        <w:ind w:right="7474"/>
        <w:jc w:val="left"/>
      </w:pPr>
      <w:r>
        <w:rPr/>
        <w:t>□适用</w:t>
      </w:r>
      <w:r>
        <w:rPr>
          <w:spacing w:val="-1"/>
        </w:rPr>
        <w:t> </w:t>
      </w:r>
      <w:r>
        <w:rPr/>
        <w:t>√不适用</w:t>
      </w:r>
      <w:r>
        <w:rPr>
          <w:w w:val="100"/>
        </w:rPr>
        <w:t> </w:t>
      </w:r>
      <w:r>
        <w:rPr/>
        <w:t>其他说明</w:t>
      </w:r>
    </w:p>
    <w:p>
      <w:pPr>
        <w:pStyle w:val="BodyText"/>
        <w:tabs>
          <w:tab w:pos="1060" w:val="left" w:leader="none"/>
        </w:tabs>
        <w:spacing w:line="247" w:lineRule="exact"/>
        <w:ind w:right="99"/>
        <w:jc w:val="left"/>
      </w:pPr>
      <w:r>
        <w:rPr>
          <w:spacing w:val="-1"/>
        </w:rPr>
        <w:t>√适用</w:t>
        <w:tab/>
      </w:r>
      <w:r>
        <w:rPr>
          <w:spacing w:val="-2"/>
        </w:rPr>
        <w:t>□不适用</w:t>
      </w:r>
    </w:p>
    <w:p>
      <w:pPr>
        <w:pStyle w:val="BodyText"/>
        <w:spacing w:line="272" w:lineRule="exact"/>
        <w:ind w:right="99"/>
        <w:jc w:val="left"/>
      </w:pPr>
      <w:r>
        <w:rPr>
          <w:w w:val="100"/>
        </w:rPr>
        <w:t>本集</w:t>
      </w:r>
      <w:r>
        <w:rPr>
          <w:spacing w:val="-3"/>
          <w:w w:val="100"/>
        </w:rPr>
        <w:t>团</w:t>
      </w:r>
      <w:r>
        <w:rPr>
          <w:w w:val="100"/>
        </w:rPr>
        <w:t>于</w:t>
      </w:r>
      <w:r>
        <w:rPr>
          <w:spacing w:val="-53"/>
        </w:rPr>
        <w:t> </w:t>
      </w:r>
      <w:r>
        <w:rPr>
          <w:rFonts w:ascii="宋体" w:hAnsi="宋体" w:cs="宋体" w:eastAsia="宋体" w:hint="default"/>
          <w:spacing w:val="-3"/>
          <w:w w:val="100"/>
        </w:rPr>
        <w:t>2</w:t>
      </w:r>
      <w:r>
        <w:rPr>
          <w:rFonts w:ascii="宋体" w:hAnsi="宋体" w:cs="宋体" w:eastAsia="宋体" w:hint="default"/>
          <w:w w:val="100"/>
        </w:rPr>
        <w:t>017</w:t>
      </w:r>
      <w:r>
        <w:rPr>
          <w:rFonts w:ascii="宋体" w:hAnsi="宋体" w:cs="宋体" w:eastAsia="宋体" w:hint="default"/>
          <w:spacing w:val="-55"/>
        </w:rPr>
        <w:t> </w:t>
      </w:r>
      <w:r>
        <w:rPr>
          <w:w w:val="100"/>
        </w:rPr>
        <w:t>年</w:t>
      </w:r>
      <w:r>
        <w:rPr>
          <w:spacing w:val="-53"/>
        </w:rPr>
        <w:t> </w:t>
      </w:r>
      <w:r>
        <w:rPr>
          <w:rFonts w:ascii="宋体" w:hAnsi="宋体" w:cs="宋体" w:eastAsia="宋体" w:hint="default"/>
          <w:w w:val="100"/>
        </w:rPr>
        <w:t>12</w:t>
      </w:r>
      <w:r>
        <w:rPr>
          <w:rFonts w:ascii="宋体" w:hAnsi="宋体" w:cs="宋体" w:eastAsia="宋体" w:hint="default"/>
          <w:spacing w:val="-55"/>
        </w:rPr>
        <w:t> </w:t>
      </w:r>
      <w:r>
        <w:rPr>
          <w:w w:val="100"/>
        </w:rPr>
        <w:t>月</w:t>
      </w:r>
      <w:r>
        <w:rPr>
          <w:spacing w:val="-52"/>
        </w:rPr>
        <w:t> </w:t>
      </w:r>
      <w:r>
        <w:rPr>
          <w:rFonts w:ascii="宋体" w:hAnsi="宋体" w:cs="宋体" w:eastAsia="宋体" w:hint="default"/>
          <w:spacing w:val="-3"/>
          <w:w w:val="100"/>
        </w:rPr>
        <w:t>3</w:t>
      </w:r>
      <w:r>
        <w:rPr>
          <w:rFonts w:ascii="宋体" w:hAnsi="宋体" w:cs="宋体" w:eastAsia="宋体" w:hint="default"/>
          <w:w w:val="100"/>
        </w:rPr>
        <w:t>1</w:t>
      </w:r>
      <w:r>
        <w:rPr>
          <w:rFonts w:ascii="宋体" w:hAnsi="宋体" w:cs="宋体" w:eastAsia="宋体" w:hint="default"/>
          <w:spacing w:val="-55"/>
        </w:rPr>
        <w:t> </w:t>
      </w:r>
      <w:r>
        <w:rPr>
          <w:w w:val="100"/>
        </w:rPr>
        <w:t>日的</w:t>
      </w:r>
      <w:r>
        <w:rPr>
          <w:spacing w:val="-3"/>
          <w:w w:val="100"/>
        </w:rPr>
        <w:t>存</w:t>
      </w:r>
      <w:r>
        <w:rPr>
          <w:w w:val="100"/>
        </w:rPr>
        <w:t>货</w:t>
      </w:r>
      <w:r>
        <w:rPr>
          <w:spacing w:val="-3"/>
          <w:w w:val="100"/>
        </w:rPr>
        <w:t>中</w:t>
      </w:r>
      <w:r>
        <w:rPr>
          <w:w w:val="100"/>
        </w:rPr>
        <w:t>不</w:t>
      </w:r>
      <w:r>
        <w:rPr>
          <w:spacing w:val="-3"/>
          <w:w w:val="100"/>
        </w:rPr>
        <w:t>存</w:t>
      </w:r>
      <w:r>
        <w:rPr>
          <w:w w:val="100"/>
        </w:rPr>
        <w:t>在</w:t>
      </w:r>
      <w:r>
        <w:rPr>
          <w:spacing w:val="-3"/>
          <w:w w:val="100"/>
        </w:rPr>
        <w:t>因</w:t>
      </w:r>
      <w:r>
        <w:rPr>
          <w:w w:val="100"/>
        </w:rPr>
        <w:t>遭</w:t>
      </w:r>
      <w:r>
        <w:rPr>
          <w:spacing w:val="-3"/>
          <w:w w:val="100"/>
        </w:rPr>
        <w:t>受</w:t>
      </w:r>
      <w:r>
        <w:rPr>
          <w:w w:val="100"/>
        </w:rPr>
        <w:t>毁</w:t>
      </w:r>
      <w:r>
        <w:rPr>
          <w:spacing w:val="-3"/>
          <w:w w:val="100"/>
        </w:rPr>
        <w:t>损</w:t>
      </w:r>
      <w:r>
        <w:rPr>
          <w:spacing w:val="-92"/>
          <w:w w:val="100"/>
        </w:rPr>
        <w:t>、</w:t>
      </w:r>
      <w:r>
        <w:rPr>
          <w:spacing w:val="-3"/>
          <w:w w:val="100"/>
        </w:rPr>
        <w:t>全</w:t>
      </w:r>
      <w:r>
        <w:rPr>
          <w:w w:val="100"/>
        </w:rPr>
        <w:t>部</w:t>
      </w:r>
      <w:r>
        <w:rPr>
          <w:spacing w:val="-3"/>
          <w:w w:val="100"/>
        </w:rPr>
        <w:t>或</w:t>
      </w:r>
      <w:r>
        <w:rPr>
          <w:w w:val="100"/>
        </w:rPr>
        <w:t>部</w:t>
      </w:r>
      <w:r>
        <w:rPr>
          <w:spacing w:val="-3"/>
          <w:w w:val="100"/>
        </w:rPr>
        <w:t>分</w:t>
      </w:r>
      <w:r>
        <w:rPr>
          <w:w w:val="100"/>
        </w:rPr>
        <w:t>陈</w:t>
      </w:r>
      <w:r>
        <w:rPr>
          <w:spacing w:val="-3"/>
          <w:w w:val="100"/>
        </w:rPr>
        <w:t>旧</w:t>
      </w:r>
      <w:r>
        <w:rPr>
          <w:w w:val="100"/>
        </w:rPr>
        <w:t>过</w:t>
      </w:r>
      <w:r>
        <w:rPr>
          <w:spacing w:val="-3"/>
          <w:w w:val="100"/>
        </w:rPr>
        <w:t>时</w:t>
      </w:r>
      <w:r>
        <w:rPr>
          <w:w w:val="100"/>
        </w:rPr>
        <w:t>或销</w:t>
      </w:r>
      <w:r>
        <w:rPr>
          <w:spacing w:val="-3"/>
          <w:w w:val="100"/>
        </w:rPr>
        <w:t>售</w:t>
      </w:r>
      <w:r>
        <w:rPr>
          <w:w w:val="100"/>
        </w:rPr>
        <w:t>价</w:t>
      </w:r>
      <w:r>
        <w:rPr>
          <w:spacing w:val="-3"/>
          <w:w w:val="100"/>
        </w:rPr>
        <w:t>格</w:t>
      </w:r>
      <w:r>
        <w:rPr>
          <w:w w:val="100"/>
        </w:rPr>
        <w:t>低</w:t>
      </w:r>
      <w:r>
        <w:rPr>
          <w:spacing w:val="-3"/>
          <w:w w:val="100"/>
        </w:rPr>
        <w:t>于</w:t>
      </w:r>
      <w:r>
        <w:rPr>
          <w:w w:val="100"/>
        </w:rPr>
        <w:t>成</w:t>
      </w:r>
    </w:p>
    <w:p>
      <w:pPr>
        <w:pStyle w:val="BodyText"/>
        <w:spacing w:line="272" w:lineRule="exact" w:before="27"/>
        <w:ind w:right="234"/>
        <w:jc w:val="left"/>
      </w:pPr>
      <w:r>
        <w:rPr/>
        <w:t>本等原因，而使存货成本高于其可变现净值的情况，故不需计提存货跌价准备 </w:t>
      </w:r>
      <w:r>
        <w:rPr>
          <w:rFonts w:ascii="宋体" w:hAnsi="宋体" w:cs="宋体" w:eastAsia="宋体" w:hint="default"/>
        </w:rPr>
        <w:t>(2016</w:t>
      </w:r>
      <w:r>
        <w:rPr>
          <w:rFonts w:ascii="宋体" w:hAnsi="宋体" w:cs="宋体" w:eastAsia="宋体" w:hint="default"/>
          <w:spacing w:val="-55"/>
        </w:rPr>
        <w:t> </w:t>
      </w:r>
      <w:r>
        <w:rPr/>
        <w:t>年</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w w:val="100"/>
        </w:rPr>
        <w:t> </w:t>
      </w:r>
      <w:r>
        <w:rPr/>
        <w:t>日：无</w:t>
      </w:r>
      <w:r>
        <w:rPr>
          <w:rFonts w:ascii="宋体" w:hAnsi="宋体" w:cs="宋体" w:eastAsia="宋体" w:hint="default"/>
        </w:rPr>
        <w:t>)</w:t>
      </w:r>
      <w:r>
        <w:rPr/>
        <w:t>。</w:t>
      </w:r>
    </w:p>
    <w:p>
      <w:pPr>
        <w:pStyle w:val="BodyText"/>
        <w:spacing w:line="606" w:lineRule="exact" w:before="5"/>
        <w:ind w:right="2209"/>
        <w:jc w:val="left"/>
        <w:rPr>
          <w:rFonts w:ascii="宋体" w:hAnsi="宋体" w:cs="宋体" w:eastAsia="宋体" w:hint="default"/>
        </w:rPr>
      </w:pPr>
      <w:r>
        <w:rPr/>
        <w:t>于</w:t>
      </w:r>
      <w:r>
        <w:rPr>
          <w:spacing w:val="-53"/>
        </w:rPr>
        <w:t> </w:t>
      </w:r>
      <w:r>
        <w:rPr>
          <w:rFonts w:ascii="宋体" w:hAnsi="宋体" w:cs="宋体" w:eastAsia="宋体" w:hint="default"/>
        </w:rPr>
        <w:t>2017</w:t>
      </w:r>
      <w:r>
        <w:rPr>
          <w:rFonts w:ascii="宋体" w:hAnsi="宋体" w:cs="宋体" w:eastAsia="宋体" w:hint="default"/>
          <w:spacing w:val="-53"/>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日无存货所有权受到限制</w:t>
      </w:r>
      <w:r>
        <w:rPr>
          <w:rFonts w:ascii="宋体" w:hAnsi="宋体" w:cs="宋体" w:eastAsia="宋体" w:hint="default"/>
        </w:rPr>
        <w:t>(2016</w:t>
      </w:r>
      <w:r>
        <w:rPr>
          <w:rFonts w:ascii="宋体" w:hAnsi="宋体" w:cs="宋体" w:eastAsia="宋体" w:hint="default"/>
          <w:spacing w:val="-55"/>
        </w:rPr>
        <w:t> </w:t>
      </w:r>
      <w:r>
        <w:rPr/>
        <w:t>年</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日：无</w:t>
      </w:r>
      <w:r>
        <w:rPr>
          <w:rFonts w:ascii="宋体" w:hAnsi="宋体" w:cs="宋体" w:eastAsia="宋体" w:hint="default"/>
        </w:rPr>
        <w:t>)</w:t>
      </w:r>
      <w:r>
        <w:rPr/>
        <w:t>。</w:t>
      </w:r>
      <w:r>
        <w:rPr>
          <w:w w:val="100"/>
        </w:rPr>
        <w:t> </w:t>
      </w:r>
      <w:r>
        <w:rPr>
          <w:rFonts w:ascii="宋体" w:hAnsi="宋体" w:cs="宋体" w:eastAsia="宋体" w:hint="default"/>
          <w:b/>
          <w:bCs/>
        </w:rPr>
        <w:t>11</w:t>
      </w:r>
      <w:r>
        <w:rPr>
          <w:rFonts w:ascii="宋体" w:hAnsi="宋体" w:cs="宋体" w:eastAsia="宋体" w:hint="default"/>
          <w:b/>
          <w:bCs/>
        </w:rPr>
        <w:t>、</w:t>
      </w:r>
      <w:r>
        <w:rPr>
          <w:rFonts w:ascii="宋体" w:hAnsi="宋体" w:cs="宋体" w:eastAsia="宋体" w:hint="default"/>
          <w:b/>
          <w:bCs/>
          <w:spacing w:val="-24"/>
        </w:rPr>
        <w:t> </w:t>
      </w:r>
      <w:r>
        <w:rPr>
          <w:rFonts w:ascii="宋体" w:hAnsi="宋体" w:cs="宋体" w:eastAsia="宋体" w:hint="default"/>
          <w:b/>
          <w:bCs/>
        </w:rPr>
        <w:t>持有待售资产</w:t>
      </w:r>
      <w:r>
        <w:rPr>
          <w:rFonts w:ascii="宋体" w:hAnsi="宋体" w:cs="宋体" w:eastAsia="宋体" w:hint="default"/>
        </w:rPr>
      </w:r>
    </w:p>
    <w:p>
      <w:pPr>
        <w:pStyle w:val="BodyText"/>
        <w:spacing w:line="242" w:lineRule="exact"/>
        <w:ind w:right="99"/>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5"/>
          <w:szCs w:val="25"/>
        </w:rPr>
      </w:pPr>
    </w:p>
    <w:p>
      <w:pPr>
        <w:pStyle w:val="Heading3"/>
        <w:spacing w:line="240" w:lineRule="auto"/>
        <w:ind w:right="99"/>
        <w:jc w:val="left"/>
        <w:rPr>
          <w:b w:val="0"/>
          <w:bCs w:val="0"/>
        </w:rPr>
      </w:pPr>
      <w:r>
        <w:rPr>
          <w:rFonts w:ascii="宋体" w:hAnsi="宋体" w:cs="宋体" w:eastAsia="宋体" w:hint="default"/>
        </w:rPr>
        <w:t>12</w:t>
      </w:r>
      <w:r>
        <w:rPr/>
        <w:t>、</w:t>
      </w:r>
      <w:r>
        <w:rPr>
          <w:spacing w:val="-25"/>
        </w:rPr>
        <w:t> </w:t>
      </w:r>
      <w:r>
        <w:rPr/>
        <w:t>一年内到期的非流动资产</w:t>
      </w:r>
      <w:r>
        <w:rPr>
          <w:b w:val="0"/>
          <w:bCs w:val="0"/>
        </w:rPr>
      </w:r>
    </w:p>
    <w:p>
      <w:pPr>
        <w:pStyle w:val="BodyText"/>
        <w:spacing w:line="240" w:lineRule="auto" w:before="58"/>
        <w:ind w:right="99"/>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57" w:footer="1195" w:top="1320" w:bottom="1380" w:left="1580" w:right="1040"/>
        </w:sectPr>
      </w:pPr>
    </w:p>
    <w:p>
      <w:pPr>
        <w:pStyle w:val="Heading3"/>
        <w:spacing w:line="240" w:lineRule="auto" w:before="36"/>
        <w:ind w:right="-18"/>
        <w:jc w:val="left"/>
        <w:rPr>
          <w:b w:val="0"/>
          <w:bCs w:val="0"/>
        </w:rPr>
      </w:pPr>
      <w:r>
        <w:rPr>
          <w:rFonts w:ascii="宋体" w:hAnsi="宋体" w:cs="宋体" w:eastAsia="宋体" w:hint="default"/>
        </w:rPr>
        <w:t>13</w:t>
      </w:r>
      <w:r>
        <w:rPr/>
        <w:t>、</w:t>
      </w:r>
      <w:r>
        <w:rPr>
          <w:spacing w:val="-24"/>
        </w:rPr>
        <w:t> </w:t>
      </w:r>
      <w:r>
        <w:rPr/>
        <w:t>其他流动资产</w:t>
      </w:r>
      <w:r>
        <w:rPr>
          <w:b w:val="0"/>
          <w:bCs w:val="0"/>
        </w:rPr>
      </w:r>
    </w:p>
    <w:p>
      <w:pPr>
        <w:pStyle w:val="BodyText"/>
        <w:spacing w:line="240" w:lineRule="auto" w:before="58"/>
        <w:ind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9"/>
          <w:szCs w:val="29"/>
        </w:rPr>
      </w:pPr>
    </w:p>
    <w:p>
      <w:pPr>
        <w:pStyle w:val="BodyText"/>
        <w:tabs>
          <w:tab w:pos="1269" w:val="left" w:leader="none"/>
        </w:tabs>
        <w:spacing w:line="240" w:lineRule="auto"/>
        <w:ind w:right="0"/>
        <w:jc w:val="left"/>
      </w:pPr>
      <w:r>
        <w:rPr>
          <w:spacing w:val="-1"/>
        </w:rPr>
        <w:t>单位：元</w:t>
        <w:tab/>
      </w:r>
      <w:r>
        <w:rPr>
          <w:spacing w:val="-2"/>
        </w:rPr>
        <w:t>币种：人民币</w:t>
      </w:r>
    </w:p>
    <w:p>
      <w:pPr>
        <w:spacing w:after="0" w:line="240" w:lineRule="auto"/>
        <w:jc w:val="left"/>
        <w:sectPr>
          <w:type w:val="continuous"/>
          <w:pgSz w:w="11910" w:h="16840"/>
          <w:pgMar w:top="1320" w:bottom="1380" w:left="1580" w:right="1040"/>
          <w:cols w:num="2" w:equalWidth="0">
            <w:col w:w="1990" w:space="4532"/>
            <w:col w:w="2768"/>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289"/>
        <w:gridCol w:w="2916"/>
        <w:gridCol w:w="2845"/>
      </w:tblGrid>
      <w:tr>
        <w:trPr>
          <w:trHeight w:val="283" w:hRule="exac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426"/>
              <w:jc w:val="right"/>
              <w:rPr>
                <w:rFonts w:ascii="宋体" w:hAnsi="宋体" w:cs="宋体" w:eastAsia="宋体" w:hint="default"/>
                <w:sz w:val="21"/>
                <w:szCs w:val="21"/>
              </w:rPr>
            </w:pPr>
            <w:r>
              <w:rPr>
                <w:rFonts w:ascii="宋体" w:hAnsi="宋体" w:cs="宋体" w:eastAsia="宋体" w:hint="default"/>
                <w:sz w:val="21"/>
                <w:szCs w:val="21"/>
              </w:rPr>
              <w:t>项目</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8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83" w:hRule="exac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 w:right="0"/>
              <w:jc w:val="left"/>
              <w:rPr>
                <w:rFonts w:ascii="宋体" w:hAnsi="宋体" w:cs="宋体" w:eastAsia="宋体" w:hint="default"/>
                <w:sz w:val="21"/>
                <w:szCs w:val="21"/>
              </w:rPr>
            </w:pPr>
            <w:r>
              <w:rPr>
                <w:rFonts w:ascii="宋体" w:hAnsi="宋体" w:cs="宋体" w:eastAsia="宋体" w:hint="default"/>
                <w:sz w:val="21"/>
                <w:szCs w:val="21"/>
              </w:rPr>
              <w:t>理财产品</w:t>
            </w:r>
            <w:r>
              <w:rPr>
                <w:rFonts w:ascii="宋体" w:hAnsi="宋体" w:cs="宋体" w:eastAsia="宋体" w:hint="default"/>
                <w:sz w:val="21"/>
                <w:szCs w:val="21"/>
              </w:rPr>
              <w:t>(</w:t>
            </w:r>
            <w:r>
              <w:rPr>
                <w:rFonts w:ascii="宋体" w:hAnsi="宋体" w:cs="宋体" w:eastAsia="宋体" w:hint="default"/>
                <w:sz w:val="21"/>
                <w:szCs w:val="21"/>
              </w:rPr>
              <w:t>注</w:t>
            </w:r>
            <w:r>
              <w:rPr>
                <w:rFonts w:ascii="宋体" w:hAnsi="宋体" w:cs="宋体" w:eastAsia="宋体" w:hint="default"/>
                <w:spacing w:val="-53"/>
                <w:sz w:val="21"/>
                <w:szCs w:val="21"/>
              </w:rPr>
              <w:t> </w:t>
            </w:r>
            <w:r>
              <w:rPr>
                <w:rFonts w:ascii="宋体" w:hAnsi="宋体" w:cs="宋体" w:eastAsia="宋体" w:hint="default"/>
                <w:sz w:val="21"/>
                <w:szCs w:val="21"/>
              </w:rPr>
              <w:t>1)</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1,156,585,624</w:t>
            </w:r>
          </w:p>
        </w:tc>
        <w:tc>
          <w:tcPr>
            <w:tcW w:w="28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706,981,694</w:t>
            </w:r>
          </w:p>
        </w:tc>
      </w:tr>
      <w:tr>
        <w:trPr>
          <w:trHeight w:val="281" w:hRule="exac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 w:right="0"/>
              <w:jc w:val="left"/>
              <w:rPr>
                <w:rFonts w:ascii="宋体" w:hAnsi="宋体" w:cs="宋体" w:eastAsia="宋体" w:hint="default"/>
                <w:sz w:val="21"/>
                <w:szCs w:val="21"/>
              </w:rPr>
            </w:pPr>
            <w:r>
              <w:rPr>
                <w:rFonts w:ascii="宋体" w:hAnsi="宋体" w:cs="宋体" w:eastAsia="宋体" w:hint="default"/>
                <w:sz w:val="21"/>
                <w:szCs w:val="21"/>
              </w:rPr>
              <w:t>备付金款项</w:t>
            </w:r>
            <w:r>
              <w:rPr>
                <w:rFonts w:ascii="宋体" w:hAnsi="宋体" w:cs="宋体" w:eastAsia="宋体" w:hint="default"/>
                <w:sz w:val="21"/>
                <w:szCs w:val="21"/>
              </w:rPr>
              <w:t>(</w:t>
            </w: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2)</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135,005,931</w:t>
            </w:r>
          </w:p>
        </w:tc>
        <w:tc>
          <w:tcPr>
            <w:tcW w:w="28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275,899,351</w:t>
            </w:r>
          </w:p>
        </w:tc>
      </w:tr>
      <w:tr>
        <w:trPr>
          <w:trHeight w:val="283" w:hRule="exac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 w:right="0"/>
              <w:jc w:val="left"/>
              <w:rPr>
                <w:rFonts w:ascii="宋体" w:hAnsi="宋体" w:cs="宋体" w:eastAsia="宋体" w:hint="default"/>
                <w:sz w:val="21"/>
                <w:szCs w:val="21"/>
              </w:rPr>
            </w:pPr>
            <w:r>
              <w:rPr>
                <w:rFonts w:ascii="宋体" w:hAnsi="宋体" w:cs="宋体" w:eastAsia="宋体" w:hint="default"/>
                <w:sz w:val="21"/>
                <w:szCs w:val="21"/>
              </w:rPr>
              <w:t>待摊房租费用</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5,871,132</w:t>
            </w:r>
          </w:p>
        </w:tc>
        <w:tc>
          <w:tcPr>
            <w:tcW w:w="28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5,000,053</w:t>
            </w:r>
          </w:p>
        </w:tc>
      </w:tr>
      <w:tr>
        <w:trPr>
          <w:trHeight w:val="283" w:hRule="exac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 w:right="0"/>
              <w:jc w:val="left"/>
              <w:rPr>
                <w:rFonts w:ascii="宋体" w:hAnsi="宋体" w:cs="宋体" w:eastAsia="宋体" w:hint="default"/>
                <w:sz w:val="21"/>
                <w:szCs w:val="21"/>
              </w:rPr>
            </w:pPr>
            <w:r>
              <w:rPr>
                <w:rFonts w:ascii="宋体" w:hAnsi="宋体" w:cs="宋体" w:eastAsia="宋体" w:hint="default"/>
                <w:sz w:val="21"/>
                <w:szCs w:val="21"/>
              </w:rPr>
              <w:t>其他待摊费用</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10,365,394</w:t>
            </w:r>
          </w:p>
        </w:tc>
        <w:tc>
          <w:tcPr>
            <w:tcW w:w="28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8,848,686</w:t>
            </w:r>
          </w:p>
        </w:tc>
      </w:tr>
      <w:tr>
        <w:trPr>
          <w:trHeight w:val="281" w:hRule="exac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479"/>
              <w:jc w:val="right"/>
              <w:rPr>
                <w:rFonts w:ascii="宋体" w:hAnsi="宋体" w:cs="宋体" w:eastAsia="宋体" w:hint="default"/>
                <w:sz w:val="21"/>
                <w:szCs w:val="21"/>
              </w:rPr>
            </w:pPr>
            <w:r>
              <w:rPr>
                <w:rFonts w:ascii="宋体" w:hAnsi="宋体" w:cs="宋体" w:eastAsia="宋体" w:hint="default"/>
                <w:sz w:val="21"/>
                <w:szCs w:val="21"/>
              </w:rPr>
              <w:t>合计</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1,307,828,081</w:t>
            </w:r>
          </w:p>
        </w:tc>
        <w:tc>
          <w:tcPr>
            <w:tcW w:w="28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996,729,784</w:t>
            </w:r>
          </w:p>
        </w:tc>
      </w:tr>
    </w:tbl>
    <w:p>
      <w:pPr>
        <w:spacing w:line="240" w:lineRule="auto" w:before="7"/>
        <w:rPr>
          <w:rFonts w:ascii="宋体" w:hAnsi="宋体" w:cs="宋体" w:eastAsia="宋体" w:hint="default"/>
          <w:sz w:val="15"/>
          <w:szCs w:val="15"/>
        </w:rPr>
      </w:pPr>
    </w:p>
    <w:p>
      <w:pPr>
        <w:pStyle w:val="BodyText"/>
        <w:spacing w:line="273" w:lineRule="exact" w:before="36"/>
        <w:ind w:right="99"/>
        <w:jc w:val="left"/>
      </w:pPr>
      <w:r>
        <w:rPr/>
        <w:t>其他说明</w:t>
      </w:r>
    </w:p>
    <w:p>
      <w:pPr>
        <w:pStyle w:val="BodyText"/>
        <w:spacing w:line="272" w:lineRule="exact"/>
        <w:ind w:right="99"/>
        <w:jc w:val="left"/>
      </w:pPr>
      <w:r>
        <w:rPr/>
        <w:t>注</w:t>
      </w:r>
      <w:r>
        <w:rPr>
          <w:spacing w:val="-46"/>
        </w:rPr>
        <w:t> </w:t>
      </w:r>
      <w:r>
        <w:rPr>
          <w:rFonts w:ascii="宋体" w:hAnsi="宋体" w:cs="宋体" w:eastAsia="宋体" w:hint="default"/>
          <w:spacing w:val="-17"/>
        </w:rPr>
        <w:t>1</w:t>
      </w:r>
      <w:r>
        <w:rPr>
          <w:spacing w:val="-17"/>
        </w:rPr>
        <w:t>：于</w:t>
      </w:r>
      <w:r>
        <w:rPr>
          <w:spacing w:val="-48"/>
        </w:rPr>
        <w:t> </w:t>
      </w:r>
      <w:r>
        <w:rPr>
          <w:rFonts w:ascii="宋体" w:hAnsi="宋体" w:cs="宋体" w:eastAsia="宋体" w:hint="default"/>
        </w:rPr>
        <w:t>2017</w:t>
      </w:r>
      <w:r>
        <w:rPr>
          <w:rFonts w:ascii="宋体" w:hAnsi="宋体" w:cs="宋体" w:eastAsia="宋体" w:hint="default"/>
          <w:spacing w:val="-46"/>
        </w:rPr>
        <w:t> </w:t>
      </w:r>
      <w:r>
        <w:rPr/>
        <w:t>年</w:t>
      </w:r>
      <w:r>
        <w:rPr>
          <w:spacing w:val="-46"/>
        </w:rPr>
        <w:t> </w:t>
      </w:r>
      <w:r>
        <w:rPr>
          <w:rFonts w:ascii="宋体" w:hAnsi="宋体" w:cs="宋体" w:eastAsia="宋体" w:hint="default"/>
        </w:rPr>
        <w:t>12</w:t>
      </w:r>
      <w:r>
        <w:rPr>
          <w:rFonts w:ascii="宋体" w:hAnsi="宋体" w:cs="宋体" w:eastAsia="宋体" w:hint="default"/>
          <w:spacing w:val="-46"/>
        </w:rPr>
        <w:t> </w:t>
      </w:r>
      <w:r>
        <w:rPr/>
        <w:t>月</w:t>
      </w:r>
      <w:r>
        <w:rPr>
          <w:spacing w:val="-47"/>
        </w:rPr>
        <w:t> </w:t>
      </w:r>
      <w:r>
        <w:rPr>
          <w:rFonts w:ascii="宋体" w:hAnsi="宋体" w:cs="宋体" w:eastAsia="宋体" w:hint="default"/>
        </w:rPr>
        <w:t>31</w:t>
      </w:r>
      <w:r>
        <w:rPr>
          <w:rFonts w:ascii="宋体" w:hAnsi="宋体" w:cs="宋体" w:eastAsia="宋体" w:hint="default"/>
          <w:spacing w:val="-48"/>
        </w:rPr>
        <w:t> </w:t>
      </w:r>
      <w:r>
        <w:rPr>
          <w:spacing w:val="-8"/>
        </w:rPr>
        <w:t>日，理财产品为从银行、证券公司购入，预期年化收益率为</w:t>
      </w:r>
      <w:r>
        <w:rPr>
          <w:spacing w:val="-45"/>
        </w:rPr>
        <w:t> </w:t>
      </w:r>
      <w:r>
        <w:rPr>
          <w:rFonts w:ascii="宋体" w:hAnsi="宋体" w:cs="宋体" w:eastAsia="宋体" w:hint="default"/>
        </w:rPr>
        <w:t>1.6%-5.2%</w:t>
      </w:r>
      <w:r>
        <w:rPr/>
        <w:t>。</w:t>
      </w:r>
    </w:p>
    <w:p>
      <w:pPr>
        <w:pStyle w:val="BodyText"/>
        <w:spacing w:line="272" w:lineRule="exact"/>
        <w:ind w:right="99"/>
        <w:jc w:val="left"/>
      </w:pPr>
      <w:r>
        <w:rPr>
          <w:rFonts w:ascii="宋体" w:hAnsi="宋体" w:cs="宋体" w:eastAsia="宋体" w:hint="default"/>
        </w:rPr>
        <w:t>(2016</w:t>
      </w:r>
      <w:r>
        <w:rPr>
          <w:rFonts w:ascii="宋体" w:hAnsi="宋体" w:cs="宋体" w:eastAsia="宋体" w:hint="default"/>
          <w:spacing w:val="-56"/>
        </w:rPr>
        <w:t> </w:t>
      </w:r>
      <w:r>
        <w:rPr/>
        <w:t>年</w:t>
      </w:r>
      <w:r>
        <w:rPr>
          <w:spacing w:val="-54"/>
        </w:rPr>
        <w:t> </w:t>
      </w:r>
      <w:r>
        <w:rPr>
          <w:rFonts w:ascii="宋体" w:hAnsi="宋体" w:cs="宋体" w:eastAsia="宋体" w:hint="default"/>
        </w:rPr>
        <w:t>12</w:t>
      </w:r>
      <w:r>
        <w:rPr>
          <w:rFonts w:ascii="宋体" w:hAnsi="宋体" w:cs="宋体" w:eastAsia="宋体" w:hint="default"/>
          <w:spacing w:val="-54"/>
        </w:rPr>
        <w:t> </w:t>
      </w:r>
      <w:r>
        <w:rPr/>
        <w:t>月</w:t>
      </w:r>
      <w:r>
        <w:rPr>
          <w:spacing w:val="-54"/>
        </w:rPr>
        <w:t> </w:t>
      </w:r>
      <w:r>
        <w:rPr>
          <w:rFonts w:ascii="宋体" w:hAnsi="宋体" w:cs="宋体" w:eastAsia="宋体" w:hint="default"/>
        </w:rPr>
        <w:t>31</w:t>
      </w:r>
      <w:r>
        <w:rPr>
          <w:rFonts w:ascii="宋体" w:hAnsi="宋体" w:cs="宋体" w:eastAsia="宋体" w:hint="default"/>
          <w:spacing w:val="-54"/>
        </w:rPr>
        <w:t> </w:t>
      </w:r>
      <w:r>
        <w:rPr/>
        <w:t>日：</w:t>
      </w:r>
      <w:r>
        <w:rPr>
          <w:rFonts w:ascii="宋体" w:hAnsi="宋体" w:cs="宋体" w:eastAsia="宋体" w:hint="default"/>
        </w:rPr>
        <w:t>2.9%-4.0%)</w:t>
      </w:r>
      <w:r>
        <w:rPr/>
        <w:t>。</w:t>
      </w:r>
    </w:p>
    <w:p>
      <w:pPr>
        <w:pStyle w:val="BodyText"/>
        <w:spacing w:line="240" w:lineRule="auto"/>
        <w:ind w:right="222"/>
        <w:jc w:val="left"/>
      </w:pPr>
      <w:r>
        <w:rPr/>
        <w:t>注</w:t>
      </w:r>
      <w:r>
        <w:rPr>
          <w:spacing w:val="6"/>
        </w:rPr>
        <w:t> </w:t>
      </w:r>
      <w:r>
        <w:rPr>
          <w:rFonts w:ascii="宋体" w:hAnsi="宋体" w:cs="宋体" w:eastAsia="宋体" w:hint="default"/>
        </w:rPr>
        <w:t>2</w:t>
      </w:r>
      <w:r>
        <w:rPr/>
        <w:t>：备付金款项指由畅捷通支付因提供支付业务收取的备付金，该款项将于次日转至客户的自</w:t>
      </w:r>
      <w:r>
        <w:rPr>
          <w:w w:val="100"/>
        </w:rPr>
        <w:t> </w:t>
      </w:r>
      <w:r>
        <w:rPr/>
        <w:t>有账户中。</w:t>
      </w:r>
    </w:p>
    <w:p>
      <w:pPr>
        <w:spacing w:after="0" w:line="240" w:lineRule="auto"/>
        <w:jc w:val="left"/>
        <w:sectPr>
          <w:type w:val="continuous"/>
          <w:pgSz w:w="11910" w:h="16840"/>
          <w:pgMar w:top="1320" w:bottom="1380" w:left="1580" w:right="1040"/>
        </w:sectPr>
      </w:pPr>
    </w:p>
    <w:p>
      <w:pPr>
        <w:spacing w:line="240" w:lineRule="auto" w:before="2"/>
        <w:rPr>
          <w:rFonts w:ascii="宋体" w:hAnsi="宋体" w:cs="宋体" w:eastAsia="宋体" w:hint="default"/>
          <w:sz w:val="9"/>
          <w:szCs w:val="9"/>
        </w:rPr>
      </w:pPr>
    </w:p>
    <w:p>
      <w:pPr>
        <w:spacing w:after="0" w:line="240" w:lineRule="auto"/>
        <w:rPr>
          <w:rFonts w:ascii="宋体" w:hAnsi="宋体" w:cs="宋体" w:eastAsia="宋体" w:hint="default"/>
          <w:sz w:val="9"/>
          <w:szCs w:val="9"/>
        </w:rPr>
        <w:sectPr>
          <w:pgSz w:w="11910" w:h="16840"/>
          <w:pgMar w:header="857" w:footer="1195" w:top="1320" w:bottom="1380" w:left="160" w:right="40"/>
        </w:sectPr>
      </w:pPr>
    </w:p>
    <w:p>
      <w:pPr>
        <w:pStyle w:val="Heading3"/>
        <w:spacing w:line="240" w:lineRule="auto" w:before="36"/>
        <w:ind w:left="1638" w:right="-9"/>
        <w:jc w:val="left"/>
        <w:rPr>
          <w:b w:val="0"/>
          <w:bCs w:val="0"/>
        </w:rPr>
      </w:pPr>
      <w:r>
        <w:rPr>
          <w:rFonts w:ascii="宋体" w:hAnsi="宋体" w:cs="宋体" w:eastAsia="宋体" w:hint="default"/>
        </w:rPr>
        <w:t>14</w:t>
      </w:r>
      <w:r>
        <w:rPr/>
        <w:t>、</w:t>
      </w:r>
      <w:r>
        <w:rPr>
          <w:spacing w:val="-24"/>
        </w:rPr>
        <w:t> </w:t>
      </w:r>
      <w:r>
        <w:rPr/>
        <w:t>可供出售金融资产</w:t>
      </w:r>
      <w:r>
        <w:rPr>
          <w:b w:val="0"/>
          <w:bCs w:val="0"/>
        </w:rPr>
      </w:r>
    </w:p>
    <w:p>
      <w:pPr>
        <w:pStyle w:val="Heading3"/>
        <w:tabs>
          <w:tab w:pos="2281" w:val="left" w:leader="none"/>
        </w:tabs>
        <w:spacing w:line="240" w:lineRule="auto" w:before="58"/>
        <w:ind w:left="1638" w:right="-9"/>
        <w:jc w:val="left"/>
        <w:rPr>
          <w:b w:val="0"/>
          <w:bCs w:val="0"/>
        </w:rPr>
      </w:pPr>
      <w:r>
        <w:rPr>
          <w:rFonts w:ascii="宋体" w:hAnsi="宋体" w:cs="宋体" w:eastAsia="宋体" w:hint="default"/>
          <w:w w:val="95"/>
        </w:rPr>
        <w:t>(1).</w:t>
        <w:tab/>
      </w:r>
      <w:r>
        <w:rPr>
          <w:spacing w:val="-1"/>
        </w:rPr>
        <w:t>可供出售金融资产情况</w:t>
      </w:r>
      <w:r>
        <w:rPr>
          <w:b w:val="0"/>
          <w:bCs w:val="0"/>
          <w:spacing w:val="-1"/>
        </w:rPr>
      </w:r>
    </w:p>
    <w:p>
      <w:pPr>
        <w:pStyle w:val="BodyText"/>
        <w:spacing w:line="240" w:lineRule="auto" w:before="56"/>
        <w:ind w:left="1638" w:right="-9"/>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BodyText"/>
        <w:tabs>
          <w:tab w:pos="2689" w:val="left" w:leader="none"/>
        </w:tabs>
        <w:spacing w:line="240" w:lineRule="auto"/>
        <w:ind w:left="1638" w:right="0"/>
        <w:jc w:val="left"/>
      </w:pPr>
      <w:r>
        <w:rPr>
          <w:spacing w:val="-1"/>
        </w:rPr>
        <w:t>单位：元</w:t>
        <w:tab/>
      </w:r>
      <w:r>
        <w:rPr>
          <w:spacing w:val="-2"/>
        </w:rPr>
        <w:t>币种：人民币</w:t>
      </w:r>
    </w:p>
    <w:p>
      <w:pPr>
        <w:spacing w:after="0" w:line="240" w:lineRule="auto"/>
        <w:jc w:val="left"/>
        <w:sectPr>
          <w:type w:val="continuous"/>
          <w:pgSz w:w="11910" w:h="16840"/>
          <w:pgMar w:top="1320" w:bottom="1380" w:left="160" w:right="40"/>
          <w:cols w:num="2" w:equalWidth="0">
            <w:col w:w="4391" w:space="2130"/>
            <w:col w:w="5189"/>
          </w:cols>
        </w:sectPr>
      </w:pPr>
    </w:p>
    <w:p>
      <w:pPr>
        <w:spacing w:line="240" w:lineRule="auto" w:before="4"/>
        <w:rPr>
          <w:rFonts w:ascii="宋体" w:hAnsi="宋体" w:cs="宋体" w:eastAsia="宋体" w:hint="default"/>
          <w:sz w:val="2"/>
          <w:szCs w:val="2"/>
        </w:rPr>
      </w:pPr>
    </w:p>
    <w:tbl>
      <w:tblPr>
        <w:tblW w:w="0" w:type="auto"/>
        <w:jc w:val="left"/>
        <w:tblInd w:w="1602" w:type="dxa"/>
        <w:tblLayout w:type="fixed"/>
        <w:tblCellMar>
          <w:top w:w="0" w:type="dxa"/>
          <w:left w:w="0" w:type="dxa"/>
          <w:bottom w:w="0" w:type="dxa"/>
          <w:right w:w="0" w:type="dxa"/>
        </w:tblCellMar>
        <w:tblLook w:val="01E0"/>
      </w:tblPr>
      <w:tblGrid>
        <w:gridCol w:w="2180"/>
        <w:gridCol w:w="1150"/>
        <w:gridCol w:w="1138"/>
        <w:gridCol w:w="1109"/>
        <w:gridCol w:w="1092"/>
        <w:gridCol w:w="1109"/>
        <w:gridCol w:w="1118"/>
      </w:tblGrid>
      <w:tr>
        <w:trPr>
          <w:trHeight w:val="283" w:hRule="exact"/>
        </w:trPr>
        <w:tc>
          <w:tcPr>
            <w:tcW w:w="2180" w:type="dxa"/>
            <w:vMerge w:val="restart"/>
            <w:tcBorders>
              <w:top w:val="single" w:sz="4" w:space="0" w:color="000000"/>
              <w:left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39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3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83" w:hRule="exact"/>
        </w:trPr>
        <w:tc>
          <w:tcPr>
            <w:tcW w:w="2180" w:type="dxa"/>
            <w:vMerge/>
            <w:tcBorders>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48"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43" w:right="0"/>
              <w:jc w:val="left"/>
              <w:rPr>
                <w:rFonts w:ascii="宋体" w:hAnsi="宋体" w:cs="宋体" w:eastAsia="宋体" w:hint="default"/>
                <w:sz w:val="21"/>
                <w:szCs w:val="21"/>
              </w:rPr>
            </w:pPr>
            <w:r>
              <w:rPr>
                <w:rFonts w:ascii="宋体" w:hAnsi="宋体" w:cs="宋体" w:eastAsia="宋体" w:hint="default"/>
                <w:sz w:val="21"/>
                <w:szCs w:val="21"/>
              </w:rPr>
              <w:t>减值准备</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账面价值</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20"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29" w:right="0"/>
              <w:jc w:val="left"/>
              <w:rPr>
                <w:rFonts w:ascii="宋体" w:hAnsi="宋体" w:cs="宋体" w:eastAsia="宋体" w:hint="default"/>
                <w:sz w:val="21"/>
                <w:szCs w:val="21"/>
              </w:rPr>
            </w:pPr>
            <w:r>
              <w:rPr>
                <w:rFonts w:ascii="宋体" w:hAnsi="宋体" w:cs="宋体" w:eastAsia="宋体" w:hint="default"/>
                <w:sz w:val="21"/>
                <w:szCs w:val="21"/>
              </w:rPr>
              <w:t>减值准备</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34" w:right="0"/>
              <w:jc w:val="left"/>
              <w:rPr>
                <w:rFonts w:ascii="宋体" w:hAnsi="宋体" w:cs="宋体" w:eastAsia="宋体" w:hint="default"/>
                <w:sz w:val="21"/>
                <w:szCs w:val="21"/>
              </w:rPr>
            </w:pPr>
            <w:r>
              <w:rPr>
                <w:rFonts w:ascii="宋体" w:hAnsi="宋体" w:cs="宋体" w:eastAsia="宋体" w:hint="default"/>
                <w:sz w:val="21"/>
                <w:szCs w:val="21"/>
              </w:rPr>
              <w:t>账面价值</w:t>
            </w:r>
          </w:p>
        </w:tc>
      </w:tr>
      <w:tr>
        <w:trPr>
          <w:trHeight w:val="281"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可供出售债务工具：</w:t>
            </w:r>
          </w:p>
        </w:tc>
        <w:tc>
          <w:tcPr>
            <w:tcW w:w="1150"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可供出售权益工具：</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794,168,638</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01" w:right="0"/>
              <w:jc w:val="left"/>
              <w:rPr>
                <w:rFonts w:ascii="宋体" w:hAnsi="宋体" w:cs="宋体" w:eastAsia="宋体" w:hint="default"/>
                <w:sz w:val="18"/>
                <w:szCs w:val="18"/>
              </w:rPr>
            </w:pPr>
            <w:r>
              <w:rPr>
                <w:rFonts w:ascii="宋体"/>
                <w:sz w:val="18"/>
              </w:rPr>
              <w:t>30,080,500</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5" w:right="0"/>
              <w:jc w:val="center"/>
              <w:rPr>
                <w:rFonts w:ascii="宋体" w:hAnsi="宋体" w:cs="宋体" w:eastAsia="宋体" w:hint="default"/>
                <w:sz w:val="18"/>
                <w:szCs w:val="18"/>
              </w:rPr>
            </w:pPr>
            <w:r>
              <w:rPr>
                <w:rFonts w:ascii="宋体"/>
                <w:sz w:val="18"/>
              </w:rPr>
              <w:t>764,088,138</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64" w:right="0"/>
              <w:jc w:val="left"/>
              <w:rPr>
                <w:rFonts w:ascii="宋体" w:hAnsi="宋体" w:cs="宋体" w:eastAsia="宋体" w:hint="default"/>
                <w:sz w:val="18"/>
                <w:szCs w:val="18"/>
              </w:rPr>
            </w:pPr>
            <w:r>
              <w:rPr>
                <w:rFonts w:ascii="宋体"/>
                <w:sz w:val="18"/>
              </w:rPr>
              <w:t>491,701,612</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2" w:right="0"/>
              <w:jc w:val="left"/>
              <w:rPr>
                <w:rFonts w:ascii="宋体" w:hAnsi="宋体" w:cs="宋体" w:eastAsia="宋体" w:hint="default"/>
                <w:sz w:val="18"/>
                <w:szCs w:val="18"/>
              </w:rPr>
            </w:pPr>
            <w:r>
              <w:rPr>
                <w:rFonts w:ascii="宋体"/>
                <w:sz w:val="18"/>
              </w:rPr>
              <w:t>24,780,500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1" w:right="0"/>
              <w:jc w:val="left"/>
              <w:rPr>
                <w:rFonts w:ascii="宋体" w:hAnsi="宋体" w:cs="宋体" w:eastAsia="宋体" w:hint="default"/>
                <w:sz w:val="18"/>
                <w:szCs w:val="18"/>
              </w:rPr>
            </w:pPr>
            <w:r>
              <w:rPr>
                <w:rFonts w:ascii="宋体"/>
                <w:sz w:val="18"/>
              </w:rPr>
              <w:t>466,921,112</w:t>
            </w:r>
          </w:p>
        </w:tc>
      </w:tr>
      <w:tr>
        <w:trPr>
          <w:trHeight w:val="283"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43" w:right="0"/>
              <w:jc w:val="left"/>
              <w:rPr>
                <w:rFonts w:ascii="宋体" w:hAnsi="宋体" w:cs="宋体" w:eastAsia="宋体" w:hint="default"/>
                <w:sz w:val="21"/>
                <w:szCs w:val="21"/>
              </w:rPr>
            </w:pPr>
            <w:r>
              <w:rPr>
                <w:rFonts w:ascii="宋体" w:hAnsi="宋体" w:cs="宋体" w:eastAsia="宋体" w:hint="default"/>
                <w:sz w:val="21"/>
                <w:szCs w:val="21"/>
              </w:rPr>
              <w:t>按公允价值计量的</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69,995,297</w:t>
            </w:r>
          </w:p>
        </w:tc>
        <w:tc>
          <w:tcPr>
            <w:tcW w:w="1138"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47" w:right="0"/>
              <w:jc w:val="center"/>
              <w:rPr>
                <w:rFonts w:ascii="宋体" w:hAnsi="宋体" w:cs="宋体" w:eastAsia="宋体" w:hint="default"/>
                <w:sz w:val="18"/>
                <w:szCs w:val="18"/>
              </w:rPr>
            </w:pPr>
            <w:r>
              <w:rPr>
                <w:rFonts w:ascii="宋体"/>
                <w:sz w:val="18"/>
              </w:rPr>
              <w:t>69,995,297</w:t>
            </w:r>
          </w:p>
        </w:tc>
        <w:tc>
          <w:tcPr>
            <w:tcW w:w="1092"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40" w:right="0"/>
              <w:jc w:val="left"/>
              <w:rPr>
                <w:rFonts w:ascii="宋体" w:hAnsi="宋体" w:cs="宋体" w:eastAsia="宋体" w:hint="default"/>
                <w:sz w:val="21"/>
                <w:szCs w:val="21"/>
              </w:rPr>
            </w:pPr>
            <w:r>
              <w:rPr>
                <w:rFonts w:ascii="宋体" w:hAnsi="宋体" w:cs="宋体" w:eastAsia="宋体" w:hint="default"/>
                <w:sz w:val="21"/>
                <w:szCs w:val="21"/>
              </w:rPr>
              <w:t>按成本计量的</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724,173,341</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01" w:right="0"/>
              <w:jc w:val="left"/>
              <w:rPr>
                <w:rFonts w:ascii="宋体" w:hAnsi="宋体" w:cs="宋体" w:eastAsia="宋体" w:hint="default"/>
                <w:sz w:val="18"/>
                <w:szCs w:val="18"/>
              </w:rPr>
            </w:pPr>
            <w:r>
              <w:rPr>
                <w:rFonts w:ascii="宋体"/>
                <w:sz w:val="18"/>
              </w:rPr>
              <w:t>30,080,500</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5" w:right="0"/>
              <w:jc w:val="center"/>
              <w:rPr>
                <w:rFonts w:ascii="宋体" w:hAnsi="宋体" w:cs="宋体" w:eastAsia="宋体" w:hint="default"/>
                <w:sz w:val="18"/>
                <w:szCs w:val="18"/>
              </w:rPr>
            </w:pPr>
            <w:r>
              <w:rPr>
                <w:rFonts w:ascii="宋体"/>
                <w:sz w:val="18"/>
              </w:rPr>
              <w:t>694,092,841</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64" w:right="0"/>
              <w:jc w:val="left"/>
              <w:rPr>
                <w:rFonts w:ascii="宋体" w:hAnsi="宋体" w:cs="宋体" w:eastAsia="宋体" w:hint="default"/>
                <w:sz w:val="18"/>
                <w:szCs w:val="18"/>
              </w:rPr>
            </w:pPr>
            <w:r>
              <w:rPr>
                <w:rFonts w:ascii="宋体"/>
                <w:sz w:val="18"/>
              </w:rPr>
              <w:t>491,701,612</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2" w:right="0"/>
              <w:jc w:val="left"/>
              <w:rPr>
                <w:rFonts w:ascii="宋体" w:hAnsi="宋体" w:cs="宋体" w:eastAsia="宋体" w:hint="default"/>
                <w:sz w:val="18"/>
                <w:szCs w:val="18"/>
              </w:rPr>
            </w:pPr>
            <w:r>
              <w:rPr>
                <w:rFonts w:ascii="宋体"/>
                <w:sz w:val="18"/>
              </w:rPr>
              <w:t>24,780,500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1" w:right="0"/>
              <w:jc w:val="left"/>
              <w:rPr>
                <w:rFonts w:ascii="宋体" w:hAnsi="宋体" w:cs="宋体" w:eastAsia="宋体" w:hint="default"/>
                <w:sz w:val="18"/>
                <w:szCs w:val="18"/>
              </w:rPr>
            </w:pPr>
            <w:r>
              <w:rPr>
                <w:rFonts w:ascii="宋体"/>
                <w:sz w:val="18"/>
              </w:rPr>
              <w:t>466,921,112</w:t>
            </w:r>
          </w:p>
        </w:tc>
      </w:tr>
      <w:tr>
        <w:trPr>
          <w:trHeight w:val="283" w:hRule="exact"/>
        </w:trPr>
        <w:tc>
          <w:tcPr>
            <w:tcW w:w="2180"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180"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4"/>
              <w:jc w:val="right"/>
              <w:rPr>
                <w:rFonts w:ascii="宋体" w:hAnsi="宋体" w:cs="宋体" w:eastAsia="宋体" w:hint="default"/>
                <w:sz w:val="18"/>
                <w:szCs w:val="18"/>
              </w:rPr>
            </w:pPr>
            <w:r>
              <w:rPr>
                <w:rFonts w:ascii="宋体"/>
                <w:spacing w:val="-1"/>
                <w:sz w:val="18"/>
              </w:rPr>
              <w:t>794,168,638</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01" w:right="0"/>
              <w:jc w:val="left"/>
              <w:rPr>
                <w:rFonts w:ascii="宋体" w:hAnsi="宋体" w:cs="宋体" w:eastAsia="宋体" w:hint="default"/>
                <w:sz w:val="18"/>
                <w:szCs w:val="18"/>
              </w:rPr>
            </w:pPr>
            <w:r>
              <w:rPr>
                <w:rFonts w:ascii="宋体"/>
                <w:sz w:val="18"/>
              </w:rPr>
              <w:t>30,080,500</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55" w:right="0"/>
              <w:jc w:val="center"/>
              <w:rPr>
                <w:rFonts w:ascii="宋体" w:hAnsi="宋体" w:cs="宋体" w:eastAsia="宋体" w:hint="default"/>
                <w:sz w:val="18"/>
                <w:szCs w:val="18"/>
              </w:rPr>
            </w:pPr>
            <w:r>
              <w:rPr>
                <w:rFonts w:ascii="宋体"/>
                <w:sz w:val="18"/>
              </w:rPr>
              <w:t>764,088,138</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64" w:right="0"/>
              <w:jc w:val="left"/>
              <w:rPr>
                <w:rFonts w:ascii="宋体" w:hAnsi="宋体" w:cs="宋体" w:eastAsia="宋体" w:hint="default"/>
                <w:sz w:val="18"/>
                <w:szCs w:val="18"/>
              </w:rPr>
            </w:pPr>
            <w:r>
              <w:rPr>
                <w:rFonts w:ascii="宋体"/>
                <w:sz w:val="18"/>
              </w:rPr>
              <w:t>491,701,612</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72" w:right="0"/>
              <w:jc w:val="left"/>
              <w:rPr>
                <w:rFonts w:ascii="宋体" w:hAnsi="宋体" w:cs="宋体" w:eastAsia="宋体" w:hint="default"/>
                <w:sz w:val="18"/>
                <w:szCs w:val="18"/>
              </w:rPr>
            </w:pPr>
            <w:r>
              <w:rPr>
                <w:rFonts w:ascii="宋体"/>
                <w:sz w:val="18"/>
              </w:rPr>
              <w:t>24,780,500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91" w:right="0"/>
              <w:jc w:val="left"/>
              <w:rPr>
                <w:rFonts w:ascii="宋体" w:hAnsi="宋体" w:cs="宋体" w:eastAsia="宋体" w:hint="default"/>
                <w:sz w:val="18"/>
                <w:szCs w:val="18"/>
              </w:rPr>
            </w:pPr>
            <w:r>
              <w:rPr>
                <w:rFonts w:ascii="宋体"/>
                <w:sz w:val="18"/>
              </w:rPr>
              <w:t>466,921,112</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320" w:bottom="1380" w:left="160" w:right="40"/>
        </w:sectPr>
      </w:pPr>
    </w:p>
    <w:p>
      <w:pPr>
        <w:pStyle w:val="Heading3"/>
        <w:tabs>
          <w:tab w:pos="2281" w:val="left" w:leader="none"/>
        </w:tabs>
        <w:spacing w:line="240" w:lineRule="auto" w:before="36"/>
        <w:ind w:left="1638" w:right="0"/>
        <w:jc w:val="left"/>
        <w:rPr>
          <w:b w:val="0"/>
          <w:bCs w:val="0"/>
        </w:rPr>
      </w:pPr>
      <w:r>
        <w:rPr>
          <w:rFonts w:ascii="宋体" w:hAnsi="宋体" w:cs="宋体" w:eastAsia="宋体" w:hint="default"/>
          <w:w w:val="95"/>
        </w:rPr>
        <w:t>(2).</w:t>
        <w:tab/>
      </w:r>
      <w:r>
        <w:rPr>
          <w:spacing w:val="-1"/>
        </w:rPr>
        <w:t>期末按公允价值计量的可供出售金融资产</w:t>
      </w:r>
      <w:r>
        <w:rPr>
          <w:b w:val="0"/>
          <w:bCs w:val="0"/>
          <w:spacing w:val="-1"/>
        </w:rPr>
      </w:r>
    </w:p>
    <w:p>
      <w:pPr>
        <w:pStyle w:val="BodyText"/>
        <w:spacing w:line="240" w:lineRule="auto" w:before="58"/>
        <w:ind w:left="1638" w:right="0"/>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tabs>
          <w:tab w:pos="2689" w:val="left" w:leader="none"/>
        </w:tabs>
        <w:spacing w:line="240" w:lineRule="auto"/>
        <w:ind w:left="1638" w:right="0"/>
        <w:jc w:val="left"/>
      </w:pPr>
      <w:r>
        <w:rPr>
          <w:spacing w:val="-1"/>
        </w:rPr>
        <w:t>单位：元</w:t>
        <w:tab/>
      </w:r>
      <w:r>
        <w:rPr>
          <w:spacing w:val="-2"/>
        </w:rPr>
        <w:t>币种：人民币</w:t>
      </w:r>
    </w:p>
    <w:p>
      <w:pPr>
        <w:spacing w:after="0" w:line="240" w:lineRule="auto"/>
        <w:jc w:val="left"/>
        <w:sectPr>
          <w:type w:val="continuous"/>
          <w:pgSz w:w="11910" w:h="16840"/>
          <w:pgMar w:top="1320" w:bottom="1380" w:left="160" w:right="40"/>
          <w:cols w:num="2" w:equalWidth="0">
            <w:col w:w="6079" w:space="443"/>
            <w:col w:w="5188"/>
          </w:cols>
        </w:sectPr>
      </w:pPr>
    </w:p>
    <w:p>
      <w:pPr>
        <w:spacing w:line="240" w:lineRule="auto" w:before="7"/>
        <w:rPr>
          <w:rFonts w:ascii="宋体" w:hAnsi="宋体" w:cs="宋体" w:eastAsia="宋体" w:hint="default"/>
          <w:sz w:val="2"/>
          <w:szCs w:val="2"/>
        </w:rPr>
      </w:pPr>
    </w:p>
    <w:tbl>
      <w:tblPr>
        <w:tblW w:w="0" w:type="auto"/>
        <w:jc w:val="left"/>
        <w:tblInd w:w="1525" w:type="dxa"/>
        <w:tblLayout w:type="fixed"/>
        <w:tblCellMar>
          <w:top w:w="0" w:type="dxa"/>
          <w:left w:w="0" w:type="dxa"/>
          <w:bottom w:w="0" w:type="dxa"/>
          <w:right w:w="0" w:type="dxa"/>
        </w:tblCellMar>
        <w:tblLook w:val="01E0"/>
      </w:tblPr>
      <w:tblGrid>
        <w:gridCol w:w="2720"/>
        <w:gridCol w:w="1630"/>
        <w:gridCol w:w="1580"/>
        <w:gridCol w:w="1561"/>
        <w:gridCol w:w="1560"/>
      </w:tblGrid>
      <w:tr>
        <w:trPr>
          <w:trHeight w:val="554" w:hRule="exact"/>
        </w:trPr>
        <w:tc>
          <w:tcPr>
            <w:tcW w:w="2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304" w:right="0"/>
              <w:jc w:val="left"/>
              <w:rPr>
                <w:rFonts w:ascii="宋体" w:hAnsi="宋体" w:cs="宋体" w:eastAsia="宋体" w:hint="default"/>
                <w:sz w:val="21"/>
                <w:szCs w:val="21"/>
              </w:rPr>
            </w:pPr>
            <w:r>
              <w:rPr>
                <w:rFonts w:ascii="宋体" w:hAnsi="宋体" w:cs="宋体" w:eastAsia="宋体" w:hint="default"/>
                <w:sz w:val="21"/>
                <w:szCs w:val="21"/>
              </w:rPr>
              <w:t>可供出售金融资产分类</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可供出售权益</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工具</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可供出售债务</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工具</w:t>
            </w:r>
          </w:p>
        </w:tc>
        <w:tc>
          <w:tcPr>
            <w:tcW w:w="1561"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合计</w:t>
            </w:r>
          </w:p>
        </w:tc>
      </w:tr>
      <w:tr>
        <w:trPr>
          <w:trHeight w:val="554" w:hRule="exact"/>
        </w:trPr>
        <w:tc>
          <w:tcPr>
            <w:tcW w:w="272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权益工具的成本</w:t>
            </w:r>
            <w:r>
              <w:rPr>
                <w:rFonts w:ascii="宋体" w:hAnsi="宋体" w:cs="宋体" w:eastAsia="宋体" w:hint="default"/>
                <w:sz w:val="21"/>
                <w:szCs w:val="21"/>
              </w:rPr>
              <w:t>/</w:t>
            </w:r>
            <w:r>
              <w:rPr>
                <w:rFonts w:ascii="宋体" w:hAnsi="宋体" w:cs="宋体" w:eastAsia="宋体" w:hint="default"/>
                <w:sz w:val="21"/>
                <w:szCs w:val="21"/>
              </w:rPr>
              <w:t>债务工具</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的摊余成本</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pacing w:val="-1"/>
                <w:sz w:val="21"/>
              </w:rPr>
              <w:t>6,000,000</w:t>
            </w:r>
          </w:p>
        </w:tc>
        <w:tc>
          <w:tcPr>
            <w:tcW w:w="1580"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pacing w:val="-1"/>
                <w:sz w:val="21"/>
              </w:rPr>
              <w:t>6,000,000</w:t>
            </w:r>
          </w:p>
        </w:tc>
      </w:tr>
      <w:tr>
        <w:trPr>
          <w:trHeight w:val="284" w:hRule="exact"/>
        </w:trPr>
        <w:tc>
          <w:tcPr>
            <w:tcW w:w="27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公允价值</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63,995,297</w:t>
            </w:r>
          </w:p>
        </w:tc>
        <w:tc>
          <w:tcPr>
            <w:tcW w:w="1580"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63,995,297</w:t>
            </w:r>
          </w:p>
        </w:tc>
      </w:tr>
      <w:tr>
        <w:trPr>
          <w:trHeight w:val="554" w:hRule="exact"/>
        </w:trPr>
        <w:tc>
          <w:tcPr>
            <w:tcW w:w="272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累计计入其他综合收益的</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公允价值变动金额</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8"/>
              <w:jc w:val="right"/>
              <w:rPr>
                <w:rFonts w:ascii="宋体" w:hAnsi="宋体" w:cs="宋体" w:eastAsia="宋体" w:hint="default"/>
                <w:sz w:val="21"/>
                <w:szCs w:val="21"/>
              </w:rPr>
            </w:pPr>
            <w:r>
              <w:rPr>
                <w:rFonts w:ascii="宋体"/>
                <w:spacing w:val="-1"/>
                <w:sz w:val="21"/>
              </w:rPr>
              <w:t>47,996,473</w:t>
            </w:r>
          </w:p>
        </w:tc>
        <w:tc>
          <w:tcPr>
            <w:tcW w:w="1580"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98"/>
              <w:jc w:val="right"/>
              <w:rPr>
                <w:rFonts w:ascii="宋体" w:hAnsi="宋体" w:cs="宋体" w:eastAsia="宋体" w:hint="default"/>
                <w:sz w:val="21"/>
                <w:szCs w:val="21"/>
              </w:rPr>
            </w:pPr>
            <w:r>
              <w:rPr>
                <w:rFonts w:ascii="宋体"/>
                <w:spacing w:val="-1"/>
                <w:sz w:val="21"/>
              </w:rPr>
              <w:t>47,996,473</w:t>
            </w:r>
          </w:p>
        </w:tc>
      </w:tr>
      <w:tr>
        <w:trPr>
          <w:trHeight w:val="281" w:hRule="exact"/>
        </w:trPr>
        <w:tc>
          <w:tcPr>
            <w:tcW w:w="27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已计提减值金额</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w:t>
            </w:r>
          </w:p>
        </w:tc>
        <w:tc>
          <w:tcPr>
            <w:tcW w:w="1580"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320" w:bottom="1380" w:left="160" w:right="40"/>
        </w:sectPr>
      </w:pPr>
    </w:p>
    <w:p>
      <w:pPr>
        <w:pStyle w:val="Heading3"/>
        <w:tabs>
          <w:tab w:pos="2281" w:val="left" w:leader="none"/>
        </w:tabs>
        <w:spacing w:line="240" w:lineRule="auto" w:before="36"/>
        <w:ind w:left="1638" w:right="-3"/>
        <w:jc w:val="left"/>
        <w:rPr>
          <w:b w:val="0"/>
          <w:bCs w:val="0"/>
        </w:rPr>
      </w:pPr>
      <w:r>
        <w:rPr>
          <w:rFonts w:ascii="宋体" w:hAnsi="宋体" w:cs="宋体" w:eastAsia="宋体" w:hint="default"/>
          <w:w w:val="95"/>
        </w:rPr>
        <w:t>(3).</w:t>
        <w:tab/>
      </w:r>
      <w:r>
        <w:rPr>
          <w:spacing w:val="-1"/>
        </w:rPr>
        <w:t>期末按成本计量的可供出售金融资产</w:t>
      </w:r>
      <w:r>
        <w:rPr>
          <w:b w:val="0"/>
          <w:bCs w:val="0"/>
          <w:spacing w:val="-1"/>
        </w:rPr>
      </w:r>
    </w:p>
    <w:p>
      <w:pPr>
        <w:pStyle w:val="BodyText"/>
        <w:spacing w:line="240" w:lineRule="auto" w:before="58"/>
        <w:ind w:left="1638" w:right="-3"/>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tabs>
          <w:tab w:pos="2689" w:val="left" w:leader="none"/>
        </w:tabs>
        <w:spacing w:line="240" w:lineRule="auto"/>
        <w:ind w:left="1638" w:right="0"/>
        <w:jc w:val="left"/>
      </w:pPr>
      <w:r>
        <w:rPr>
          <w:spacing w:val="-1"/>
        </w:rPr>
        <w:t>单位：元</w:t>
        <w:tab/>
      </w:r>
      <w:r>
        <w:rPr>
          <w:spacing w:val="-2"/>
        </w:rPr>
        <w:t>币种：人民币</w:t>
      </w:r>
    </w:p>
    <w:p>
      <w:pPr>
        <w:spacing w:after="0" w:line="240" w:lineRule="auto"/>
        <w:jc w:val="left"/>
        <w:sectPr>
          <w:type w:val="continuous"/>
          <w:pgSz w:w="11910" w:h="16840"/>
          <w:pgMar w:top="1320" w:bottom="1380" w:left="160" w:right="40"/>
          <w:cols w:num="2" w:equalWidth="0">
            <w:col w:w="5656" w:space="865"/>
            <w:col w:w="5189"/>
          </w:cols>
        </w:sectPr>
      </w:pPr>
    </w:p>
    <w:p>
      <w:pPr>
        <w:spacing w:line="240" w:lineRule="auto" w:before="7"/>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1455"/>
        <w:gridCol w:w="1159"/>
        <w:gridCol w:w="1167"/>
        <w:gridCol w:w="1018"/>
        <w:gridCol w:w="1164"/>
        <w:gridCol w:w="1016"/>
        <w:gridCol w:w="1018"/>
        <w:gridCol w:w="730"/>
        <w:gridCol w:w="1018"/>
        <w:gridCol w:w="874"/>
        <w:gridCol w:w="872"/>
      </w:tblGrid>
      <w:tr>
        <w:trPr>
          <w:trHeight w:val="718" w:hRule="exact"/>
        </w:trPr>
        <w:tc>
          <w:tcPr>
            <w:tcW w:w="1455"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8"/>
                <w:szCs w:val="28"/>
              </w:rPr>
            </w:pPr>
          </w:p>
          <w:p>
            <w:pPr>
              <w:pStyle w:val="TableParagraph"/>
              <w:spacing w:line="272" w:lineRule="exact"/>
              <w:ind w:left="511" w:right="404" w:hanging="106"/>
              <w:jc w:val="left"/>
              <w:rPr>
                <w:rFonts w:ascii="宋体" w:hAnsi="宋体" w:cs="宋体" w:eastAsia="宋体" w:hint="default"/>
                <w:sz w:val="21"/>
                <w:szCs w:val="21"/>
              </w:rPr>
            </w:pPr>
            <w:r>
              <w:rPr>
                <w:rFonts w:ascii="宋体" w:hAnsi="宋体" w:cs="宋体" w:eastAsia="宋体" w:hint="default"/>
                <w:sz w:val="21"/>
                <w:szCs w:val="21"/>
              </w:rPr>
              <w:t>被投资</w:t>
            </w:r>
            <w:r>
              <w:rPr>
                <w:rFonts w:ascii="宋体" w:hAnsi="宋体" w:cs="宋体" w:eastAsia="宋体" w:hint="default"/>
                <w:spacing w:val="-102"/>
                <w:sz w:val="21"/>
                <w:szCs w:val="21"/>
              </w:rPr>
              <w:t> </w:t>
            </w:r>
            <w:r>
              <w:rPr>
                <w:rFonts w:ascii="宋体" w:hAnsi="宋体" w:cs="宋体" w:eastAsia="宋体" w:hint="default"/>
                <w:sz w:val="21"/>
                <w:szCs w:val="21"/>
              </w:rPr>
              <w:t>单位</w:t>
            </w:r>
          </w:p>
        </w:tc>
        <w:tc>
          <w:tcPr>
            <w:tcW w:w="4508"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3781"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11" w:right="0"/>
              <w:jc w:val="center"/>
              <w:rPr>
                <w:rFonts w:ascii="宋体" w:hAnsi="宋体" w:cs="宋体" w:eastAsia="宋体" w:hint="default"/>
                <w:sz w:val="21"/>
                <w:szCs w:val="21"/>
              </w:rPr>
            </w:pPr>
            <w:r>
              <w:rPr>
                <w:rFonts w:ascii="宋体" w:hAnsi="宋体" w:cs="宋体" w:eastAsia="宋体" w:hint="default"/>
                <w:sz w:val="21"/>
                <w:szCs w:val="21"/>
              </w:rPr>
              <w:t>减值准备</w:t>
            </w:r>
          </w:p>
        </w:tc>
        <w:tc>
          <w:tcPr>
            <w:tcW w:w="874" w:type="dxa"/>
            <w:vMerge w:val="restart"/>
            <w:tcBorders>
              <w:top w:val="single" w:sz="4" w:space="0" w:color="000000"/>
              <w:left w:val="single" w:sz="4" w:space="0" w:color="000000"/>
              <w:right w:val="single" w:sz="4" w:space="0" w:color="000000"/>
            </w:tcBorders>
          </w:tcPr>
          <w:p>
            <w:pPr>
              <w:pStyle w:val="TableParagraph"/>
              <w:spacing w:line="237" w:lineRule="auto" w:before="78"/>
              <w:ind w:left="115" w:right="113"/>
              <w:jc w:val="both"/>
              <w:rPr>
                <w:rFonts w:ascii="宋体" w:hAnsi="宋体" w:cs="宋体" w:eastAsia="宋体" w:hint="default"/>
                <w:sz w:val="21"/>
                <w:szCs w:val="21"/>
              </w:rPr>
            </w:pPr>
            <w:r>
              <w:rPr>
                <w:rFonts w:ascii="宋体" w:hAnsi="宋体" w:cs="宋体" w:eastAsia="宋体" w:hint="default"/>
                <w:sz w:val="21"/>
                <w:szCs w:val="21"/>
              </w:rPr>
              <w:t>在被投</w:t>
            </w:r>
            <w:r>
              <w:rPr>
                <w:rFonts w:ascii="宋体" w:hAnsi="宋体" w:cs="宋体" w:eastAsia="宋体" w:hint="default"/>
                <w:spacing w:val="-102"/>
                <w:sz w:val="21"/>
                <w:szCs w:val="21"/>
              </w:rPr>
              <w:t> </w:t>
            </w:r>
            <w:r>
              <w:rPr>
                <w:rFonts w:ascii="宋体" w:hAnsi="宋体" w:cs="宋体" w:eastAsia="宋体" w:hint="default"/>
                <w:sz w:val="21"/>
                <w:szCs w:val="21"/>
              </w:rPr>
              <w:t>资单位</w:t>
            </w:r>
            <w:r>
              <w:rPr>
                <w:rFonts w:ascii="宋体" w:hAnsi="宋体" w:cs="宋体" w:eastAsia="宋体" w:hint="default"/>
                <w:spacing w:val="-102"/>
                <w:sz w:val="21"/>
                <w:szCs w:val="21"/>
              </w:rPr>
              <w:t> </w:t>
            </w:r>
            <w:r>
              <w:rPr>
                <w:rFonts w:ascii="宋体" w:hAnsi="宋体" w:cs="宋体" w:eastAsia="宋体" w:hint="default"/>
                <w:sz w:val="21"/>
                <w:szCs w:val="21"/>
              </w:rPr>
              <w:t>持股比</w:t>
            </w:r>
            <w:r>
              <w:rPr>
                <w:rFonts w:ascii="宋体" w:hAnsi="宋体" w:cs="宋体" w:eastAsia="宋体" w:hint="default"/>
                <w:spacing w:val="-102"/>
                <w:sz w:val="21"/>
                <w:szCs w:val="21"/>
              </w:rPr>
              <w:t> </w:t>
            </w:r>
            <w:r>
              <w:rPr>
                <w:rFonts w:ascii="宋体" w:hAnsi="宋体" w:cs="宋体" w:eastAsia="宋体" w:hint="default"/>
                <w:sz w:val="21"/>
                <w:szCs w:val="21"/>
              </w:rPr>
              <w:t>例</w:t>
            </w:r>
            <w:r>
              <w:rPr>
                <w:rFonts w:ascii="宋体" w:hAnsi="宋体" w:cs="宋体" w:eastAsia="宋体" w:hint="default"/>
                <w:sz w:val="21"/>
                <w:szCs w:val="21"/>
              </w:rPr>
              <w:t>(%)</w:t>
            </w:r>
          </w:p>
        </w:tc>
        <w:tc>
          <w:tcPr>
            <w:tcW w:w="872"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8"/>
                <w:szCs w:val="28"/>
              </w:rPr>
            </w:pPr>
          </w:p>
          <w:p>
            <w:pPr>
              <w:pStyle w:val="TableParagraph"/>
              <w:spacing w:line="272" w:lineRule="exact"/>
              <w:ind w:left="112" w:right="113"/>
              <w:jc w:val="left"/>
              <w:rPr>
                <w:rFonts w:ascii="宋体" w:hAnsi="宋体" w:cs="宋体" w:eastAsia="宋体" w:hint="default"/>
                <w:sz w:val="21"/>
                <w:szCs w:val="21"/>
              </w:rPr>
            </w:pPr>
            <w:r>
              <w:rPr>
                <w:rFonts w:ascii="宋体" w:hAnsi="宋体" w:cs="宋体" w:eastAsia="宋体" w:hint="default"/>
                <w:sz w:val="21"/>
                <w:szCs w:val="21"/>
              </w:rPr>
              <w:t>本期现</w:t>
            </w:r>
            <w:r>
              <w:rPr>
                <w:rFonts w:ascii="宋体" w:hAnsi="宋体" w:cs="宋体" w:eastAsia="宋体" w:hint="default"/>
                <w:spacing w:val="-102"/>
                <w:sz w:val="21"/>
                <w:szCs w:val="21"/>
              </w:rPr>
              <w:t> </w:t>
            </w:r>
            <w:r>
              <w:rPr>
                <w:rFonts w:ascii="宋体" w:hAnsi="宋体" w:cs="宋体" w:eastAsia="宋体" w:hint="default"/>
                <w:sz w:val="21"/>
                <w:szCs w:val="21"/>
              </w:rPr>
              <w:t>金红利</w:t>
            </w:r>
          </w:p>
        </w:tc>
      </w:tr>
      <w:tr>
        <w:trPr>
          <w:trHeight w:val="603" w:hRule="exact"/>
        </w:trPr>
        <w:tc>
          <w:tcPr>
            <w:tcW w:w="1455" w:type="dxa"/>
            <w:vMerge/>
            <w:tcBorders>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364" w:right="0"/>
              <w:jc w:val="left"/>
              <w:rPr>
                <w:rFonts w:ascii="宋体" w:hAnsi="宋体" w:cs="宋体" w:eastAsia="宋体" w:hint="default"/>
                <w:sz w:val="21"/>
                <w:szCs w:val="21"/>
              </w:rPr>
            </w:pPr>
            <w:r>
              <w:rPr>
                <w:rFonts w:ascii="宋体" w:hAnsi="宋体" w:cs="宋体" w:eastAsia="宋体" w:hint="default"/>
                <w:sz w:val="21"/>
                <w:szCs w:val="21"/>
              </w:rPr>
              <w:t>期初</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16"/>
              <w:ind w:left="367" w:right="365"/>
              <w:jc w:val="left"/>
              <w:rPr>
                <w:rFonts w:ascii="宋体" w:hAnsi="宋体" w:cs="宋体" w:eastAsia="宋体" w:hint="default"/>
                <w:sz w:val="21"/>
                <w:szCs w:val="21"/>
              </w:rPr>
            </w:pPr>
            <w:r>
              <w:rPr>
                <w:rFonts w:ascii="宋体" w:hAnsi="宋体" w:cs="宋体" w:eastAsia="宋体" w:hint="default"/>
                <w:sz w:val="21"/>
                <w:szCs w:val="21"/>
              </w:rPr>
              <w:t>本期</w:t>
            </w:r>
            <w:r>
              <w:rPr>
                <w:rFonts w:ascii="宋体" w:hAnsi="宋体" w:cs="宋体" w:eastAsia="宋体" w:hint="default"/>
                <w:spacing w:val="-103"/>
                <w:sz w:val="21"/>
                <w:szCs w:val="21"/>
              </w:rPr>
              <w:t> </w:t>
            </w:r>
            <w:r>
              <w:rPr>
                <w:rFonts w:ascii="宋体" w:hAnsi="宋体" w:cs="宋体" w:eastAsia="宋体" w:hint="default"/>
                <w:sz w:val="21"/>
                <w:szCs w:val="21"/>
              </w:rPr>
              <w:t>增加</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16"/>
              <w:ind w:left="290" w:right="293"/>
              <w:jc w:val="left"/>
              <w:rPr>
                <w:rFonts w:ascii="宋体" w:hAnsi="宋体" w:cs="宋体" w:eastAsia="宋体" w:hint="default"/>
                <w:sz w:val="21"/>
                <w:szCs w:val="21"/>
              </w:rPr>
            </w:pPr>
            <w:r>
              <w:rPr>
                <w:rFonts w:ascii="宋体" w:hAnsi="宋体" w:cs="宋体" w:eastAsia="宋体" w:hint="default"/>
                <w:sz w:val="21"/>
                <w:szCs w:val="21"/>
              </w:rPr>
              <w:t>本期</w:t>
            </w:r>
            <w:r>
              <w:rPr>
                <w:rFonts w:ascii="宋体" w:hAnsi="宋体" w:cs="宋体" w:eastAsia="宋体" w:hint="default"/>
                <w:spacing w:val="-103"/>
                <w:sz w:val="21"/>
                <w:szCs w:val="21"/>
              </w:rPr>
              <w:t> </w:t>
            </w:r>
            <w:r>
              <w:rPr>
                <w:rFonts w:ascii="宋体" w:hAnsi="宋体" w:cs="宋体" w:eastAsia="宋体" w:hint="default"/>
                <w:sz w:val="21"/>
                <w:szCs w:val="21"/>
              </w:rPr>
              <w:t>减少</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367" w:right="0"/>
              <w:jc w:val="left"/>
              <w:rPr>
                <w:rFonts w:ascii="宋体" w:hAnsi="宋体" w:cs="宋体" w:eastAsia="宋体" w:hint="default"/>
                <w:sz w:val="21"/>
                <w:szCs w:val="21"/>
              </w:rPr>
            </w:pPr>
            <w:r>
              <w:rPr>
                <w:rFonts w:ascii="宋体" w:hAnsi="宋体" w:cs="宋体" w:eastAsia="宋体" w:hint="default"/>
                <w:sz w:val="21"/>
                <w:szCs w:val="21"/>
              </w:rPr>
              <w:t>期末</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 w:right="0"/>
              <w:jc w:val="center"/>
              <w:rPr>
                <w:rFonts w:ascii="宋体" w:hAnsi="宋体" w:cs="宋体" w:eastAsia="宋体" w:hint="default"/>
                <w:sz w:val="21"/>
                <w:szCs w:val="21"/>
              </w:rPr>
            </w:pPr>
            <w:r>
              <w:rPr>
                <w:rFonts w:ascii="宋体" w:hAnsi="宋体" w:cs="宋体" w:eastAsia="宋体" w:hint="default"/>
                <w:sz w:val="21"/>
                <w:szCs w:val="21"/>
              </w:rPr>
              <w:t>期初</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16"/>
              <w:ind w:left="292" w:right="290"/>
              <w:jc w:val="left"/>
              <w:rPr>
                <w:rFonts w:ascii="宋体" w:hAnsi="宋体" w:cs="宋体" w:eastAsia="宋体" w:hint="default"/>
                <w:sz w:val="21"/>
                <w:szCs w:val="21"/>
              </w:rPr>
            </w:pPr>
            <w:r>
              <w:rPr>
                <w:rFonts w:ascii="宋体" w:hAnsi="宋体" w:cs="宋体" w:eastAsia="宋体" w:hint="default"/>
                <w:sz w:val="21"/>
                <w:szCs w:val="21"/>
              </w:rPr>
              <w:t>本期</w:t>
            </w:r>
            <w:r>
              <w:rPr>
                <w:rFonts w:ascii="宋体" w:hAnsi="宋体" w:cs="宋体" w:eastAsia="宋体" w:hint="default"/>
                <w:spacing w:val="-103"/>
                <w:sz w:val="21"/>
                <w:szCs w:val="21"/>
              </w:rPr>
              <w:t> </w:t>
            </w:r>
            <w:r>
              <w:rPr>
                <w:rFonts w:ascii="宋体" w:hAnsi="宋体" w:cs="宋体" w:eastAsia="宋体" w:hint="default"/>
                <w:sz w:val="21"/>
                <w:szCs w:val="21"/>
              </w:rPr>
              <w:t>增加</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16"/>
              <w:ind w:left="148" w:right="147"/>
              <w:jc w:val="left"/>
              <w:rPr>
                <w:rFonts w:ascii="宋体" w:hAnsi="宋体" w:cs="宋体" w:eastAsia="宋体" w:hint="default"/>
                <w:sz w:val="21"/>
                <w:szCs w:val="21"/>
              </w:rPr>
            </w:pPr>
            <w:r>
              <w:rPr>
                <w:rFonts w:ascii="宋体" w:hAnsi="宋体" w:cs="宋体" w:eastAsia="宋体" w:hint="default"/>
                <w:sz w:val="21"/>
                <w:szCs w:val="21"/>
              </w:rPr>
              <w:t>本期</w:t>
            </w:r>
            <w:r>
              <w:rPr>
                <w:rFonts w:ascii="宋体" w:hAnsi="宋体" w:cs="宋体" w:eastAsia="宋体" w:hint="default"/>
                <w:spacing w:val="-103"/>
                <w:sz w:val="21"/>
                <w:szCs w:val="21"/>
              </w:rPr>
              <w:t> </w:t>
            </w:r>
            <w:r>
              <w:rPr>
                <w:rFonts w:ascii="宋体" w:hAnsi="宋体" w:cs="宋体" w:eastAsia="宋体" w:hint="default"/>
                <w:sz w:val="21"/>
                <w:szCs w:val="21"/>
              </w:rPr>
              <w:t>减少</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90" w:right="0"/>
              <w:jc w:val="left"/>
              <w:rPr>
                <w:rFonts w:ascii="宋体" w:hAnsi="宋体" w:cs="宋体" w:eastAsia="宋体" w:hint="default"/>
                <w:sz w:val="21"/>
                <w:szCs w:val="21"/>
              </w:rPr>
            </w:pPr>
            <w:r>
              <w:rPr>
                <w:rFonts w:ascii="宋体" w:hAnsi="宋体" w:cs="宋体" w:eastAsia="宋体" w:hint="default"/>
                <w:sz w:val="21"/>
                <w:szCs w:val="21"/>
              </w:rPr>
              <w:t>期末</w:t>
            </w:r>
          </w:p>
        </w:tc>
        <w:tc>
          <w:tcPr>
            <w:tcW w:w="874" w:type="dxa"/>
            <w:vMerge/>
            <w:tcBorders>
              <w:left w:val="single" w:sz="4" w:space="0" w:color="000000"/>
              <w:bottom w:val="single" w:sz="4" w:space="0" w:color="000000"/>
              <w:right w:val="single" w:sz="4" w:space="0" w:color="000000"/>
            </w:tcBorders>
          </w:tcPr>
          <w:p>
            <w:pPr/>
          </w:p>
        </w:tc>
        <w:tc>
          <w:tcPr>
            <w:tcW w:w="872" w:type="dxa"/>
            <w:vMerge/>
            <w:tcBorders>
              <w:left w:val="single" w:sz="4" w:space="0" w:color="000000"/>
              <w:bottom w:val="single" w:sz="4" w:space="0" w:color="000000"/>
              <w:right w:val="single" w:sz="4" w:space="0" w:color="000000"/>
            </w:tcBorders>
          </w:tcPr>
          <w:p>
            <w:pPr/>
          </w:p>
        </w:tc>
      </w:tr>
      <w:tr>
        <w:trPr>
          <w:trHeight w:val="401"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中投信用担保有限</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公司</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2"/>
                <w:sz w:val="15"/>
              </w:rPr>
              <w:t>5,000,000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2"/>
                <w:sz w:val="15"/>
              </w:rPr>
              <w:t>5,000,000</w:t>
            </w: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2"/>
                <w:sz w:val="15"/>
              </w:rPr>
              <w:t>5,000,000</w:t>
            </w: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2"/>
              <w:jc w:val="right"/>
              <w:rPr>
                <w:rFonts w:ascii="宋体" w:hAnsi="宋体" w:cs="宋体" w:eastAsia="宋体" w:hint="default"/>
                <w:sz w:val="15"/>
                <w:szCs w:val="15"/>
              </w:rPr>
            </w:pPr>
            <w:r>
              <w:rPr>
                <w:rFonts w:ascii="宋体"/>
                <w:spacing w:val="-2"/>
                <w:sz w:val="15"/>
              </w:rPr>
              <w:t>5,000,000</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1"/>
              <w:jc w:val="right"/>
              <w:rPr>
                <w:rFonts w:ascii="宋体" w:hAnsi="宋体" w:cs="宋体" w:eastAsia="宋体" w:hint="default"/>
                <w:sz w:val="15"/>
                <w:szCs w:val="15"/>
              </w:rPr>
            </w:pPr>
            <w:r>
              <w:rPr>
                <w:rFonts w:ascii="宋体" w:hAnsi="宋体" w:cs="宋体" w:eastAsia="宋体" w:hint="default"/>
                <w:sz w:val="15"/>
                <w:szCs w:val="15"/>
              </w:rPr>
              <w:t>低于</w:t>
            </w:r>
            <w:r>
              <w:rPr>
                <w:rFonts w:ascii="宋体" w:hAnsi="宋体" w:cs="宋体" w:eastAsia="宋体" w:hint="default"/>
                <w:spacing w:val="-40"/>
                <w:sz w:val="15"/>
                <w:szCs w:val="15"/>
              </w:rPr>
              <w:t> </w:t>
            </w:r>
            <w:r>
              <w:rPr>
                <w:rFonts w:ascii="宋体" w:hAnsi="宋体" w:cs="宋体" w:eastAsia="宋体" w:hint="default"/>
                <w:sz w:val="15"/>
                <w:szCs w:val="15"/>
              </w:rPr>
              <w:t>10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593"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中企永联数据交换</w:t>
            </w:r>
          </w:p>
          <w:p>
            <w:pPr>
              <w:pStyle w:val="TableParagraph"/>
              <w:spacing w:line="240" w:lineRule="auto"/>
              <w:ind w:left="103" w:right="137"/>
              <w:jc w:val="left"/>
              <w:rPr>
                <w:rFonts w:ascii="宋体" w:hAnsi="宋体" w:cs="宋体" w:eastAsia="宋体" w:hint="default"/>
                <w:sz w:val="15"/>
                <w:szCs w:val="15"/>
              </w:rPr>
            </w:pPr>
            <w:r>
              <w:rPr>
                <w:rFonts w:ascii="宋体" w:hAnsi="宋体" w:cs="宋体" w:eastAsia="宋体" w:hint="default"/>
                <w:sz w:val="15"/>
                <w:szCs w:val="15"/>
              </w:rPr>
              <w:t>技术（北京）有限</w:t>
            </w:r>
            <w:r>
              <w:rPr>
                <w:rFonts w:ascii="宋体" w:hAnsi="宋体" w:cs="宋体" w:eastAsia="宋体" w:hint="default"/>
                <w:w w:val="100"/>
                <w:sz w:val="15"/>
                <w:szCs w:val="15"/>
              </w:rPr>
              <w:t> </w:t>
            </w:r>
            <w:r>
              <w:rPr>
                <w:rFonts w:ascii="宋体" w:hAnsi="宋体" w:cs="宋体" w:eastAsia="宋体" w:hint="default"/>
                <w:sz w:val="15"/>
                <w:szCs w:val="15"/>
              </w:rPr>
              <w:t>公司</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2"/>
                <w:sz w:val="15"/>
              </w:rPr>
              <w:t>2,500,000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2"/>
              <w:jc w:val="right"/>
              <w:rPr>
                <w:rFonts w:ascii="宋体" w:hAnsi="宋体" w:cs="宋体" w:eastAsia="宋体" w:hint="default"/>
                <w:sz w:val="15"/>
                <w:szCs w:val="15"/>
              </w:rPr>
            </w:pPr>
            <w:r>
              <w:rPr>
                <w:rFonts w:ascii="宋体"/>
                <w:spacing w:val="-2"/>
                <w:sz w:val="15"/>
              </w:rPr>
              <w:t>2,500,000</w:t>
            </w:r>
          </w:p>
        </w:tc>
        <w:tc>
          <w:tcPr>
            <w:tcW w:w="1164" w:type="dxa"/>
            <w:tcBorders>
              <w:top w:val="single" w:sz="4" w:space="0" w:color="000000"/>
              <w:left w:val="single" w:sz="4" w:space="0" w:color="000000"/>
              <w:bottom w:val="single" w:sz="4" w:space="0" w:color="000000"/>
              <w:right w:val="single" w:sz="4" w:space="0" w:color="000000"/>
            </w:tcBorders>
          </w:tcPr>
          <w:p>
            <w:pP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19.81</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230" w:right="0"/>
              <w:jc w:val="left"/>
              <w:rPr>
                <w:rFonts w:ascii="宋体" w:hAnsi="宋体" w:cs="宋体" w:eastAsia="宋体" w:hint="default"/>
                <w:sz w:val="15"/>
                <w:szCs w:val="15"/>
              </w:rPr>
            </w:pPr>
            <w:r>
              <w:rPr>
                <w:rFonts w:ascii="宋体"/>
                <w:sz w:val="15"/>
              </w:rPr>
              <w:t>884,692</w:t>
            </w:r>
          </w:p>
        </w:tc>
      </w:tr>
      <w:tr>
        <w:trPr>
          <w:trHeight w:val="398"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深圳市新希元软件</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技术有限公司</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2"/>
                <w:sz w:val="15"/>
              </w:rPr>
              <w:t>5,000,000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2"/>
                <w:sz w:val="15"/>
              </w:rPr>
              <w:t>5,000,000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26" w:right="0"/>
              <w:jc w:val="center"/>
              <w:rPr>
                <w:rFonts w:ascii="宋体" w:hAnsi="宋体" w:cs="宋体" w:eastAsia="宋体" w:hint="default"/>
                <w:sz w:val="15"/>
                <w:szCs w:val="15"/>
              </w:rPr>
            </w:pPr>
            <w:r>
              <w:rPr>
                <w:rFonts w:ascii="宋体"/>
                <w:sz w:val="15"/>
              </w:rPr>
              <w:t>4,700,000</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300,000</w:t>
            </w: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2"/>
              <w:jc w:val="right"/>
              <w:rPr>
                <w:rFonts w:ascii="宋体" w:hAnsi="宋体" w:cs="宋体" w:eastAsia="宋体" w:hint="default"/>
                <w:sz w:val="15"/>
                <w:szCs w:val="15"/>
              </w:rPr>
            </w:pPr>
            <w:r>
              <w:rPr>
                <w:rFonts w:ascii="宋体"/>
                <w:spacing w:val="-2"/>
                <w:sz w:val="15"/>
              </w:rPr>
              <w:t>5,000,000</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19.80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通联支付网络服务</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股份有限公司</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45,000,000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45,000,000</w:t>
            </w: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1"/>
              <w:jc w:val="right"/>
              <w:rPr>
                <w:rFonts w:ascii="宋体" w:hAnsi="宋体" w:cs="宋体" w:eastAsia="宋体" w:hint="default"/>
                <w:sz w:val="15"/>
                <w:szCs w:val="15"/>
              </w:rPr>
            </w:pPr>
            <w:r>
              <w:rPr>
                <w:rFonts w:ascii="宋体" w:hAnsi="宋体" w:cs="宋体" w:eastAsia="宋体" w:hint="default"/>
                <w:sz w:val="15"/>
                <w:szCs w:val="15"/>
              </w:rPr>
              <w:t>低于</w:t>
            </w:r>
            <w:r>
              <w:rPr>
                <w:rFonts w:ascii="宋体" w:hAnsi="宋体" w:cs="宋体" w:eastAsia="宋体" w:hint="default"/>
                <w:spacing w:val="-40"/>
                <w:sz w:val="15"/>
                <w:szCs w:val="15"/>
              </w:rPr>
              <w:t> </w:t>
            </w:r>
            <w:r>
              <w:rPr>
                <w:rFonts w:ascii="宋体" w:hAnsi="宋体" w:cs="宋体" w:eastAsia="宋体" w:hint="default"/>
                <w:sz w:val="15"/>
                <w:szCs w:val="15"/>
              </w:rPr>
              <w:t>10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103" w:right="0"/>
              <w:jc w:val="left"/>
              <w:rPr>
                <w:rFonts w:ascii="宋体" w:hAnsi="宋体" w:cs="宋体" w:eastAsia="宋体" w:hint="default"/>
                <w:sz w:val="15"/>
                <w:szCs w:val="15"/>
              </w:rPr>
            </w:pPr>
            <w:r>
              <w:rPr>
                <w:rFonts w:ascii="宋体" w:hAnsi="宋体" w:cs="宋体" w:eastAsia="宋体" w:hint="default"/>
                <w:sz w:val="15"/>
                <w:szCs w:val="15"/>
              </w:rPr>
              <w:t>上海长伴信息技术</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咨询有限公司</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00"/>
              <w:jc w:val="right"/>
              <w:rPr>
                <w:rFonts w:ascii="宋体" w:hAnsi="宋体" w:cs="宋体" w:eastAsia="宋体" w:hint="default"/>
                <w:sz w:val="15"/>
                <w:szCs w:val="15"/>
              </w:rPr>
            </w:pPr>
            <w:r>
              <w:rPr>
                <w:rFonts w:ascii="宋体"/>
                <w:spacing w:val="-1"/>
                <w:sz w:val="15"/>
              </w:rPr>
              <w:t>540,000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02"/>
              <w:jc w:val="right"/>
              <w:rPr>
                <w:rFonts w:ascii="宋体" w:hAnsi="宋体" w:cs="宋体" w:eastAsia="宋体" w:hint="default"/>
                <w:sz w:val="15"/>
                <w:szCs w:val="15"/>
              </w:rPr>
            </w:pPr>
            <w:r>
              <w:rPr>
                <w:rFonts w:ascii="宋体"/>
                <w:spacing w:val="-1"/>
                <w:sz w:val="15"/>
              </w:rPr>
              <w:t>540,000</w:t>
            </w:r>
          </w:p>
        </w:tc>
        <w:tc>
          <w:tcPr>
            <w:tcW w:w="1164" w:type="dxa"/>
            <w:tcBorders>
              <w:top w:val="single" w:sz="4" w:space="0" w:color="000000"/>
              <w:left w:val="single" w:sz="4" w:space="0" w:color="000000"/>
              <w:bottom w:val="single" w:sz="4" w:space="0" w:color="000000"/>
              <w:right w:val="single" w:sz="4" w:space="0" w:color="000000"/>
            </w:tcBorders>
          </w:tcPr>
          <w:p>
            <w:pP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01"/>
              <w:jc w:val="right"/>
              <w:rPr>
                <w:rFonts w:ascii="宋体" w:hAnsi="宋体" w:cs="宋体" w:eastAsia="宋体" w:hint="default"/>
                <w:sz w:val="15"/>
                <w:szCs w:val="15"/>
              </w:rPr>
            </w:pPr>
            <w:r>
              <w:rPr>
                <w:rFonts w:ascii="宋体"/>
                <w:w w:val="100"/>
                <w:sz w:val="15"/>
              </w:rPr>
              <w:t>-</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百年人寿保险股份</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有限公司</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240,000,000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240,000,000</w:t>
            </w: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1"/>
              <w:jc w:val="right"/>
              <w:rPr>
                <w:rFonts w:ascii="宋体" w:hAnsi="宋体" w:cs="宋体" w:eastAsia="宋体" w:hint="default"/>
                <w:sz w:val="15"/>
                <w:szCs w:val="15"/>
              </w:rPr>
            </w:pPr>
            <w:r>
              <w:rPr>
                <w:rFonts w:ascii="宋体" w:hAnsi="宋体" w:cs="宋体" w:eastAsia="宋体" w:hint="default"/>
                <w:sz w:val="15"/>
                <w:szCs w:val="15"/>
              </w:rPr>
              <w:t>低于</w:t>
            </w:r>
            <w:r>
              <w:rPr>
                <w:rFonts w:ascii="宋体" w:hAnsi="宋体" w:cs="宋体" w:eastAsia="宋体" w:hint="default"/>
                <w:spacing w:val="-40"/>
                <w:sz w:val="15"/>
                <w:szCs w:val="15"/>
              </w:rPr>
              <w:t> </w:t>
            </w:r>
            <w:r>
              <w:rPr>
                <w:rFonts w:ascii="宋体" w:hAnsi="宋体" w:cs="宋体" w:eastAsia="宋体" w:hint="default"/>
                <w:sz w:val="15"/>
                <w:szCs w:val="15"/>
              </w:rPr>
              <w:t>10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北京致远互联软件</w:t>
            </w:r>
          </w:p>
          <w:p>
            <w:pPr>
              <w:pStyle w:val="TableParagraph"/>
              <w:spacing w:line="196" w:lineRule="exact"/>
              <w:ind w:left="103" w:right="0"/>
              <w:jc w:val="left"/>
              <w:rPr>
                <w:rFonts w:ascii="宋体" w:hAnsi="宋体" w:cs="宋体" w:eastAsia="宋体" w:hint="default"/>
                <w:sz w:val="15"/>
                <w:szCs w:val="15"/>
              </w:rPr>
            </w:pPr>
            <w:r>
              <w:rPr>
                <w:rFonts w:ascii="宋体" w:hAnsi="宋体" w:cs="宋体" w:eastAsia="宋体" w:hint="default"/>
                <w:sz w:val="15"/>
                <w:szCs w:val="15"/>
              </w:rPr>
              <w:t>股份有限公司</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34,860,000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34,860,000</w:t>
            </w: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1"/>
              <w:jc w:val="right"/>
              <w:rPr>
                <w:rFonts w:ascii="宋体" w:hAnsi="宋体" w:cs="宋体" w:eastAsia="宋体" w:hint="default"/>
                <w:sz w:val="15"/>
                <w:szCs w:val="15"/>
              </w:rPr>
            </w:pPr>
            <w:r>
              <w:rPr>
                <w:rFonts w:ascii="宋体" w:hAnsi="宋体" w:cs="宋体" w:eastAsia="宋体" w:hint="default"/>
                <w:sz w:val="15"/>
                <w:szCs w:val="15"/>
              </w:rPr>
              <w:t>低于</w:t>
            </w:r>
            <w:r>
              <w:rPr>
                <w:rFonts w:ascii="宋体" w:hAnsi="宋体" w:cs="宋体" w:eastAsia="宋体" w:hint="default"/>
                <w:spacing w:val="-40"/>
                <w:sz w:val="15"/>
                <w:szCs w:val="15"/>
              </w:rPr>
              <w:t> </w:t>
            </w:r>
            <w:r>
              <w:rPr>
                <w:rFonts w:ascii="宋体" w:hAnsi="宋体" w:cs="宋体" w:eastAsia="宋体" w:hint="default"/>
                <w:sz w:val="15"/>
                <w:szCs w:val="15"/>
              </w:rPr>
              <w:t>10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北京中关村并购母</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基金投资中心（有</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27,000,000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27,000,000</w:t>
            </w: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1"/>
              <w:jc w:val="right"/>
              <w:rPr>
                <w:rFonts w:ascii="宋体" w:hAnsi="宋体" w:cs="宋体" w:eastAsia="宋体" w:hint="default"/>
                <w:sz w:val="15"/>
                <w:szCs w:val="15"/>
              </w:rPr>
            </w:pPr>
            <w:r>
              <w:rPr>
                <w:rFonts w:ascii="宋体" w:hAnsi="宋体" w:cs="宋体" w:eastAsia="宋体" w:hint="default"/>
                <w:sz w:val="15"/>
                <w:szCs w:val="15"/>
              </w:rPr>
              <w:t>低于</w:t>
            </w:r>
            <w:r>
              <w:rPr>
                <w:rFonts w:ascii="宋体" w:hAnsi="宋体" w:cs="宋体" w:eastAsia="宋体" w:hint="default"/>
                <w:spacing w:val="-40"/>
                <w:sz w:val="15"/>
                <w:szCs w:val="15"/>
              </w:rPr>
              <w:t> </w:t>
            </w:r>
            <w:r>
              <w:rPr>
                <w:rFonts w:ascii="宋体" w:hAnsi="宋体" w:cs="宋体" w:eastAsia="宋体" w:hint="default"/>
                <w:sz w:val="15"/>
                <w:szCs w:val="15"/>
              </w:rPr>
              <w:t>10</w:t>
            </w:r>
          </w:p>
        </w:tc>
        <w:tc>
          <w:tcPr>
            <w:tcW w:w="872"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320" w:bottom="1380" w:left="160" w:right="40"/>
        </w:sectPr>
      </w:pPr>
    </w:p>
    <w:p>
      <w:pPr>
        <w:spacing w:line="240" w:lineRule="auto" w:before="6"/>
        <w:rPr>
          <w:rFonts w:ascii="宋体" w:hAnsi="宋体" w:cs="宋体" w:eastAsia="宋体" w:hint="default"/>
          <w:sz w:val="14"/>
          <w:szCs w:val="14"/>
        </w:rPr>
      </w:pPr>
    </w:p>
    <w:tbl>
      <w:tblPr>
        <w:tblW w:w="0" w:type="auto"/>
        <w:jc w:val="left"/>
        <w:tblInd w:w="101" w:type="dxa"/>
        <w:tblLayout w:type="fixed"/>
        <w:tblCellMar>
          <w:top w:w="0" w:type="dxa"/>
          <w:left w:w="0" w:type="dxa"/>
          <w:bottom w:w="0" w:type="dxa"/>
          <w:right w:w="0" w:type="dxa"/>
        </w:tblCellMar>
        <w:tblLook w:val="01E0"/>
      </w:tblPr>
      <w:tblGrid>
        <w:gridCol w:w="1455"/>
        <w:gridCol w:w="1159"/>
        <w:gridCol w:w="1167"/>
        <w:gridCol w:w="1018"/>
        <w:gridCol w:w="1164"/>
        <w:gridCol w:w="1016"/>
        <w:gridCol w:w="1018"/>
        <w:gridCol w:w="730"/>
        <w:gridCol w:w="1018"/>
        <w:gridCol w:w="874"/>
        <w:gridCol w:w="872"/>
      </w:tblGrid>
      <w:tr>
        <w:trPr>
          <w:trHeight w:val="248"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sz w:val="15"/>
                <w:szCs w:val="15"/>
              </w:rPr>
              <w:t>限合伙）</w:t>
            </w:r>
          </w:p>
        </w:tc>
        <w:tc>
          <w:tcPr>
            <w:tcW w:w="1159"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103" w:right="0"/>
              <w:jc w:val="left"/>
              <w:rPr>
                <w:rFonts w:ascii="宋体" w:hAnsi="宋体" w:cs="宋体" w:eastAsia="宋体" w:hint="default"/>
                <w:sz w:val="15"/>
                <w:szCs w:val="15"/>
              </w:rPr>
            </w:pPr>
            <w:r>
              <w:rPr>
                <w:rFonts w:ascii="宋体" w:hAnsi="宋体" w:cs="宋体" w:eastAsia="宋体" w:hint="default"/>
                <w:sz w:val="15"/>
                <w:szCs w:val="15"/>
              </w:rPr>
              <w:t>北京微众文化传媒</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有限公司</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00"/>
              <w:jc w:val="right"/>
              <w:rPr>
                <w:rFonts w:ascii="宋体" w:hAnsi="宋体" w:cs="宋体" w:eastAsia="宋体" w:hint="default"/>
                <w:sz w:val="15"/>
                <w:szCs w:val="15"/>
              </w:rPr>
            </w:pPr>
            <w:r>
              <w:rPr>
                <w:rFonts w:ascii="宋体"/>
                <w:spacing w:val="-1"/>
                <w:sz w:val="15"/>
              </w:rPr>
              <w:t>10,000,000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00"/>
              <w:jc w:val="right"/>
              <w:rPr>
                <w:rFonts w:ascii="宋体" w:hAnsi="宋体" w:cs="宋体" w:eastAsia="宋体" w:hint="default"/>
                <w:sz w:val="15"/>
                <w:szCs w:val="15"/>
              </w:rPr>
            </w:pPr>
            <w:r>
              <w:rPr>
                <w:rFonts w:ascii="宋体"/>
                <w:spacing w:val="-1"/>
                <w:sz w:val="15"/>
              </w:rPr>
              <w:t>10,000,000</w:t>
            </w: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01"/>
              <w:jc w:val="right"/>
              <w:rPr>
                <w:rFonts w:ascii="宋体" w:hAnsi="宋体" w:cs="宋体" w:eastAsia="宋体" w:hint="default"/>
                <w:sz w:val="15"/>
                <w:szCs w:val="15"/>
              </w:rPr>
            </w:pPr>
            <w:r>
              <w:rPr>
                <w:rFonts w:ascii="宋体" w:hAnsi="宋体" w:cs="宋体" w:eastAsia="宋体" w:hint="default"/>
                <w:sz w:val="15"/>
                <w:szCs w:val="15"/>
              </w:rPr>
              <w:t>低于</w:t>
            </w:r>
            <w:r>
              <w:rPr>
                <w:rFonts w:ascii="宋体" w:hAnsi="宋体" w:cs="宋体" w:eastAsia="宋体" w:hint="default"/>
                <w:spacing w:val="-40"/>
                <w:sz w:val="15"/>
                <w:szCs w:val="15"/>
              </w:rPr>
              <w:t> </w:t>
            </w:r>
            <w:r>
              <w:rPr>
                <w:rFonts w:ascii="宋体" w:hAnsi="宋体" w:cs="宋体" w:eastAsia="宋体" w:hint="default"/>
                <w:sz w:val="15"/>
                <w:szCs w:val="15"/>
              </w:rPr>
              <w:t>10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593"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宁波梅山保税港区</w:t>
            </w:r>
          </w:p>
          <w:p>
            <w:pPr>
              <w:pStyle w:val="TableParagraph"/>
              <w:spacing w:line="240" w:lineRule="auto"/>
              <w:ind w:left="103" w:right="137"/>
              <w:jc w:val="left"/>
              <w:rPr>
                <w:rFonts w:ascii="宋体" w:hAnsi="宋体" w:cs="宋体" w:eastAsia="宋体" w:hint="default"/>
                <w:sz w:val="15"/>
                <w:szCs w:val="15"/>
              </w:rPr>
            </w:pPr>
            <w:r>
              <w:rPr>
                <w:rFonts w:ascii="宋体" w:hAnsi="宋体" w:cs="宋体" w:eastAsia="宋体" w:hint="default"/>
                <w:sz w:val="15"/>
                <w:szCs w:val="15"/>
              </w:rPr>
              <w:t>银杏海投资管理有</w:t>
            </w:r>
            <w:r>
              <w:rPr>
                <w:rFonts w:ascii="宋体" w:hAnsi="宋体" w:cs="宋体" w:eastAsia="宋体" w:hint="default"/>
                <w:w w:val="100"/>
                <w:sz w:val="15"/>
                <w:szCs w:val="15"/>
              </w:rPr>
              <w:t> </w:t>
            </w:r>
            <w:r>
              <w:rPr>
                <w:rFonts w:ascii="宋体" w:hAnsi="宋体" w:cs="宋体" w:eastAsia="宋体" w:hint="default"/>
                <w:sz w:val="15"/>
                <w:szCs w:val="15"/>
              </w:rPr>
              <w:t>限公司</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500,000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500,000</w:t>
            </w: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98"/>
              <w:jc w:val="right"/>
              <w:rPr>
                <w:rFonts w:ascii="宋体" w:hAnsi="宋体" w:cs="宋体" w:eastAsia="宋体" w:hint="default"/>
                <w:sz w:val="15"/>
                <w:szCs w:val="15"/>
              </w:rPr>
            </w:pPr>
            <w:r>
              <w:rPr>
                <w:rFonts w:ascii="宋体"/>
                <w:sz w:val="15"/>
              </w:rPr>
              <w:t>10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593"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杭州银杏海股权投</w:t>
            </w:r>
          </w:p>
          <w:p>
            <w:pPr>
              <w:pStyle w:val="TableParagraph"/>
              <w:spacing w:line="240" w:lineRule="auto"/>
              <w:ind w:left="103" w:right="137"/>
              <w:jc w:val="left"/>
              <w:rPr>
                <w:rFonts w:ascii="宋体" w:hAnsi="宋体" w:cs="宋体" w:eastAsia="宋体" w:hint="default"/>
                <w:sz w:val="15"/>
                <w:szCs w:val="15"/>
              </w:rPr>
            </w:pPr>
            <w:r>
              <w:rPr>
                <w:rFonts w:ascii="宋体" w:hAnsi="宋体" w:cs="宋体" w:eastAsia="宋体" w:hint="default"/>
                <w:sz w:val="15"/>
                <w:szCs w:val="15"/>
              </w:rPr>
              <w:t>资合伙企业（有限</w:t>
            </w:r>
            <w:r>
              <w:rPr>
                <w:rFonts w:ascii="宋体" w:hAnsi="宋体" w:cs="宋体" w:eastAsia="宋体" w:hint="default"/>
                <w:w w:val="100"/>
                <w:sz w:val="15"/>
                <w:szCs w:val="15"/>
              </w:rPr>
              <w:t> </w:t>
            </w:r>
            <w:r>
              <w:rPr>
                <w:rFonts w:ascii="宋体" w:hAnsi="宋体" w:cs="宋体" w:eastAsia="宋体" w:hint="default"/>
                <w:sz w:val="15"/>
                <w:szCs w:val="15"/>
              </w:rPr>
              <w:t>合伙）</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30,000,000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30,000,000</w:t>
            </w: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98"/>
              <w:jc w:val="right"/>
              <w:rPr>
                <w:rFonts w:ascii="宋体" w:hAnsi="宋体" w:cs="宋体" w:eastAsia="宋体" w:hint="default"/>
                <w:sz w:val="15"/>
                <w:szCs w:val="15"/>
              </w:rPr>
            </w:pPr>
            <w:r>
              <w:rPr>
                <w:rFonts w:ascii="宋体"/>
                <w:sz w:val="15"/>
              </w:rPr>
              <w:t>15</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北京农信互联科技</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有限公司</w:t>
            </w:r>
          </w:p>
        </w:tc>
        <w:tc>
          <w:tcPr>
            <w:tcW w:w="1159"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3"/>
              <w:jc w:val="right"/>
              <w:rPr>
                <w:rFonts w:ascii="宋体" w:hAnsi="宋体" w:cs="宋体" w:eastAsia="宋体" w:hint="default"/>
                <w:sz w:val="15"/>
                <w:szCs w:val="15"/>
              </w:rPr>
            </w:pPr>
            <w:r>
              <w:rPr>
                <w:rFonts w:ascii="宋体"/>
                <w:spacing w:val="-1"/>
                <w:sz w:val="15"/>
              </w:rPr>
              <w:t>65,000,000</w:t>
            </w: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65,000,000</w:t>
            </w: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1"/>
              <w:jc w:val="right"/>
              <w:rPr>
                <w:rFonts w:ascii="宋体" w:hAnsi="宋体" w:cs="宋体" w:eastAsia="宋体" w:hint="default"/>
                <w:sz w:val="15"/>
                <w:szCs w:val="15"/>
              </w:rPr>
            </w:pPr>
            <w:r>
              <w:rPr>
                <w:rFonts w:ascii="宋体" w:hAnsi="宋体" w:cs="宋体" w:eastAsia="宋体" w:hint="default"/>
                <w:sz w:val="15"/>
                <w:szCs w:val="15"/>
              </w:rPr>
              <w:t>低于</w:t>
            </w:r>
            <w:r>
              <w:rPr>
                <w:rFonts w:ascii="宋体" w:hAnsi="宋体" w:cs="宋体" w:eastAsia="宋体" w:hint="default"/>
                <w:spacing w:val="-40"/>
                <w:sz w:val="15"/>
                <w:szCs w:val="15"/>
              </w:rPr>
              <w:t> </w:t>
            </w:r>
            <w:r>
              <w:rPr>
                <w:rFonts w:ascii="宋体" w:hAnsi="宋体" w:cs="宋体" w:eastAsia="宋体" w:hint="default"/>
                <w:sz w:val="15"/>
                <w:szCs w:val="15"/>
              </w:rPr>
              <w:t>10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593"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深圳淮海方舟信息</w:t>
            </w:r>
          </w:p>
          <w:p>
            <w:pPr>
              <w:pStyle w:val="TableParagraph"/>
              <w:spacing w:line="194" w:lineRule="exact"/>
              <w:ind w:left="103" w:right="0"/>
              <w:jc w:val="left"/>
              <w:rPr>
                <w:rFonts w:ascii="宋体" w:hAnsi="宋体" w:cs="宋体" w:eastAsia="宋体" w:hint="default"/>
                <w:sz w:val="15"/>
                <w:szCs w:val="15"/>
              </w:rPr>
            </w:pPr>
            <w:r>
              <w:rPr>
                <w:rFonts w:ascii="宋体" w:hAnsi="宋体" w:cs="宋体" w:eastAsia="宋体" w:hint="default"/>
                <w:sz w:val="15"/>
                <w:szCs w:val="15"/>
              </w:rPr>
              <w:t>产业股权投资基金</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（有限合伙）</w:t>
            </w:r>
          </w:p>
        </w:tc>
        <w:tc>
          <w:tcPr>
            <w:tcW w:w="1159"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3"/>
              <w:jc w:val="right"/>
              <w:rPr>
                <w:rFonts w:ascii="宋体" w:hAnsi="宋体" w:cs="宋体" w:eastAsia="宋体" w:hint="default"/>
                <w:sz w:val="15"/>
                <w:szCs w:val="15"/>
              </w:rPr>
            </w:pPr>
            <w:r>
              <w:rPr>
                <w:rFonts w:ascii="宋体"/>
                <w:spacing w:val="-1"/>
                <w:sz w:val="15"/>
              </w:rPr>
              <w:t>200,000,000</w:t>
            </w: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200,000,000</w:t>
            </w: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1"/>
              <w:jc w:val="right"/>
              <w:rPr>
                <w:rFonts w:ascii="宋体" w:hAnsi="宋体" w:cs="宋体" w:eastAsia="宋体" w:hint="default"/>
                <w:sz w:val="15"/>
                <w:szCs w:val="15"/>
              </w:rPr>
            </w:pPr>
            <w:r>
              <w:rPr>
                <w:rFonts w:ascii="宋体" w:hAnsi="宋体" w:cs="宋体" w:eastAsia="宋体" w:hint="default"/>
                <w:sz w:val="15"/>
                <w:szCs w:val="15"/>
              </w:rPr>
              <w:t>低于</w:t>
            </w:r>
            <w:r>
              <w:rPr>
                <w:rFonts w:ascii="宋体" w:hAnsi="宋体" w:cs="宋体" w:eastAsia="宋体" w:hint="default"/>
                <w:spacing w:val="-40"/>
                <w:sz w:val="15"/>
                <w:szCs w:val="15"/>
              </w:rPr>
              <w:t> </w:t>
            </w:r>
            <w:r>
              <w:rPr>
                <w:rFonts w:ascii="宋体" w:hAnsi="宋体" w:cs="宋体" w:eastAsia="宋体" w:hint="default"/>
                <w:sz w:val="15"/>
                <w:szCs w:val="15"/>
              </w:rPr>
              <w:t>10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593"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北京传奇极客管理</w:t>
            </w:r>
          </w:p>
          <w:p>
            <w:pPr>
              <w:pStyle w:val="TableParagraph"/>
              <w:spacing w:line="240" w:lineRule="auto"/>
              <w:ind w:left="103" w:right="211"/>
              <w:jc w:val="left"/>
              <w:rPr>
                <w:rFonts w:ascii="宋体" w:hAnsi="宋体" w:cs="宋体" w:eastAsia="宋体" w:hint="default"/>
                <w:sz w:val="15"/>
                <w:szCs w:val="15"/>
              </w:rPr>
            </w:pPr>
            <w:r>
              <w:rPr>
                <w:rFonts w:ascii="宋体" w:hAnsi="宋体" w:cs="宋体" w:eastAsia="宋体" w:hint="default"/>
                <w:sz w:val="15"/>
                <w:szCs w:val="15"/>
              </w:rPr>
              <w:t>咨询有限公司</w:t>
            </w:r>
            <w:r>
              <w:rPr>
                <w:rFonts w:ascii="宋体" w:hAnsi="宋体" w:cs="宋体" w:eastAsia="宋体" w:hint="default"/>
                <w:sz w:val="15"/>
                <w:szCs w:val="15"/>
              </w:rPr>
              <w:t>(</w:t>
            </w:r>
            <w:r>
              <w:rPr>
                <w:rFonts w:ascii="宋体" w:hAnsi="宋体" w:cs="宋体" w:eastAsia="宋体" w:hint="default"/>
                <w:sz w:val="15"/>
                <w:szCs w:val="15"/>
              </w:rPr>
              <w:t>注</w:t>
            </w:r>
            <w:r>
              <w:rPr>
                <w:rFonts w:ascii="宋体" w:hAnsi="宋体" w:cs="宋体" w:eastAsia="宋体" w:hint="default"/>
                <w:spacing w:val="-73"/>
                <w:sz w:val="15"/>
                <w:szCs w:val="15"/>
              </w:rPr>
              <w:t> </w:t>
            </w:r>
            <w:r>
              <w:rPr>
                <w:rFonts w:ascii="宋体" w:hAnsi="宋体" w:cs="宋体" w:eastAsia="宋体" w:hint="default"/>
                <w:sz w:val="15"/>
                <w:szCs w:val="15"/>
              </w:rPr>
              <w:t>1)</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2"/>
                <w:sz w:val="15"/>
              </w:rPr>
              <w:t>6,762,500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2"/>
              <w:jc w:val="right"/>
              <w:rPr>
                <w:rFonts w:ascii="宋体" w:hAnsi="宋体" w:cs="宋体" w:eastAsia="宋体" w:hint="default"/>
                <w:sz w:val="15"/>
                <w:szCs w:val="15"/>
              </w:rPr>
            </w:pPr>
            <w:r>
              <w:rPr>
                <w:rFonts w:ascii="宋体"/>
                <w:spacing w:val="-2"/>
                <w:sz w:val="15"/>
              </w:rPr>
              <w:t>6,762,500</w:t>
            </w:r>
          </w:p>
        </w:tc>
        <w:tc>
          <w:tcPr>
            <w:tcW w:w="1164" w:type="dxa"/>
            <w:tcBorders>
              <w:top w:val="single" w:sz="4" w:space="0" w:color="000000"/>
              <w:left w:val="single" w:sz="4" w:space="0" w:color="000000"/>
              <w:bottom w:val="single" w:sz="4" w:space="0" w:color="000000"/>
              <w:right w:val="single" w:sz="4" w:space="0" w:color="000000"/>
            </w:tcBorders>
          </w:tcPr>
          <w:p>
            <w:pP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98"/>
              <w:jc w:val="right"/>
              <w:rPr>
                <w:rFonts w:ascii="宋体" w:hAnsi="宋体" w:cs="宋体" w:eastAsia="宋体" w:hint="default"/>
                <w:sz w:val="15"/>
                <w:szCs w:val="15"/>
              </w:rPr>
            </w:pPr>
            <w:r>
              <w:rPr>
                <w:rFonts w:ascii="宋体"/>
                <w:sz w:val="15"/>
              </w:rPr>
              <w:t>13</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北京文德致远文化</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传播有限公司</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2"/>
                <w:sz w:val="15"/>
              </w:rPr>
              <w:t>5,980,500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2"/>
                <w:sz w:val="15"/>
              </w:rPr>
              <w:t>5,980,500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2"/>
                <w:sz w:val="15"/>
              </w:rPr>
              <w:t>5,980,500</w:t>
            </w: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2"/>
              <w:jc w:val="right"/>
              <w:rPr>
                <w:rFonts w:ascii="宋体" w:hAnsi="宋体" w:cs="宋体" w:eastAsia="宋体" w:hint="default"/>
                <w:sz w:val="15"/>
                <w:szCs w:val="15"/>
              </w:rPr>
            </w:pPr>
            <w:r>
              <w:rPr>
                <w:rFonts w:ascii="宋体"/>
                <w:spacing w:val="-2"/>
                <w:sz w:val="15"/>
              </w:rPr>
              <w:t>5,980,500</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1"/>
              <w:jc w:val="right"/>
              <w:rPr>
                <w:rFonts w:ascii="宋体" w:hAnsi="宋体" w:cs="宋体" w:eastAsia="宋体" w:hint="default"/>
                <w:sz w:val="15"/>
                <w:szCs w:val="15"/>
              </w:rPr>
            </w:pPr>
            <w:r>
              <w:rPr>
                <w:rFonts w:ascii="宋体" w:hAnsi="宋体" w:cs="宋体" w:eastAsia="宋体" w:hint="default"/>
                <w:sz w:val="15"/>
                <w:szCs w:val="15"/>
              </w:rPr>
              <w:t>低于</w:t>
            </w:r>
            <w:r>
              <w:rPr>
                <w:rFonts w:ascii="宋体" w:hAnsi="宋体" w:cs="宋体" w:eastAsia="宋体" w:hint="default"/>
                <w:spacing w:val="-40"/>
                <w:sz w:val="15"/>
                <w:szCs w:val="15"/>
              </w:rPr>
              <w:t> </w:t>
            </w:r>
            <w:r>
              <w:rPr>
                <w:rFonts w:ascii="宋体" w:hAnsi="宋体" w:cs="宋体" w:eastAsia="宋体" w:hint="default"/>
                <w:sz w:val="15"/>
                <w:szCs w:val="15"/>
              </w:rPr>
              <w:t>10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103" w:right="0"/>
              <w:jc w:val="left"/>
              <w:rPr>
                <w:rFonts w:ascii="宋体" w:hAnsi="宋体" w:cs="宋体" w:eastAsia="宋体" w:hint="default"/>
                <w:sz w:val="15"/>
                <w:szCs w:val="15"/>
              </w:rPr>
            </w:pPr>
            <w:r>
              <w:rPr>
                <w:rFonts w:ascii="宋体" w:hAnsi="宋体" w:cs="宋体" w:eastAsia="宋体" w:hint="default"/>
                <w:sz w:val="15"/>
                <w:szCs w:val="15"/>
              </w:rPr>
              <w:t>北京族米科技有限</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公司</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00"/>
              <w:jc w:val="right"/>
              <w:rPr>
                <w:rFonts w:ascii="宋体" w:hAnsi="宋体" w:cs="宋体" w:eastAsia="宋体" w:hint="default"/>
                <w:sz w:val="15"/>
                <w:szCs w:val="15"/>
              </w:rPr>
            </w:pPr>
            <w:r>
              <w:rPr>
                <w:rFonts w:ascii="宋体"/>
                <w:spacing w:val="-1"/>
                <w:sz w:val="15"/>
              </w:rPr>
              <w:t>15,000,000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00"/>
              <w:jc w:val="right"/>
              <w:rPr>
                <w:rFonts w:ascii="宋体" w:hAnsi="宋体" w:cs="宋体" w:eastAsia="宋体" w:hint="default"/>
                <w:sz w:val="15"/>
                <w:szCs w:val="15"/>
              </w:rPr>
            </w:pPr>
            <w:r>
              <w:rPr>
                <w:rFonts w:ascii="宋体"/>
                <w:spacing w:val="-1"/>
                <w:sz w:val="15"/>
              </w:rPr>
              <w:t>15,000,000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00"/>
              <w:jc w:val="right"/>
              <w:rPr>
                <w:rFonts w:ascii="宋体" w:hAnsi="宋体" w:cs="宋体" w:eastAsia="宋体" w:hint="default"/>
                <w:sz w:val="15"/>
                <w:szCs w:val="15"/>
              </w:rPr>
            </w:pPr>
            <w:r>
              <w:rPr>
                <w:rFonts w:ascii="宋体"/>
                <w:spacing w:val="-1"/>
                <w:sz w:val="15"/>
              </w:rPr>
              <w:t>14,000,000</w:t>
            </w: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02"/>
              <w:jc w:val="right"/>
              <w:rPr>
                <w:rFonts w:ascii="宋体" w:hAnsi="宋体" w:cs="宋体" w:eastAsia="宋体" w:hint="default"/>
                <w:sz w:val="15"/>
                <w:szCs w:val="15"/>
              </w:rPr>
            </w:pPr>
            <w:r>
              <w:rPr>
                <w:rFonts w:ascii="宋体"/>
                <w:spacing w:val="-1"/>
                <w:sz w:val="15"/>
              </w:rPr>
              <w:t>14,000,000</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98"/>
              <w:jc w:val="right"/>
              <w:rPr>
                <w:rFonts w:ascii="宋体" w:hAnsi="宋体" w:cs="宋体" w:eastAsia="宋体" w:hint="default"/>
                <w:sz w:val="15"/>
                <w:szCs w:val="15"/>
              </w:rPr>
            </w:pPr>
            <w:r>
              <w:rPr>
                <w:rFonts w:ascii="宋体"/>
                <w:sz w:val="15"/>
              </w:rPr>
              <w:t>13</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593"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中驰车福联合电子</w:t>
            </w:r>
          </w:p>
          <w:p>
            <w:pPr>
              <w:pStyle w:val="TableParagraph"/>
              <w:spacing w:line="240" w:lineRule="auto"/>
              <w:ind w:left="103" w:right="137"/>
              <w:jc w:val="left"/>
              <w:rPr>
                <w:rFonts w:ascii="宋体" w:hAnsi="宋体" w:cs="宋体" w:eastAsia="宋体" w:hint="default"/>
                <w:sz w:val="15"/>
                <w:szCs w:val="15"/>
              </w:rPr>
            </w:pPr>
            <w:r>
              <w:rPr>
                <w:rFonts w:ascii="宋体" w:hAnsi="宋体" w:cs="宋体" w:eastAsia="宋体" w:hint="default"/>
                <w:sz w:val="15"/>
                <w:szCs w:val="15"/>
              </w:rPr>
              <w:t>商务（北京）有限</w:t>
            </w:r>
            <w:r>
              <w:rPr>
                <w:rFonts w:ascii="宋体" w:hAnsi="宋体" w:cs="宋体" w:eastAsia="宋体" w:hint="default"/>
                <w:w w:val="100"/>
                <w:sz w:val="15"/>
                <w:szCs w:val="15"/>
              </w:rPr>
              <w:t> </w:t>
            </w:r>
            <w:r>
              <w:rPr>
                <w:rFonts w:ascii="宋体" w:hAnsi="宋体" w:cs="宋体" w:eastAsia="宋体" w:hint="default"/>
                <w:sz w:val="15"/>
                <w:szCs w:val="15"/>
              </w:rPr>
              <w:t>公司</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2"/>
                <w:sz w:val="15"/>
              </w:rPr>
              <w:t>4,312,200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2"/>
              <w:jc w:val="right"/>
              <w:rPr>
                <w:rFonts w:ascii="宋体" w:hAnsi="宋体" w:cs="宋体" w:eastAsia="宋体" w:hint="default"/>
                <w:sz w:val="15"/>
                <w:szCs w:val="15"/>
              </w:rPr>
            </w:pPr>
            <w:r>
              <w:rPr>
                <w:rFonts w:ascii="宋体"/>
                <w:spacing w:val="-2"/>
                <w:sz w:val="15"/>
              </w:rPr>
              <w:t>4,312,200</w:t>
            </w:r>
          </w:p>
        </w:tc>
        <w:tc>
          <w:tcPr>
            <w:tcW w:w="1164" w:type="dxa"/>
            <w:tcBorders>
              <w:top w:val="single" w:sz="4" w:space="0" w:color="000000"/>
              <w:left w:val="single" w:sz="4" w:space="0" w:color="000000"/>
              <w:bottom w:val="single" w:sz="4" w:space="0" w:color="000000"/>
              <w:right w:val="single" w:sz="4" w:space="0" w:color="000000"/>
            </w:tcBorders>
          </w:tcPr>
          <w:p>
            <w:pP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1"/>
              <w:jc w:val="right"/>
              <w:rPr>
                <w:rFonts w:ascii="宋体" w:hAnsi="宋体" w:cs="宋体" w:eastAsia="宋体" w:hint="default"/>
                <w:sz w:val="15"/>
                <w:szCs w:val="15"/>
              </w:rPr>
            </w:pPr>
            <w:r>
              <w:rPr>
                <w:rFonts w:ascii="宋体" w:hAnsi="宋体" w:cs="宋体" w:eastAsia="宋体" w:hint="default"/>
                <w:sz w:val="15"/>
                <w:szCs w:val="15"/>
              </w:rPr>
              <w:t>低于</w:t>
            </w:r>
            <w:r>
              <w:rPr>
                <w:rFonts w:ascii="宋体" w:hAnsi="宋体" w:cs="宋体" w:eastAsia="宋体" w:hint="default"/>
                <w:spacing w:val="-40"/>
                <w:sz w:val="15"/>
                <w:szCs w:val="15"/>
              </w:rPr>
              <w:t> </w:t>
            </w:r>
            <w:r>
              <w:rPr>
                <w:rFonts w:ascii="宋体" w:hAnsi="宋体" w:cs="宋体" w:eastAsia="宋体" w:hint="default"/>
                <w:sz w:val="15"/>
                <w:szCs w:val="15"/>
              </w:rPr>
              <w:t>10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易云捷讯科技（北</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京）股份有限公司</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11,454,394</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3"/>
              <w:jc w:val="right"/>
              <w:rPr>
                <w:rFonts w:ascii="宋体" w:hAnsi="宋体" w:cs="宋体" w:eastAsia="宋体" w:hint="default"/>
                <w:sz w:val="15"/>
                <w:szCs w:val="15"/>
              </w:rPr>
            </w:pPr>
            <w:r>
              <w:rPr>
                <w:rFonts w:ascii="宋体"/>
                <w:spacing w:val="-2"/>
                <w:sz w:val="15"/>
              </w:rPr>
              <w:t>1,163,381</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2"/>
              <w:jc w:val="right"/>
              <w:rPr>
                <w:rFonts w:ascii="宋体" w:hAnsi="宋体" w:cs="宋体" w:eastAsia="宋体" w:hint="default"/>
                <w:sz w:val="15"/>
                <w:szCs w:val="15"/>
              </w:rPr>
            </w:pPr>
            <w:r>
              <w:rPr>
                <w:rFonts w:ascii="宋体"/>
                <w:spacing w:val="-1"/>
                <w:sz w:val="15"/>
              </w:rPr>
              <w:t>12,617,775</w:t>
            </w:r>
          </w:p>
        </w:tc>
        <w:tc>
          <w:tcPr>
            <w:tcW w:w="1164" w:type="dxa"/>
            <w:tcBorders>
              <w:top w:val="single" w:sz="4" w:space="0" w:color="000000"/>
              <w:left w:val="single" w:sz="4" w:space="0" w:color="000000"/>
              <w:bottom w:val="single" w:sz="4" w:space="0" w:color="000000"/>
              <w:right w:val="single" w:sz="4" w:space="0" w:color="000000"/>
            </w:tcBorders>
          </w:tcPr>
          <w:p>
            <w:pP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1"/>
              <w:jc w:val="right"/>
              <w:rPr>
                <w:rFonts w:ascii="宋体" w:hAnsi="宋体" w:cs="宋体" w:eastAsia="宋体" w:hint="default"/>
                <w:sz w:val="15"/>
                <w:szCs w:val="15"/>
              </w:rPr>
            </w:pPr>
            <w:r>
              <w:rPr>
                <w:rFonts w:ascii="宋体" w:hAnsi="宋体" w:cs="宋体" w:eastAsia="宋体" w:hint="default"/>
                <w:sz w:val="15"/>
                <w:szCs w:val="15"/>
              </w:rPr>
              <w:t>低于</w:t>
            </w:r>
            <w:r>
              <w:rPr>
                <w:rFonts w:ascii="宋体" w:hAnsi="宋体" w:cs="宋体" w:eastAsia="宋体" w:hint="default"/>
                <w:spacing w:val="-40"/>
                <w:sz w:val="15"/>
                <w:szCs w:val="15"/>
              </w:rPr>
              <w:t> </w:t>
            </w:r>
            <w:r>
              <w:rPr>
                <w:rFonts w:ascii="宋体" w:hAnsi="宋体" w:cs="宋体" w:eastAsia="宋体" w:hint="default"/>
                <w:sz w:val="15"/>
                <w:szCs w:val="15"/>
              </w:rPr>
              <w:t>10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103" w:right="0"/>
              <w:jc w:val="left"/>
              <w:rPr>
                <w:rFonts w:ascii="宋体" w:hAnsi="宋体" w:cs="宋体" w:eastAsia="宋体" w:hint="default"/>
                <w:sz w:val="15"/>
                <w:szCs w:val="15"/>
              </w:rPr>
            </w:pPr>
            <w:r>
              <w:rPr>
                <w:rFonts w:ascii="宋体" w:hAnsi="宋体" w:cs="宋体" w:eastAsia="宋体" w:hint="default"/>
                <w:sz w:val="15"/>
                <w:szCs w:val="15"/>
              </w:rPr>
              <w:t>上海通联金融服务</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有限公司</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00"/>
              <w:jc w:val="right"/>
              <w:rPr>
                <w:rFonts w:ascii="宋体" w:hAnsi="宋体" w:cs="宋体" w:eastAsia="宋体" w:hint="default"/>
                <w:sz w:val="15"/>
                <w:szCs w:val="15"/>
              </w:rPr>
            </w:pPr>
            <w:r>
              <w:rPr>
                <w:rFonts w:ascii="宋体"/>
                <w:spacing w:val="-1"/>
                <w:sz w:val="15"/>
              </w:rPr>
              <w:t>15,900,000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00"/>
              <w:jc w:val="right"/>
              <w:rPr>
                <w:rFonts w:ascii="宋体" w:hAnsi="宋体" w:cs="宋体" w:eastAsia="宋体" w:hint="default"/>
                <w:sz w:val="15"/>
                <w:szCs w:val="15"/>
              </w:rPr>
            </w:pPr>
            <w:r>
              <w:rPr>
                <w:rFonts w:ascii="宋体"/>
                <w:spacing w:val="-1"/>
                <w:sz w:val="15"/>
              </w:rPr>
              <w:t>15,900,000</w:t>
            </w: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01"/>
              <w:jc w:val="right"/>
              <w:rPr>
                <w:rFonts w:ascii="宋体" w:hAnsi="宋体" w:cs="宋体" w:eastAsia="宋体" w:hint="default"/>
                <w:sz w:val="15"/>
                <w:szCs w:val="15"/>
              </w:rPr>
            </w:pPr>
            <w:r>
              <w:rPr>
                <w:rFonts w:ascii="宋体" w:hAnsi="宋体" w:cs="宋体" w:eastAsia="宋体" w:hint="default"/>
                <w:sz w:val="15"/>
                <w:szCs w:val="15"/>
              </w:rPr>
              <w:t>低于</w:t>
            </w:r>
            <w:r>
              <w:rPr>
                <w:rFonts w:ascii="宋体" w:hAnsi="宋体" w:cs="宋体" w:eastAsia="宋体" w:hint="default"/>
                <w:spacing w:val="-40"/>
                <w:sz w:val="15"/>
                <w:szCs w:val="15"/>
              </w:rPr>
              <w:t> </w:t>
            </w:r>
            <w:r>
              <w:rPr>
                <w:rFonts w:ascii="宋体" w:hAnsi="宋体" w:cs="宋体" w:eastAsia="宋体" w:hint="default"/>
                <w:sz w:val="15"/>
                <w:szCs w:val="15"/>
              </w:rPr>
              <w:t>10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北京灵动新程信息</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科技有限公司</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56,494</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56,494</w:t>
            </w: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1"/>
              <w:jc w:val="right"/>
              <w:rPr>
                <w:rFonts w:ascii="宋体" w:hAnsi="宋体" w:cs="宋体" w:eastAsia="宋体" w:hint="default"/>
                <w:sz w:val="15"/>
                <w:szCs w:val="15"/>
              </w:rPr>
            </w:pPr>
            <w:r>
              <w:rPr>
                <w:rFonts w:ascii="宋体" w:hAnsi="宋体" w:cs="宋体" w:eastAsia="宋体" w:hint="default"/>
                <w:sz w:val="15"/>
                <w:szCs w:val="15"/>
              </w:rPr>
              <w:t>低于</w:t>
            </w:r>
            <w:r>
              <w:rPr>
                <w:rFonts w:ascii="宋体" w:hAnsi="宋体" w:cs="宋体" w:eastAsia="宋体" w:hint="default"/>
                <w:spacing w:val="-40"/>
                <w:sz w:val="15"/>
                <w:szCs w:val="15"/>
              </w:rPr>
              <w:t> </w:t>
            </w:r>
            <w:r>
              <w:rPr>
                <w:rFonts w:ascii="宋体" w:hAnsi="宋体" w:cs="宋体" w:eastAsia="宋体" w:hint="default"/>
                <w:sz w:val="15"/>
                <w:szCs w:val="15"/>
              </w:rPr>
              <w:t>10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北京易游时代网络</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科技有限责任公司</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2"/>
                <w:sz w:val="15"/>
              </w:rPr>
              <w:t>2,000,000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2"/>
                <w:sz w:val="15"/>
              </w:rPr>
              <w:t>2,000,000</w:t>
            </w: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98"/>
              <w:jc w:val="right"/>
              <w:rPr>
                <w:rFonts w:ascii="宋体" w:hAnsi="宋体" w:cs="宋体" w:eastAsia="宋体" w:hint="default"/>
                <w:sz w:val="15"/>
                <w:szCs w:val="15"/>
              </w:rPr>
            </w:pPr>
            <w:r>
              <w:rPr>
                <w:rFonts w:ascii="宋体"/>
                <w:sz w:val="15"/>
              </w:rPr>
              <w:t>17</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深圳市华傲数据技</w:t>
            </w:r>
          </w:p>
          <w:p>
            <w:pPr>
              <w:pStyle w:val="TableParagraph"/>
              <w:spacing w:line="196" w:lineRule="exact"/>
              <w:ind w:left="103" w:right="0"/>
              <w:jc w:val="left"/>
              <w:rPr>
                <w:rFonts w:ascii="宋体" w:hAnsi="宋体" w:cs="宋体" w:eastAsia="宋体" w:hint="default"/>
                <w:sz w:val="15"/>
                <w:szCs w:val="15"/>
              </w:rPr>
            </w:pPr>
            <w:r>
              <w:rPr>
                <w:rFonts w:ascii="宋体" w:hAnsi="宋体" w:cs="宋体" w:eastAsia="宋体" w:hint="default"/>
                <w:sz w:val="15"/>
                <w:szCs w:val="15"/>
              </w:rPr>
              <w:t>术有限公司</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2"/>
                <w:sz w:val="15"/>
              </w:rPr>
              <w:t>8,050,000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2"/>
              <w:jc w:val="right"/>
              <w:rPr>
                <w:rFonts w:ascii="宋体" w:hAnsi="宋体" w:cs="宋体" w:eastAsia="宋体" w:hint="default"/>
                <w:sz w:val="15"/>
                <w:szCs w:val="15"/>
              </w:rPr>
            </w:pPr>
            <w:r>
              <w:rPr>
                <w:rFonts w:ascii="宋体"/>
                <w:spacing w:val="-2"/>
                <w:sz w:val="15"/>
              </w:rPr>
              <w:t>8,050,000</w:t>
            </w:r>
          </w:p>
        </w:tc>
        <w:tc>
          <w:tcPr>
            <w:tcW w:w="1164" w:type="dxa"/>
            <w:tcBorders>
              <w:top w:val="single" w:sz="4" w:space="0" w:color="000000"/>
              <w:left w:val="single" w:sz="4" w:space="0" w:color="000000"/>
              <w:bottom w:val="single" w:sz="4" w:space="0" w:color="000000"/>
              <w:right w:val="single" w:sz="4" w:space="0" w:color="000000"/>
            </w:tcBorders>
          </w:tcPr>
          <w:p>
            <w:pP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1"/>
              <w:jc w:val="right"/>
              <w:rPr>
                <w:rFonts w:ascii="宋体" w:hAnsi="宋体" w:cs="宋体" w:eastAsia="宋体" w:hint="default"/>
                <w:sz w:val="15"/>
                <w:szCs w:val="15"/>
              </w:rPr>
            </w:pPr>
            <w:r>
              <w:rPr>
                <w:rFonts w:ascii="宋体" w:hAnsi="宋体" w:cs="宋体" w:eastAsia="宋体" w:hint="default"/>
                <w:sz w:val="15"/>
                <w:szCs w:val="15"/>
              </w:rPr>
              <w:t>低于</w:t>
            </w:r>
            <w:r>
              <w:rPr>
                <w:rFonts w:ascii="宋体" w:hAnsi="宋体" w:cs="宋体" w:eastAsia="宋体" w:hint="default"/>
                <w:spacing w:val="-40"/>
                <w:sz w:val="15"/>
                <w:szCs w:val="15"/>
              </w:rPr>
              <w:t> </w:t>
            </w:r>
            <w:r>
              <w:rPr>
                <w:rFonts w:ascii="宋体" w:hAnsi="宋体" w:cs="宋体" w:eastAsia="宋体" w:hint="default"/>
                <w:sz w:val="15"/>
                <w:szCs w:val="15"/>
              </w:rPr>
              <w:t>10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103" w:right="0"/>
              <w:jc w:val="left"/>
              <w:rPr>
                <w:rFonts w:ascii="宋体" w:hAnsi="宋体" w:cs="宋体" w:eastAsia="宋体" w:hint="default"/>
                <w:sz w:val="15"/>
                <w:szCs w:val="15"/>
              </w:rPr>
            </w:pPr>
            <w:r>
              <w:rPr>
                <w:rFonts w:ascii="宋体" w:hAnsi="宋体" w:cs="宋体" w:eastAsia="宋体" w:hint="default"/>
                <w:sz w:val="15"/>
                <w:szCs w:val="15"/>
              </w:rPr>
              <w:t>深圳市六度人和科</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技有限公司</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00"/>
              <w:jc w:val="right"/>
              <w:rPr>
                <w:rFonts w:ascii="宋体" w:hAnsi="宋体" w:cs="宋体" w:eastAsia="宋体" w:hint="default"/>
                <w:sz w:val="15"/>
                <w:szCs w:val="15"/>
              </w:rPr>
            </w:pPr>
            <w:r>
              <w:rPr>
                <w:rFonts w:ascii="宋体"/>
                <w:spacing w:val="-2"/>
                <w:sz w:val="15"/>
              </w:rPr>
              <w:t>4,185,524</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00"/>
              <w:jc w:val="right"/>
              <w:rPr>
                <w:rFonts w:ascii="宋体" w:hAnsi="宋体" w:cs="宋体" w:eastAsia="宋体" w:hint="default"/>
                <w:sz w:val="15"/>
                <w:szCs w:val="15"/>
              </w:rPr>
            </w:pPr>
            <w:r>
              <w:rPr>
                <w:rFonts w:ascii="宋体"/>
                <w:spacing w:val="-2"/>
                <w:sz w:val="15"/>
              </w:rPr>
              <w:t>4,185,524</w:t>
            </w: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01"/>
              <w:jc w:val="right"/>
              <w:rPr>
                <w:rFonts w:ascii="宋体" w:hAnsi="宋体" w:cs="宋体" w:eastAsia="宋体" w:hint="default"/>
                <w:sz w:val="15"/>
                <w:szCs w:val="15"/>
              </w:rPr>
            </w:pPr>
            <w:r>
              <w:rPr>
                <w:rFonts w:ascii="宋体" w:hAnsi="宋体" w:cs="宋体" w:eastAsia="宋体" w:hint="default"/>
                <w:sz w:val="15"/>
                <w:szCs w:val="15"/>
              </w:rPr>
              <w:t>低于</w:t>
            </w:r>
            <w:r>
              <w:rPr>
                <w:rFonts w:ascii="宋体" w:hAnsi="宋体" w:cs="宋体" w:eastAsia="宋体" w:hint="default"/>
                <w:spacing w:val="-40"/>
                <w:sz w:val="15"/>
                <w:szCs w:val="15"/>
              </w:rPr>
              <w:t> </w:t>
            </w:r>
            <w:r>
              <w:rPr>
                <w:rFonts w:ascii="宋体" w:hAnsi="宋体" w:cs="宋体" w:eastAsia="宋体" w:hint="default"/>
                <w:sz w:val="15"/>
                <w:szCs w:val="15"/>
              </w:rPr>
              <w:t>10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中卫大河云联网络</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技术有限公司</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2"/>
                <w:sz w:val="15"/>
              </w:rPr>
              <w:t>2,000,000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2"/>
              <w:jc w:val="right"/>
              <w:rPr>
                <w:rFonts w:ascii="宋体" w:hAnsi="宋体" w:cs="宋体" w:eastAsia="宋体" w:hint="default"/>
                <w:sz w:val="15"/>
                <w:szCs w:val="15"/>
              </w:rPr>
            </w:pPr>
            <w:r>
              <w:rPr>
                <w:rFonts w:ascii="宋体"/>
                <w:spacing w:val="-2"/>
                <w:sz w:val="15"/>
              </w:rPr>
              <w:t>1,178,700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821,300</w:t>
            </w: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1"/>
              <w:jc w:val="right"/>
              <w:rPr>
                <w:rFonts w:ascii="宋体" w:hAnsi="宋体" w:cs="宋体" w:eastAsia="宋体" w:hint="default"/>
                <w:sz w:val="15"/>
                <w:szCs w:val="15"/>
              </w:rPr>
            </w:pPr>
            <w:r>
              <w:rPr>
                <w:rFonts w:ascii="宋体" w:hAnsi="宋体" w:cs="宋体" w:eastAsia="宋体" w:hint="default"/>
                <w:sz w:val="15"/>
                <w:szCs w:val="15"/>
              </w:rPr>
              <w:t>低于</w:t>
            </w:r>
            <w:r>
              <w:rPr>
                <w:rFonts w:ascii="宋体" w:hAnsi="宋体" w:cs="宋体" w:eastAsia="宋体" w:hint="default"/>
                <w:spacing w:val="-40"/>
                <w:sz w:val="15"/>
                <w:szCs w:val="15"/>
              </w:rPr>
              <w:t> </w:t>
            </w:r>
            <w:r>
              <w:rPr>
                <w:rFonts w:ascii="宋体" w:hAnsi="宋体" w:cs="宋体" w:eastAsia="宋体" w:hint="default"/>
                <w:sz w:val="15"/>
                <w:szCs w:val="15"/>
              </w:rPr>
              <w:t>10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捷会易网络技术有</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限公司</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2"/>
                <w:sz w:val="15"/>
              </w:rPr>
              <w:t>3,000,000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2"/>
                <w:sz w:val="15"/>
              </w:rPr>
              <w:t>3,000,000</w:t>
            </w: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1"/>
              <w:jc w:val="right"/>
              <w:rPr>
                <w:rFonts w:ascii="宋体" w:hAnsi="宋体" w:cs="宋体" w:eastAsia="宋体" w:hint="default"/>
                <w:sz w:val="15"/>
                <w:szCs w:val="15"/>
              </w:rPr>
            </w:pPr>
            <w:r>
              <w:rPr>
                <w:rFonts w:ascii="宋体" w:hAnsi="宋体" w:cs="宋体" w:eastAsia="宋体" w:hint="default"/>
                <w:sz w:val="15"/>
                <w:szCs w:val="15"/>
              </w:rPr>
              <w:t>低于</w:t>
            </w:r>
            <w:r>
              <w:rPr>
                <w:rFonts w:ascii="宋体" w:hAnsi="宋体" w:cs="宋体" w:eastAsia="宋体" w:hint="default"/>
                <w:spacing w:val="-40"/>
                <w:sz w:val="15"/>
                <w:szCs w:val="15"/>
              </w:rPr>
              <w:t> </w:t>
            </w:r>
            <w:r>
              <w:rPr>
                <w:rFonts w:ascii="宋体" w:hAnsi="宋体" w:cs="宋体" w:eastAsia="宋体" w:hint="default"/>
                <w:sz w:val="15"/>
                <w:szCs w:val="15"/>
              </w:rPr>
              <w:t>10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广州一禾企业管理</w:t>
            </w: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有限公司</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2"/>
                <w:sz w:val="15"/>
              </w:rPr>
              <w:t>3,000,000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2"/>
                <w:sz w:val="15"/>
              </w:rPr>
              <w:t>3,000,000</w:t>
            </w: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1"/>
              <w:jc w:val="right"/>
              <w:rPr>
                <w:rFonts w:ascii="宋体" w:hAnsi="宋体" w:cs="宋体" w:eastAsia="宋体" w:hint="default"/>
                <w:sz w:val="15"/>
                <w:szCs w:val="15"/>
              </w:rPr>
            </w:pPr>
            <w:r>
              <w:rPr>
                <w:rFonts w:ascii="宋体" w:hAnsi="宋体" w:cs="宋体" w:eastAsia="宋体" w:hint="default"/>
                <w:sz w:val="15"/>
                <w:szCs w:val="15"/>
              </w:rPr>
              <w:t>低于</w:t>
            </w:r>
            <w:r>
              <w:rPr>
                <w:rFonts w:ascii="宋体" w:hAnsi="宋体" w:cs="宋体" w:eastAsia="宋体" w:hint="default"/>
                <w:spacing w:val="-40"/>
                <w:sz w:val="15"/>
                <w:szCs w:val="15"/>
              </w:rPr>
              <w:t> </w:t>
            </w:r>
            <w:r>
              <w:rPr>
                <w:rFonts w:ascii="宋体" w:hAnsi="宋体" w:cs="宋体" w:eastAsia="宋体" w:hint="default"/>
                <w:sz w:val="15"/>
                <w:szCs w:val="15"/>
              </w:rPr>
              <w:t>10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深圳市力合科技融</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资担保有限公司</w:t>
            </w:r>
          </w:p>
        </w:tc>
        <w:tc>
          <w:tcPr>
            <w:tcW w:w="1159"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3"/>
              <w:jc w:val="right"/>
              <w:rPr>
                <w:rFonts w:ascii="宋体" w:hAnsi="宋体" w:cs="宋体" w:eastAsia="宋体" w:hint="default"/>
                <w:sz w:val="15"/>
                <w:szCs w:val="15"/>
              </w:rPr>
            </w:pPr>
            <w:r>
              <w:rPr>
                <w:rFonts w:ascii="宋体"/>
                <w:spacing w:val="-2"/>
                <w:sz w:val="15"/>
              </w:rPr>
              <w:t>3,003,000</w:t>
            </w: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2"/>
                <w:sz w:val="15"/>
              </w:rPr>
              <w:t>3,003,000</w:t>
            </w: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1"/>
              <w:jc w:val="right"/>
              <w:rPr>
                <w:rFonts w:ascii="宋体" w:hAnsi="宋体" w:cs="宋体" w:eastAsia="宋体" w:hint="default"/>
                <w:sz w:val="15"/>
                <w:szCs w:val="15"/>
              </w:rPr>
            </w:pPr>
            <w:r>
              <w:rPr>
                <w:rFonts w:ascii="宋体" w:hAnsi="宋体" w:cs="宋体" w:eastAsia="宋体" w:hint="default"/>
                <w:sz w:val="15"/>
                <w:szCs w:val="15"/>
              </w:rPr>
              <w:t>低于</w:t>
            </w:r>
            <w:r>
              <w:rPr>
                <w:rFonts w:ascii="宋体" w:hAnsi="宋体" w:cs="宋体" w:eastAsia="宋体" w:hint="default"/>
                <w:spacing w:val="-40"/>
                <w:sz w:val="15"/>
                <w:szCs w:val="15"/>
              </w:rPr>
              <w:t> </w:t>
            </w:r>
            <w:r>
              <w:rPr>
                <w:rFonts w:ascii="宋体" w:hAnsi="宋体" w:cs="宋体" w:eastAsia="宋体" w:hint="default"/>
                <w:sz w:val="15"/>
                <w:szCs w:val="15"/>
              </w:rPr>
              <w:t>10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247"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太原用友政务</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100,000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100,000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100,000</w:t>
            </w: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2"/>
              <w:jc w:val="right"/>
              <w:rPr>
                <w:rFonts w:ascii="宋体" w:hAnsi="宋体" w:cs="宋体" w:eastAsia="宋体" w:hint="default"/>
                <w:sz w:val="15"/>
                <w:szCs w:val="15"/>
              </w:rPr>
            </w:pPr>
            <w:r>
              <w:rPr>
                <w:rFonts w:ascii="宋体"/>
                <w:spacing w:val="-1"/>
                <w:sz w:val="15"/>
              </w:rPr>
              <w:t>100,000</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98"/>
              <w:jc w:val="right"/>
              <w:rPr>
                <w:rFonts w:ascii="宋体" w:hAnsi="宋体" w:cs="宋体" w:eastAsia="宋体" w:hint="default"/>
                <w:sz w:val="15"/>
                <w:szCs w:val="15"/>
              </w:rPr>
            </w:pPr>
            <w:r>
              <w:rPr>
                <w:rFonts w:ascii="宋体"/>
                <w:sz w:val="15"/>
              </w:rPr>
              <w:t>20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寒崖（北京）网络</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科技有限公司</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2"/>
                <w:sz w:val="15"/>
              </w:rPr>
              <w:t>3,500,000</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3"/>
              <w:jc w:val="right"/>
              <w:rPr>
                <w:rFonts w:ascii="宋体" w:hAnsi="宋体" w:cs="宋体" w:eastAsia="宋体" w:hint="default"/>
                <w:sz w:val="15"/>
                <w:szCs w:val="15"/>
              </w:rPr>
            </w:pPr>
            <w:r>
              <w:rPr>
                <w:rFonts w:ascii="宋体"/>
                <w:spacing w:val="-2"/>
                <w:sz w:val="15"/>
              </w:rPr>
              <w:t>1,500,000</w:t>
            </w: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2"/>
                <w:sz w:val="15"/>
              </w:rPr>
              <w:t>5,000,000</w:t>
            </w: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1"/>
              <w:jc w:val="right"/>
              <w:rPr>
                <w:rFonts w:ascii="宋体" w:hAnsi="宋体" w:cs="宋体" w:eastAsia="宋体" w:hint="default"/>
                <w:sz w:val="15"/>
                <w:szCs w:val="15"/>
              </w:rPr>
            </w:pPr>
            <w:r>
              <w:rPr>
                <w:rFonts w:ascii="宋体" w:hAnsi="宋体" w:cs="宋体" w:eastAsia="宋体" w:hint="default"/>
                <w:sz w:val="15"/>
                <w:szCs w:val="15"/>
              </w:rPr>
              <w:t>低于</w:t>
            </w:r>
            <w:r>
              <w:rPr>
                <w:rFonts w:ascii="宋体" w:hAnsi="宋体" w:cs="宋体" w:eastAsia="宋体" w:hint="default"/>
                <w:spacing w:val="-40"/>
                <w:sz w:val="15"/>
                <w:szCs w:val="15"/>
              </w:rPr>
              <w:t> </w:t>
            </w:r>
            <w:r>
              <w:rPr>
                <w:rFonts w:ascii="宋体" w:hAnsi="宋体" w:cs="宋体" w:eastAsia="宋体" w:hint="default"/>
                <w:sz w:val="15"/>
                <w:szCs w:val="15"/>
              </w:rPr>
              <w:t>10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16" w:lineRule="auto"/>
              <w:ind w:left="103" w:right="197"/>
              <w:jc w:val="left"/>
              <w:rPr>
                <w:rFonts w:ascii="宋体" w:hAnsi="宋体" w:cs="宋体" w:eastAsia="宋体" w:hint="default"/>
                <w:sz w:val="15"/>
                <w:szCs w:val="15"/>
              </w:rPr>
            </w:pPr>
            <w:r>
              <w:rPr>
                <w:rFonts w:ascii="宋体" w:hAnsi="宋体" w:cs="宋体" w:eastAsia="宋体" w:hint="default"/>
                <w:sz w:val="15"/>
                <w:szCs w:val="15"/>
              </w:rPr>
              <w:t>创业黑马</w:t>
            </w:r>
            <w:r>
              <w:rPr>
                <w:rFonts w:ascii="Calibri" w:hAnsi="Calibri" w:cs="Calibri" w:eastAsia="Calibri" w:hint="default"/>
                <w:sz w:val="15"/>
                <w:szCs w:val="15"/>
              </w:rPr>
              <w:t>(</w:t>
            </w:r>
            <w:r>
              <w:rPr>
                <w:rFonts w:ascii="宋体" w:hAnsi="宋体" w:cs="宋体" w:eastAsia="宋体" w:hint="default"/>
                <w:sz w:val="15"/>
                <w:szCs w:val="15"/>
              </w:rPr>
              <w:t>北京</w:t>
            </w:r>
            <w:r>
              <w:rPr>
                <w:rFonts w:ascii="Calibri" w:hAnsi="Calibri" w:cs="Calibri" w:eastAsia="Calibri" w:hint="default"/>
                <w:sz w:val="15"/>
                <w:szCs w:val="15"/>
              </w:rPr>
              <w:t>)</w:t>
            </w:r>
            <w:r>
              <w:rPr>
                <w:rFonts w:ascii="宋体" w:hAnsi="宋体" w:cs="宋体" w:eastAsia="宋体" w:hint="default"/>
                <w:sz w:val="15"/>
                <w:szCs w:val="15"/>
              </w:rPr>
              <w:t>科</w:t>
            </w:r>
            <w:r>
              <w:rPr>
                <w:rFonts w:ascii="宋体" w:hAnsi="宋体" w:cs="宋体" w:eastAsia="宋体" w:hint="default"/>
                <w:w w:val="100"/>
                <w:sz w:val="15"/>
                <w:szCs w:val="15"/>
              </w:rPr>
              <w:t> </w:t>
            </w:r>
            <w:r>
              <w:rPr>
                <w:rFonts w:ascii="宋体" w:hAnsi="宋体" w:cs="宋体" w:eastAsia="宋体" w:hint="default"/>
                <w:sz w:val="15"/>
                <w:szCs w:val="15"/>
              </w:rPr>
              <w:t>技股份有限公司</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2"/>
                <w:sz w:val="15"/>
              </w:rPr>
              <w:t>6,000,000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2"/>
              <w:jc w:val="right"/>
              <w:rPr>
                <w:rFonts w:ascii="宋体" w:hAnsi="宋体" w:cs="宋体" w:eastAsia="宋体" w:hint="default"/>
                <w:sz w:val="15"/>
                <w:szCs w:val="15"/>
              </w:rPr>
            </w:pPr>
            <w:r>
              <w:rPr>
                <w:rFonts w:ascii="宋体"/>
                <w:spacing w:val="-2"/>
                <w:sz w:val="15"/>
              </w:rPr>
              <w:t>6,000,000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1"/>
              <w:jc w:val="right"/>
              <w:rPr>
                <w:rFonts w:ascii="宋体" w:hAnsi="宋体" w:cs="宋体" w:eastAsia="宋体" w:hint="default"/>
                <w:sz w:val="15"/>
                <w:szCs w:val="15"/>
              </w:rPr>
            </w:pPr>
            <w:r>
              <w:rPr>
                <w:rFonts w:ascii="宋体"/>
                <w:w w:val="100"/>
                <w:sz w:val="15"/>
              </w:rPr>
              <w:t>-</w:t>
            </w: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1"/>
              <w:jc w:val="right"/>
              <w:rPr>
                <w:rFonts w:ascii="宋体" w:hAnsi="宋体" w:cs="宋体" w:eastAsia="宋体" w:hint="default"/>
                <w:sz w:val="15"/>
                <w:szCs w:val="15"/>
              </w:rPr>
            </w:pPr>
            <w:r>
              <w:rPr>
                <w:rFonts w:ascii="宋体"/>
                <w:w w:val="100"/>
                <w:sz w:val="15"/>
              </w:rPr>
              <w:t>-</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103" w:right="0"/>
              <w:jc w:val="left"/>
              <w:rPr>
                <w:rFonts w:ascii="宋体" w:hAnsi="宋体" w:cs="宋体" w:eastAsia="宋体" w:hint="default"/>
                <w:sz w:val="15"/>
                <w:szCs w:val="15"/>
              </w:rPr>
            </w:pPr>
            <w:r>
              <w:rPr>
                <w:rFonts w:ascii="宋体" w:hAnsi="宋体" w:cs="宋体" w:eastAsia="宋体" w:hint="default"/>
                <w:sz w:val="15"/>
                <w:szCs w:val="15"/>
              </w:rPr>
              <w:t>西安融科通信技术</w:t>
            </w: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有限公司</w:t>
            </w:r>
          </w:p>
        </w:tc>
        <w:tc>
          <w:tcPr>
            <w:tcW w:w="1159"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103"/>
              <w:jc w:val="right"/>
              <w:rPr>
                <w:rFonts w:ascii="宋体" w:hAnsi="宋体" w:cs="宋体" w:eastAsia="宋体" w:hint="default"/>
                <w:sz w:val="15"/>
                <w:szCs w:val="15"/>
              </w:rPr>
            </w:pPr>
            <w:r>
              <w:rPr>
                <w:rFonts w:ascii="宋体"/>
                <w:spacing w:val="-2"/>
                <w:sz w:val="15"/>
              </w:rPr>
              <w:t>3,766,523</w:t>
            </w: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100"/>
              <w:jc w:val="right"/>
              <w:rPr>
                <w:rFonts w:ascii="宋体" w:hAnsi="宋体" w:cs="宋体" w:eastAsia="宋体" w:hint="default"/>
                <w:sz w:val="15"/>
                <w:szCs w:val="15"/>
              </w:rPr>
            </w:pPr>
            <w:r>
              <w:rPr>
                <w:rFonts w:ascii="宋体"/>
                <w:spacing w:val="-2"/>
                <w:sz w:val="15"/>
              </w:rPr>
              <w:t>3,766,523</w:t>
            </w: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98"/>
              <w:jc w:val="right"/>
              <w:rPr>
                <w:rFonts w:ascii="宋体" w:hAnsi="宋体" w:cs="宋体" w:eastAsia="宋体" w:hint="default"/>
                <w:sz w:val="15"/>
                <w:szCs w:val="15"/>
              </w:rPr>
            </w:pPr>
            <w:r>
              <w:rPr>
                <w:rFonts w:ascii="宋体"/>
                <w:sz w:val="15"/>
              </w:rPr>
              <w:t>15</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247" w:hRule="exact"/>
        </w:trPr>
        <w:tc>
          <w:tcPr>
            <w:tcW w:w="1455"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1455"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
        </w:tc>
        <w:tc>
          <w:tcPr>
            <w:tcW w:w="1016"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00"/>
              <w:jc w:val="right"/>
              <w:rPr>
                <w:rFonts w:ascii="宋体" w:hAnsi="宋体" w:cs="宋体" w:eastAsia="宋体" w:hint="default"/>
                <w:sz w:val="15"/>
                <w:szCs w:val="15"/>
              </w:rPr>
            </w:pPr>
            <w:r>
              <w:rPr>
                <w:rFonts w:ascii="宋体"/>
                <w:spacing w:val="-1"/>
                <w:sz w:val="15"/>
              </w:rPr>
              <w:t>491,701,612</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03"/>
              <w:jc w:val="right"/>
              <w:rPr>
                <w:rFonts w:ascii="宋体" w:hAnsi="宋体" w:cs="宋体" w:eastAsia="宋体" w:hint="default"/>
                <w:sz w:val="15"/>
                <w:szCs w:val="15"/>
              </w:rPr>
            </w:pPr>
            <w:r>
              <w:rPr>
                <w:rFonts w:ascii="宋体"/>
                <w:spacing w:val="-1"/>
                <w:sz w:val="15"/>
              </w:rPr>
              <w:t>274,432,904</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02"/>
              <w:jc w:val="right"/>
              <w:rPr>
                <w:rFonts w:ascii="宋体" w:hAnsi="宋体" w:cs="宋体" w:eastAsia="宋体" w:hint="default"/>
                <w:sz w:val="15"/>
                <w:szCs w:val="15"/>
              </w:rPr>
            </w:pPr>
            <w:r>
              <w:rPr>
                <w:rFonts w:ascii="宋体"/>
                <w:spacing w:val="-1"/>
                <w:sz w:val="15"/>
              </w:rPr>
              <w:t>41,961,175</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00"/>
              <w:jc w:val="right"/>
              <w:rPr>
                <w:rFonts w:ascii="宋体" w:hAnsi="宋体" w:cs="宋体" w:eastAsia="宋体" w:hint="default"/>
                <w:sz w:val="15"/>
                <w:szCs w:val="15"/>
              </w:rPr>
            </w:pPr>
            <w:r>
              <w:rPr>
                <w:rFonts w:ascii="宋体"/>
                <w:spacing w:val="-1"/>
                <w:sz w:val="15"/>
              </w:rPr>
              <w:t>724,173,341</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00"/>
              <w:jc w:val="right"/>
              <w:rPr>
                <w:rFonts w:ascii="宋体" w:hAnsi="宋体" w:cs="宋体" w:eastAsia="宋体" w:hint="default"/>
                <w:sz w:val="15"/>
                <w:szCs w:val="15"/>
              </w:rPr>
            </w:pPr>
            <w:r>
              <w:rPr>
                <w:rFonts w:ascii="宋体"/>
                <w:spacing w:val="-1"/>
                <w:sz w:val="15"/>
              </w:rPr>
              <w:t>24,780,500</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230" w:right="0"/>
              <w:jc w:val="left"/>
              <w:rPr>
                <w:rFonts w:ascii="宋体" w:hAnsi="宋体" w:cs="宋体" w:eastAsia="宋体" w:hint="default"/>
                <w:sz w:val="15"/>
                <w:szCs w:val="15"/>
              </w:rPr>
            </w:pPr>
            <w:r>
              <w:rPr>
                <w:rFonts w:ascii="宋体"/>
                <w:sz w:val="15"/>
              </w:rPr>
              <w:t>5,300,000</w:t>
            </w:r>
          </w:p>
        </w:tc>
        <w:tc>
          <w:tcPr>
            <w:tcW w:w="730"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02"/>
              <w:jc w:val="right"/>
              <w:rPr>
                <w:rFonts w:ascii="宋体" w:hAnsi="宋体" w:cs="宋体" w:eastAsia="宋体" w:hint="default"/>
                <w:sz w:val="15"/>
                <w:szCs w:val="15"/>
              </w:rPr>
            </w:pPr>
            <w:r>
              <w:rPr>
                <w:rFonts w:ascii="宋体"/>
                <w:spacing w:val="-1"/>
                <w:sz w:val="15"/>
              </w:rPr>
              <w:t>30,080,500</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01"/>
              <w:jc w:val="right"/>
              <w:rPr>
                <w:rFonts w:ascii="宋体" w:hAnsi="宋体" w:cs="宋体" w:eastAsia="宋体" w:hint="default"/>
                <w:sz w:val="15"/>
                <w:szCs w:val="15"/>
              </w:rPr>
            </w:pPr>
            <w:r>
              <w:rPr>
                <w:rFonts w:ascii="宋体"/>
                <w:w w:val="100"/>
                <w:sz w:val="15"/>
              </w:rPr>
              <w:t>/</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230" w:right="0"/>
              <w:jc w:val="left"/>
              <w:rPr>
                <w:rFonts w:ascii="宋体" w:hAnsi="宋体" w:cs="宋体" w:eastAsia="宋体" w:hint="default"/>
                <w:sz w:val="15"/>
                <w:szCs w:val="15"/>
              </w:rPr>
            </w:pPr>
            <w:r>
              <w:rPr>
                <w:rFonts w:ascii="宋体"/>
                <w:sz w:val="15"/>
              </w:rPr>
              <w:t>884,692</w:t>
            </w:r>
          </w:p>
        </w:tc>
      </w:tr>
    </w:tbl>
    <w:p>
      <w:pPr>
        <w:spacing w:line="240" w:lineRule="auto" w:before="5"/>
        <w:rPr>
          <w:rFonts w:ascii="宋体" w:hAnsi="宋体" w:cs="宋体" w:eastAsia="宋体" w:hint="default"/>
          <w:sz w:val="15"/>
          <w:szCs w:val="15"/>
        </w:rPr>
      </w:pPr>
    </w:p>
    <w:p>
      <w:pPr>
        <w:pStyle w:val="BodyText"/>
        <w:spacing w:line="240" w:lineRule="auto" w:before="36"/>
        <w:ind w:left="1638" w:right="0"/>
        <w:jc w:val="left"/>
      </w:pPr>
      <w:r>
        <w:rPr/>
        <w:t>注</w:t>
      </w:r>
      <w:r>
        <w:rPr>
          <w:spacing w:val="15"/>
        </w:rPr>
        <w:t> </w:t>
      </w:r>
      <w:r>
        <w:rPr>
          <w:rFonts w:ascii="宋体" w:hAnsi="宋体" w:cs="宋体" w:eastAsia="宋体" w:hint="default"/>
          <w:spacing w:val="-2"/>
        </w:rPr>
        <w:t>1</w:t>
      </w:r>
      <w:r>
        <w:rPr>
          <w:spacing w:val="-2"/>
        </w:rPr>
        <w:t>：北京传奇极客管理咨询有限公司，原为“北京中明万长管理咨询有限公司”。</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57" w:footer="1195" w:top="1320" w:bottom="1380" w:left="160" w:right="40"/>
        </w:sectPr>
      </w:pPr>
    </w:p>
    <w:p>
      <w:pPr>
        <w:pStyle w:val="Heading3"/>
        <w:tabs>
          <w:tab w:pos="2281" w:val="left" w:leader="none"/>
        </w:tabs>
        <w:spacing w:line="240" w:lineRule="auto" w:before="36"/>
        <w:ind w:left="1638" w:right="0"/>
        <w:jc w:val="left"/>
        <w:rPr>
          <w:b w:val="0"/>
          <w:bCs w:val="0"/>
        </w:rPr>
      </w:pPr>
      <w:r>
        <w:rPr>
          <w:rFonts w:ascii="宋体" w:hAnsi="宋体" w:cs="宋体" w:eastAsia="宋体" w:hint="default"/>
          <w:w w:val="95"/>
        </w:rPr>
        <w:t>(4).</w:t>
        <w:tab/>
      </w:r>
      <w:r>
        <w:rPr>
          <w:spacing w:val="-1"/>
        </w:rPr>
        <w:t>报告期内可供出售金融资产减值的变动情况</w:t>
      </w:r>
      <w:r>
        <w:rPr>
          <w:b w:val="0"/>
          <w:bCs w:val="0"/>
          <w:spacing w:val="-1"/>
        </w:rPr>
      </w:r>
    </w:p>
    <w:p>
      <w:pPr>
        <w:pStyle w:val="BodyText"/>
        <w:spacing w:line="240" w:lineRule="auto" w:before="58"/>
        <w:ind w:left="1638" w:right="0"/>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tabs>
          <w:tab w:pos="2689" w:val="left" w:leader="none"/>
        </w:tabs>
        <w:spacing w:line="240" w:lineRule="auto"/>
        <w:ind w:left="1638" w:right="0"/>
        <w:jc w:val="left"/>
      </w:pPr>
      <w:r>
        <w:rPr>
          <w:spacing w:val="-1"/>
        </w:rPr>
        <w:t>单位：元</w:t>
        <w:tab/>
      </w:r>
      <w:r>
        <w:rPr>
          <w:spacing w:val="-2"/>
        </w:rPr>
        <w:t>币种：人民币</w:t>
      </w:r>
    </w:p>
    <w:p>
      <w:pPr>
        <w:spacing w:after="0" w:line="240" w:lineRule="auto"/>
        <w:jc w:val="left"/>
        <w:sectPr>
          <w:type w:val="continuous"/>
          <w:pgSz w:w="11910" w:h="16840"/>
          <w:pgMar w:top="1320" w:bottom="1380" w:left="160" w:right="40"/>
          <w:cols w:num="2" w:equalWidth="0">
            <w:col w:w="6290" w:space="232"/>
            <w:col w:w="5188"/>
          </w:cols>
        </w:sectPr>
      </w:pPr>
    </w:p>
    <w:p>
      <w:pPr>
        <w:spacing w:line="240" w:lineRule="auto" w:before="7"/>
        <w:rPr>
          <w:rFonts w:ascii="宋体" w:hAnsi="宋体" w:cs="宋体" w:eastAsia="宋体" w:hint="default"/>
          <w:sz w:val="2"/>
          <w:szCs w:val="2"/>
        </w:rPr>
      </w:pPr>
    </w:p>
    <w:tbl>
      <w:tblPr>
        <w:tblW w:w="0" w:type="auto"/>
        <w:jc w:val="left"/>
        <w:tblInd w:w="1525" w:type="dxa"/>
        <w:tblLayout w:type="fixed"/>
        <w:tblCellMar>
          <w:top w:w="0" w:type="dxa"/>
          <w:left w:w="0" w:type="dxa"/>
          <w:bottom w:w="0" w:type="dxa"/>
          <w:right w:w="0" w:type="dxa"/>
        </w:tblCellMar>
        <w:tblLook w:val="01E0"/>
      </w:tblPr>
      <w:tblGrid>
        <w:gridCol w:w="2449"/>
        <w:gridCol w:w="1692"/>
        <w:gridCol w:w="1724"/>
        <w:gridCol w:w="1585"/>
        <w:gridCol w:w="1601"/>
      </w:tblGrid>
      <w:tr>
        <w:trPr>
          <w:trHeight w:val="555" w:hRule="exact"/>
        </w:trPr>
        <w:tc>
          <w:tcPr>
            <w:tcW w:w="24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168" w:right="0"/>
              <w:jc w:val="left"/>
              <w:rPr>
                <w:rFonts w:ascii="宋体" w:hAnsi="宋体" w:cs="宋体" w:eastAsia="宋体" w:hint="default"/>
                <w:sz w:val="21"/>
                <w:szCs w:val="21"/>
              </w:rPr>
            </w:pPr>
            <w:r>
              <w:rPr>
                <w:rFonts w:ascii="宋体" w:hAnsi="宋体" w:cs="宋体" w:eastAsia="宋体" w:hint="default"/>
                <w:sz w:val="21"/>
                <w:szCs w:val="21"/>
              </w:rPr>
              <w:t>可供出售金融资产分类</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 w:right="0"/>
              <w:jc w:val="center"/>
              <w:rPr>
                <w:rFonts w:ascii="宋体" w:hAnsi="宋体" w:cs="宋体" w:eastAsia="宋体" w:hint="default"/>
                <w:sz w:val="21"/>
                <w:szCs w:val="21"/>
              </w:rPr>
            </w:pPr>
            <w:r>
              <w:rPr>
                <w:rFonts w:ascii="宋体" w:hAnsi="宋体" w:cs="宋体" w:eastAsia="宋体" w:hint="default"/>
                <w:sz w:val="21"/>
                <w:szCs w:val="21"/>
              </w:rPr>
              <w:t>可供出售权益</w:t>
            </w:r>
          </w:p>
          <w:p>
            <w:pPr>
              <w:pStyle w:val="TableParagraph"/>
              <w:spacing w:line="274" w:lineRule="exact"/>
              <w:ind w:left="2" w:right="0"/>
              <w:jc w:val="center"/>
              <w:rPr>
                <w:rFonts w:ascii="宋体" w:hAnsi="宋体" w:cs="宋体" w:eastAsia="宋体" w:hint="default"/>
                <w:sz w:val="21"/>
                <w:szCs w:val="21"/>
              </w:rPr>
            </w:pPr>
            <w:r>
              <w:rPr>
                <w:rFonts w:ascii="宋体" w:hAnsi="宋体" w:cs="宋体" w:eastAsia="宋体" w:hint="default"/>
                <w:sz w:val="21"/>
                <w:szCs w:val="21"/>
              </w:rPr>
              <w:t>工具</w:t>
            </w:r>
          </w:p>
        </w:tc>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可供出售债务</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工具</w:t>
            </w:r>
          </w:p>
        </w:tc>
        <w:tc>
          <w:tcPr>
            <w:tcW w:w="1585" w:type="dxa"/>
            <w:tcBorders>
              <w:top w:val="single" w:sz="4" w:space="0" w:color="000000"/>
              <w:left w:val="single" w:sz="4" w:space="0" w:color="000000"/>
              <w:bottom w:val="single" w:sz="4" w:space="0" w:color="000000"/>
              <w:right w:val="single" w:sz="4" w:space="0" w:color="000000"/>
            </w:tcBorders>
          </w:tcPr>
          <w:p>
            <w:pP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21"/>
                <w:szCs w:val="21"/>
              </w:rPr>
            </w:pPr>
            <w:r>
              <w:rPr>
                <w:rFonts w:ascii="宋体" w:hAnsi="宋体" w:cs="宋体" w:eastAsia="宋体" w:hint="default"/>
                <w:sz w:val="21"/>
                <w:szCs w:val="21"/>
              </w:rPr>
              <w:t>合计</w:t>
            </w:r>
          </w:p>
        </w:tc>
      </w:tr>
      <w:tr>
        <w:trPr>
          <w:trHeight w:val="283" w:hRule="exact"/>
        </w:trPr>
        <w:tc>
          <w:tcPr>
            <w:tcW w:w="24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期初已计提减值余额</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7" w:right="0"/>
              <w:jc w:val="left"/>
              <w:rPr>
                <w:rFonts w:ascii="宋体" w:hAnsi="宋体" w:cs="宋体" w:eastAsia="宋体" w:hint="default"/>
                <w:sz w:val="21"/>
                <w:szCs w:val="21"/>
              </w:rPr>
            </w:pPr>
            <w:r>
              <w:rPr>
                <w:rFonts w:ascii="宋体"/>
                <w:sz w:val="21"/>
              </w:rPr>
              <w:t>24,780,500</w:t>
            </w:r>
          </w:p>
        </w:tc>
        <w:tc>
          <w:tcPr>
            <w:tcW w:w="1724"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36" w:right="0"/>
              <w:jc w:val="left"/>
              <w:rPr>
                <w:rFonts w:ascii="宋体" w:hAnsi="宋体" w:cs="宋体" w:eastAsia="宋体" w:hint="default"/>
                <w:sz w:val="21"/>
                <w:szCs w:val="21"/>
              </w:rPr>
            </w:pPr>
            <w:r>
              <w:rPr>
                <w:rFonts w:ascii="宋体"/>
                <w:sz w:val="21"/>
              </w:rPr>
              <w:t>24,780,500</w:t>
            </w:r>
          </w:p>
        </w:tc>
      </w:tr>
    </w:tbl>
    <w:p>
      <w:pPr>
        <w:spacing w:after="0" w:line="241" w:lineRule="exact"/>
        <w:jc w:val="left"/>
        <w:rPr>
          <w:rFonts w:ascii="宋体" w:hAnsi="宋体" w:cs="宋体" w:eastAsia="宋体" w:hint="default"/>
          <w:sz w:val="21"/>
          <w:szCs w:val="21"/>
        </w:rPr>
        <w:sectPr>
          <w:type w:val="continuous"/>
          <w:pgSz w:w="11910" w:h="16840"/>
          <w:pgMar w:top="1320" w:bottom="1380" w:left="160" w:right="40"/>
        </w:sectPr>
      </w:pPr>
    </w:p>
    <w:p>
      <w:pPr>
        <w:spacing w:line="240" w:lineRule="auto" w:before="6"/>
        <w:rPr>
          <w:rFonts w:ascii="宋体" w:hAnsi="宋体" w:cs="宋体" w:eastAsia="宋体" w:hint="default"/>
          <w:sz w:val="14"/>
          <w:szCs w:val="14"/>
        </w:rPr>
      </w:pPr>
    </w:p>
    <w:tbl>
      <w:tblPr>
        <w:tblW w:w="0" w:type="auto"/>
        <w:jc w:val="left"/>
        <w:tblInd w:w="1525" w:type="dxa"/>
        <w:tblLayout w:type="fixed"/>
        <w:tblCellMar>
          <w:top w:w="0" w:type="dxa"/>
          <w:left w:w="0" w:type="dxa"/>
          <w:bottom w:w="0" w:type="dxa"/>
          <w:right w:w="0" w:type="dxa"/>
        </w:tblCellMar>
        <w:tblLook w:val="01E0"/>
      </w:tblPr>
      <w:tblGrid>
        <w:gridCol w:w="2449"/>
        <w:gridCol w:w="1692"/>
        <w:gridCol w:w="1724"/>
        <w:gridCol w:w="1585"/>
        <w:gridCol w:w="1601"/>
      </w:tblGrid>
      <w:tr>
        <w:trPr>
          <w:trHeight w:val="284" w:hRule="exact"/>
        </w:trPr>
        <w:tc>
          <w:tcPr>
            <w:tcW w:w="2449"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本期计提</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8"/>
              <w:jc w:val="right"/>
              <w:rPr>
                <w:rFonts w:ascii="宋体" w:hAnsi="宋体" w:cs="宋体" w:eastAsia="宋体" w:hint="default"/>
                <w:sz w:val="21"/>
                <w:szCs w:val="21"/>
              </w:rPr>
            </w:pPr>
            <w:r>
              <w:rPr>
                <w:rFonts w:ascii="宋体"/>
                <w:spacing w:val="-1"/>
                <w:sz w:val="21"/>
              </w:rPr>
              <w:t>5,300,000</w:t>
            </w:r>
          </w:p>
        </w:tc>
        <w:tc>
          <w:tcPr>
            <w:tcW w:w="1724"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8"/>
              <w:jc w:val="right"/>
              <w:rPr>
                <w:rFonts w:ascii="宋体" w:hAnsi="宋体" w:cs="宋体" w:eastAsia="宋体" w:hint="default"/>
                <w:sz w:val="21"/>
                <w:szCs w:val="21"/>
              </w:rPr>
            </w:pPr>
            <w:r>
              <w:rPr>
                <w:rFonts w:ascii="宋体"/>
                <w:spacing w:val="-1"/>
                <w:sz w:val="21"/>
              </w:rPr>
              <w:t>5,300,000</w:t>
            </w:r>
          </w:p>
        </w:tc>
      </w:tr>
      <w:tr>
        <w:trPr>
          <w:trHeight w:val="554" w:hRule="exact"/>
        </w:trPr>
        <w:tc>
          <w:tcPr>
            <w:tcW w:w="244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9"/>
                <w:sz w:val="21"/>
                <w:szCs w:val="21"/>
              </w:rPr>
              <w:t>其中：从其他综合收益转</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入</w:t>
            </w:r>
          </w:p>
        </w:tc>
        <w:tc>
          <w:tcPr>
            <w:tcW w:w="1692" w:type="dxa"/>
            <w:tcBorders>
              <w:top w:val="single" w:sz="4" w:space="0" w:color="000000"/>
              <w:left w:val="single" w:sz="4" w:space="0" w:color="000000"/>
              <w:bottom w:val="single" w:sz="4" w:space="0" w:color="000000"/>
              <w:right w:val="single" w:sz="4" w:space="0" w:color="000000"/>
            </w:tcBorders>
          </w:tcPr>
          <w:p>
            <w:pPr/>
          </w:p>
        </w:tc>
        <w:tc>
          <w:tcPr>
            <w:tcW w:w="1724"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60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4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692" w:type="dxa"/>
            <w:tcBorders>
              <w:top w:val="single" w:sz="4" w:space="0" w:color="000000"/>
              <w:left w:val="single" w:sz="4" w:space="0" w:color="000000"/>
              <w:bottom w:val="single" w:sz="4" w:space="0" w:color="000000"/>
              <w:right w:val="single" w:sz="4" w:space="0" w:color="000000"/>
            </w:tcBorders>
          </w:tcPr>
          <w:p>
            <w:pPr/>
          </w:p>
        </w:tc>
        <w:tc>
          <w:tcPr>
            <w:tcW w:w="1724"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601"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44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9"/>
                <w:sz w:val="21"/>
                <w:szCs w:val="21"/>
              </w:rPr>
              <w:t>其中：期后公允价值回升</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转回</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w:t>
            </w:r>
          </w:p>
        </w:tc>
        <w:tc>
          <w:tcPr>
            <w:tcW w:w="1724"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60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4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期末已计提减值金余额</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30,080,500</w:t>
            </w:r>
          </w:p>
        </w:tc>
        <w:tc>
          <w:tcPr>
            <w:tcW w:w="1724"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30,080,500</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pStyle w:val="Heading3"/>
        <w:tabs>
          <w:tab w:pos="2281" w:val="left" w:leader="none"/>
        </w:tabs>
        <w:spacing w:line="240" w:lineRule="auto" w:before="36"/>
        <w:ind w:left="1638" w:right="0"/>
        <w:jc w:val="left"/>
        <w:rPr>
          <w:b w:val="0"/>
          <w:bCs w:val="0"/>
        </w:rPr>
      </w:pPr>
      <w:r>
        <w:rPr>
          <w:rFonts w:ascii="宋体" w:hAnsi="宋体" w:cs="宋体" w:eastAsia="宋体" w:hint="default"/>
          <w:w w:val="95"/>
        </w:rPr>
        <w:t>(5).</w:t>
        <w:tab/>
      </w:r>
      <w:r>
        <w:rPr/>
        <w:t>可供出售权益工具期末公允价值严重下跌或非暂时性下跌但未计提减值准备的相关说明：</w:t>
      </w:r>
      <w:r>
        <w:rPr>
          <w:b w:val="0"/>
          <w:bCs w:val="0"/>
        </w:rPr>
      </w:r>
    </w:p>
    <w:p>
      <w:pPr>
        <w:pStyle w:val="BodyText"/>
        <w:spacing w:line="240" w:lineRule="auto" w:before="56"/>
        <w:ind w:left="1638" w:right="8474"/>
        <w:jc w:val="left"/>
      </w:pPr>
      <w:r>
        <w:rPr/>
        <w:t>□适用</w:t>
      </w:r>
      <w:r>
        <w:rPr>
          <w:spacing w:val="-1"/>
        </w:rPr>
        <w:t> </w:t>
      </w:r>
      <w:r>
        <w:rPr/>
        <w:t>√不适用</w:t>
      </w:r>
      <w:r>
        <w:rPr>
          <w:w w:val="100"/>
        </w:rPr>
        <w:t> </w:t>
      </w:r>
      <w:r>
        <w:rPr/>
        <w:t>其他说明</w:t>
      </w:r>
    </w:p>
    <w:p>
      <w:pPr>
        <w:pStyle w:val="BodyText"/>
        <w:spacing w:line="271" w:lineRule="exact"/>
        <w:ind w:left="1638" w:right="0"/>
        <w:jc w:val="left"/>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90" w:lineRule="auto"/>
        <w:ind w:left="1638" w:right="7516"/>
        <w:jc w:val="left"/>
        <w:rPr>
          <w:b w:val="0"/>
          <w:bCs w:val="0"/>
        </w:rPr>
      </w:pPr>
      <w:r>
        <w:rPr>
          <w:rFonts w:ascii="宋体" w:hAnsi="宋体" w:cs="宋体" w:eastAsia="宋体" w:hint="default"/>
        </w:rPr>
        <w:t>15</w:t>
      </w:r>
      <w:r>
        <w:rPr/>
        <w:t>、</w:t>
      </w:r>
      <w:r>
        <w:rPr>
          <w:spacing w:val="-25"/>
        </w:rPr>
        <w:t> </w:t>
      </w:r>
      <w:r>
        <w:rPr/>
        <w:t>持有至到期投资</w:t>
      </w:r>
      <w:r>
        <w:rPr>
          <w:w w:val="100"/>
        </w:rPr>
        <w:t> </w:t>
      </w:r>
      <w:r>
        <w:rPr>
          <w:rFonts w:ascii="宋体" w:hAnsi="宋体" w:cs="宋体" w:eastAsia="宋体" w:hint="default"/>
        </w:rPr>
        <w:t>(1).</w:t>
      </w:r>
      <w:r>
        <w:rPr/>
        <w:t>持有至到期投资情况：</w:t>
      </w:r>
      <w:r>
        <w:rPr>
          <w:b w:val="0"/>
          <w:bCs w:val="0"/>
        </w:rPr>
      </w:r>
    </w:p>
    <w:p>
      <w:pPr>
        <w:pStyle w:val="BodyText"/>
        <w:spacing w:line="226" w:lineRule="exact"/>
        <w:ind w:left="1638" w:right="0"/>
        <w:jc w:val="left"/>
      </w:pPr>
      <w:r>
        <w:rPr/>
        <w:t>□适用</w:t>
      </w:r>
      <w:r>
        <w:rPr>
          <w:spacing w:val="-1"/>
        </w:rPr>
        <w:t> </w:t>
      </w:r>
      <w:r>
        <w:rPr/>
        <w:t>√不适用</w:t>
      </w:r>
    </w:p>
    <w:p>
      <w:pPr>
        <w:pStyle w:val="Heading3"/>
        <w:spacing w:line="272" w:lineRule="exact"/>
        <w:ind w:left="1638" w:right="0"/>
        <w:jc w:val="left"/>
        <w:rPr>
          <w:b w:val="0"/>
          <w:bCs w:val="0"/>
        </w:rPr>
      </w:pPr>
      <w:r>
        <w:rPr>
          <w:rFonts w:ascii="宋体" w:hAnsi="宋体" w:cs="宋体" w:eastAsia="宋体" w:hint="default"/>
        </w:rPr>
        <w:t>(2).</w:t>
      </w:r>
      <w:r>
        <w:rPr/>
        <w:t>期末重要的持有至到期投资：</w:t>
      </w:r>
      <w:r>
        <w:rPr>
          <w:b w:val="0"/>
          <w:bCs w:val="0"/>
        </w:rPr>
      </w:r>
    </w:p>
    <w:p>
      <w:pPr>
        <w:spacing w:line="272" w:lineRule="exact" w:before="26"/>
        <w:ind w:left="1638" w:right="6673"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2"/>
          <w:sz w:val="21"/>
          <w:szCs w:val="21"/>
        </w:rPr>
        <w:t> </w:t>
      </w:r>
      <w:r>
        <w:rPr>
          <w:rFonts w:ascii="宋体" w:hAnsi="宋体" w:cs="宋体" w:eastAsia="宋体" w:hint="default"/>
          <w:sz w:val="21"/>
          <w:szCs w:val="21"/>
        </w:rPr>
        <w:t>√不适用</w:t>
      </w:r>
      <w:r>
        <w:rPr>
          <w:rFonts w:ascii="宋体" w:hAnsi="宋体" w:cs="宋体" w:eastAsia="宋体" w:hint="default"/>
          <w:w w:val="100"/>
          <w:sz w:val="21"/>
          <w:szCs w:val="21"/>
        </w:rPr>
        <w:t> </w:t>
      </w:r>
      <w:r>
        <w:rPr>
          <w:rFonts w:ascii="宋体" w:hAnsi="宋体" w:cs="宋体" w:eastAsia="宋体" w:hint="default"/>
          <w:b/>
          <w:bCs/>
          <w:sz w:val="21"/>
          <w:szCs w:val="21"/>
        </w:rPr>
        <w:t>(3).</w:t>
      </w:r>
      <w:r>
        <w:rPr>
          <w:rFonts w:ascii="宋体" w:hAnsi="宋体" w:cs="宋体" w:eastAsia="宋体" w:hint="default"/>
          <w:b/>
          <w:bCs/>
          <w:sz w:val="21"/>
          <w:szCs w:val="21"/>
        </w:rPr>
        <w:t>本期重分类的持有至到期投资：</w:t>
      </w:r>
      <w:r>
        <w:rPr>
          <w:rFonts w:ascii="宋体" w:hAnsi="宋体" w:cs="宋体" w:eastAsia="宋体" w:hint="default"/>
          <w:sz w:val="21"/>
          <w:szCs w:val="21"/>
        </w:rPr>
      </w:r>
    </w:p>
    <w:p>
      <w:pPr>
        <w:pStyle w:val="BodyText"/>
        <w:tabs>
          <w:tab w:pos="2480" w:val="left" w:leader="none"/>
        </w:tabs>
        <w:spacing w:line="249" w:lineRule="exact"/>
        <w:ind w:left="1638" w:right="0"/>
        <w:jc w:val="left"/>
      </w:pPr>
      <w:r>
        <w:rPr>
          <w:spacing w:val="-1"/>
        </w:rPr>
        <w:t>□适用</w:t>
        <w:tab/>
      </w:r>
      <w:r>
        <w:rPr>
          <w:spacing w:val="-2"/>
        </w:rPr>
        <w:t>√不适用</w:t>
      </w:r>
    </w:p>
    <w:p>
      <w:pPr>
        <w:spacing w:line="240" w:lineRule="auto" w:before="8"/>
        <w:rPr>
          <w:rFonts w:ascii="宋体" w:hAnsi="宋体" w:cs="宋体" w:eastAsia="宋体" w:hint="default"/>
          <w:sz w:val="20"/>
          <w:szCs w:val="20"/>
        </w:rPr>
      </w:pPr>
    </w:p>
    <w:p>
      <w:pPr>
        <w:pStyle w:val="BodyText"/>
        <w:spacing w:line="273" w:lineRule="exact"/>
        <w:ind w:left="1638" w:right="0"/>
        <w:jc w:val="left"/>
      </w:pPr>
      <w:r>
        <w:rPr/>
        <w:t>其他说明：</w:t>
      </w:r>
    </w:p>
    <w:p>
      <w:pPr>
        <w:pStyle w:val="BodyText"/>
        <w:spacing w:line="273" w:lineRule="exact"/>
        <w:ind w:left="1638" w:right="0"/>
        <w:jc w:val="left"/>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left="1638" w:right="0"/>
        <w:jc w:val="left"/>
        <w:rPr>
          <w:b w:val="0"/>
          <w:bCs w:val="0"/>
        </w:rPr>
      </w:pPr>
      <w:r>
        <w:rPr>
          <w:rFonts w:ascii="宋体" w:hAnsi="宋体" w:cs="宋体" w:eastAsia="宋体" w:hint="default"/>
        </w:rPr>
        <w:t>16</w:t>
      </w:r>
      <w:r>
        <w:rPr/>
        <w:t>、</w:t>
      </w:r>
      <w:r>
        <w:rPr>
          <w:spacing w:val="-25"/>
        </w:rPr>
        <w:t> </w:t>
      </w:r>
      <w:r>
        <w:rPr/>
        <w:t>长期应收款</w:t>
      </w:r>
      <w:r>
        <w:rPr>
          <w:b w:val="0"/>
          <w:bCs w:val="0"/>
        </w:rPr>
      </w:r>
    </w:p>
    <w:p>
      <w:pPr>
        <w:pStyle w:val="Heading3"/>
        <w:spacing w:line="240" w:lineRule="auto" w:before="58"/>
        <w:ind w:left="1638" w:right="0"/>
        <w:jc w:val="left"/>
        <w:rPr>
          <w:b w:val="0"/>
          <w:bCs w:val="0"/>
        </w:rPr>
      </w:pPr>
      <w:r>
        <w:rPr>
          <w:rFonts w:ascii="宋体" w:hAnsi="宋体" w:cs="宋体" w:eastAsia="宋体" w:hint="default"/>
        </w:rPr>
        <w:t>(1)</w:t>
      </w:r>
      <w:r>
        <w:rPr>
          <w:rFonts w:ascii="宋体" w:hAnsi="宋体" w:cs="宋体" w:eastAsia="宋体" w:hint="default"/>
          <w:spacing w:val="4"/>
        </w:rPr>
        <w:t> </w:t>
      </w:r>
      <w:r>
        <w:rPr/>
        <w:t>长期应收款情况：</w:t>
      </w:r>
      <w:r>
        <w:rPr>
          <w:b w:val="0"/>
          <w:bCs w:val="0"/>
        </w:rPr>
      </w:r>
    </w:p>
    <w:p>
      <w:pPr>
        <w:pStyle w:val="BodyText"/>
        <w:spacing w:line="240" w:lineRule="auto" w:before="56"/>
        <w:ind w:left="1638" w:right="0"/>
        <w:jc w:val="left"/>
      </w:pPr>
      <w:r>
        <w:rPr/>
        <w:t>□适用</w:t>
      </w:r>
      <w:r>
        <w:rPr>
          <w:spacing w:val="-1"/>
        </w:rPr>
        <w:t> </w:t>
      </w:r>
      <w:r>
        <w:rPr/>
        <w:t>√不适用</w:t>
      </w:r>
    </w:p>
    <w:p>
      <w:pPr>
        <w:pStyle w:val="Heading3"/>
        <w:spacing w:line="240" w:lineRule="auto" w:before="58"/>
        <w:ind w:left="1638" w:right="0"/>
        <w:jc w:val="left"/>
        <w:rPr>
          <w:b w:val="0"/>
          <w:bCs w:val="0"/>
        </w:rPr>
      </w:pPr>
      <w:r>
        <w:rPr>
          <w:rFonts w:ascii="宋体" w:hAnsi="宋体" w:cs="宋体" w:eastAsia="宋体" w:hint="default"/>
        </w:rPr>
        <w:t>(2)</w:t>
      </w:r>
      <w:r>
        <w:rPr>
          <w:rFonts w:ascii="宋体" w:hAnsi="宋体" w:cs="宋体" w:eastAsia="宋体" w:hint="default"/>
          <w:spacing w:val="2"/>
        </w:rPr>
        <w:t> </w:t>
      </w:r>
      <w:r>
        <w:rPr/>
        <w:t>因金融资产转移而终止确认的长期应收款</w:t>
      </w:r>
      <w:r>
        <w:rPr>
          <w:b w:val="0"/>
          <w:bCs w:val="0"/>
        </w:rPr>
      </w:r>
    </w:p>
    <w:p>
      <w:pPr>
        <w:pStyle w:val="BodyText"/>
        <w:tabs>
          <w:tab w:pos="2480" w:val="left" w:leader="none"/>
        </w:tabs>
        <w:spacing w:line="240" w:lineRule="auto" w:before="56"/>
        <w:ind w:left="1638" w:right="0"/>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left="1638" w:right="0"/>
        <w:jc w:val="left"/>
        <w:rPr>
          <w:b w:val="0"/>
          <w:bCs w:val="0"/>
        </w:rPr>
      </w:pPr>
      <w:r>
        <w:rPr>
          <w:rFonts w:ascii="宋体" w:hAnsi="宋体" w:cs="宋体" w:eastAsia="宋体" w:hint="default"/>
        </w:rPr>
        <w:t>(3) </w:t>
      </w:r>
      <w:r>
        <w:rPr/>
        <w:t>转移长期应收款且继续涉入形成的资产、负债金额</w:t>
      </w:r>
      <w:r>
        <w:rPr>
          <w:b w:val="0"/>
          <w:bCs w:val="0"/>
        </w:rPr>
      </w:r>
    </w:p>
    <w:p>
      <w:pPr>
        <w:pStyle w:val="BodyText"/>
        <w:tabs>
          <w:tab w:pos="2480" w:val="left" w:leader="none"/>
        </w:tabs>
        <w:spacing w:line="240" w:lineRule="auto" w:before="58"/>
        <w:ind w:left="1638" w:right="0"/>
        <w:jc w:val="left"/>
      </w:pPr>
      <w:r>
        <w:rPr>
          <w:spacing w:val="-1"/>
        </w:rPr>
        <w:t>□适用</w:t>
        <w:tab/>
      </w:r>
      <w:r>
        <w:rPr>
          <w:spacing w:val="-2"/>
        </w:rPr>
        <w:t>√不适用</w:t>
      </w:r>
    </w:p>
    <w:p>
      <w:pPr>
        <w:spacing w:line="240" w:lineRule="auto" w:before="9"/>
        <w:rPr>
          <w:rFonts w:ascii="宋体" w:hAnsi="宋体" w:cs="宋体" w:eastAsia="宋体" w:hint="default"/>
          <w:sz w:val="20"/>
          <w:szCs w:val="20"/>
        </w:rPr>
      </w:pPr>
    </w:p>
    <w:p>
      <w:pPr>
        <w:pStyle w:val="BodyText"/>
        <w:spacing w:line="273" w:lineRule="exact"/>
        <w:ind w:left="1638" w:right="0"/>
        <w:jc w:val="left"/>
      </w:pPr>
      <w:r>
        <w:rPr/>
        <w:t>其他说明</w:t>
      </w:r>
    </w:p>
    <w:p>
      <w:pPr>
        <w:pStyle w:val="BodyText"/>
        <w:spacing w:line="273" w:lineRule="exact"/>
        <w:ind w:left="1638" w:right="0"/>
        <w:jc w:val="left"/>
      </w:pPr>
      <w:r>
        <w:rPr/>
        <w:t>□适用</w:t>
      </w:r>
      <w:r>
        <w:rPr>
          <w:spacing w:val="-1"/>
        </w:rPr>
        <w:t> </w:t>
      </w:r>
      <w:r>
        <w:rPr/>
        <w:t>√不适用</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footerReference w:type="default" r:id="rId68"/>
          <w:pgSz w:w="11910" w:h="16840"/>
          <w:pgMar w:footer="1195" w:header="857" w:top="1320" w:bottom="1380" w:left="160" w:right="40"/>
        </w:sectPr>
      </w:pPr>
    </w:p>
    <w:p>
      <w:pPr>
        <w:pStyle w:val="Heading3"/>
        <w:spacing w:line="240" w:lineRule="auto" w:before="36"/>
        <w:ind w:left="1638" w:right="-18"/>
        <w:jc w:val="left"/>
        <w:rPr>
          <w:b w:val="0"/>
          <w:bCs w:val="0"/>
        </w:rPr>
      </w:pPr>
      <w:r>
        <w:rPr>
          <w:rFonts w:ascii="宋体" w:hAnsi="宋体" w:cs="宋体" w:eastAsia="宋体" w:hint="default"/>
        </w:rPr>
        <w:t>17</w:t>
      </w:r>
      <w:r>
        <w:rPr/>
        <w:t>、</w:t>
      </w:r>
      <w:r>
        <w:rPr>
          <w:spacing w:val="-24"/>
        </w:rPr>
        <w:t> </w:t>
      </w:r>
      <w:r>
        <w:rPr/>
        <w:t>长期股权投资</w:t>
      </w:r>
      <w:r>
        <w:rPr>
          <w:b w:val="0"/>
          <w:bCs w:val="0"/>
        </w:rPr>
      </w:r>
    </w:p>
    <w:p>
      <w:pPr>
        <w:pStyle w:val="BodyText"/>
        <w:spacing w:line="240" w:lineRule="auto" w:before="58"/>
        <w:ind w:left="1638"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tabs>
          <w:tab w:pos="2689" w:val="left" w:leader="none"/>
        </w:tabs>
        <w:spacing w:line="240" w:lineRule="auto"/>
        <w:ind w:left="1638" w:right="0"/>
        <w:jc w:val="left"/>
      </w:pPr>
      <w:r>
        <w:rPr>
          <w:spacing w:val="-1"/>
        </w:rPr>
        <w:t>单位：元</w:t>
        <w:tab/>
      </w:r>
      <w:r>
        <w:rPr>
          <w:spacing w:val="-2"/>
        </w:rPr>
        <w:t>币种：人民币</w:t>
      </w:r>
    </w:p>
    <w:p>
      <w:pPr>
        <w:spacing w:after="0" w:line="240" w:lineRule="auto"/>
        <w:jc w:val="left"/>
        <w:sectPr>
          <w:type w:val="continuous"/>
          <w:pgSz w:w="11910" w:h="16840"/>
          <w:pgMar w:top="1320" w:bottom="1380" w:left="160" w:right="40"/>
          <w:cols w:num="2" w:equalWidth="0">
            <w:col w:w="3410" w:space="3112"/>
            <w:col w:w="5188"/>
          </w:cols>
        </w:sectPr>
      </w:pPr>
    </w:p>
    <w:p>
      <w:pPr>
        <w:spacing w:line="240" w:lineRule="auto" w:before="4"/>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1316"/>
        <w:gridCol w:w="1164"/>
        <w:gridCol w:w="1162"/>
        <w:gridCol w:w="866"/>
        <w:gridCol w:w="1015"/>
        <w:gridCol w:w="584"/>
        <w:gridCol w:w="1018"/>
        <w:gridCol w:w="874"/>
        <w:gridCol w:w="874"/>
        <w:gridCol w:w="434"/>
        <w:gridCol w:w="1310"/>
        <w:gridCol w:w="872"/>
      </w:tblGrid>
      <w:tr>
        <w:trPr>
          <w:trHeight w:val="283" w:hRule="exact"/>
        </w:trPr>
        <w:tc>
          <w:tcPr>
            <w:tcW w:w="131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被投资单位</w:t>
            </w:r>
          </w:p>
        </w:tc>
        <w:tc>
          <w:tcPr>
            <w:tcW w:w="116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9"/>
                <w:szCs w:val="29"/>
              </w:rPr>
            </w:pPr>
          </w:p>
          <w:p>
            <w:pPr>
              <w:pStyle w:val="TableParagraph"/>
              <w:spacing w:line="240" w:lineRule="auto"/>
              <w:ind w:left="364" w:right="365"/>
              <w:jc w:val="left"/>
              <w:rPr>
                <w:rFonts w:ascii="宋体" w:hAnsi="宋体" w:cs="宋体" w:eastAsia="宋体" w:hint="default"/>
                <w:sz w:val="21"/>
                <w:szCs w:val="21"/>
              </w:rPr>
            </w:pPr>
            <w:r>
              <w:rPr>
                <w:rFonts w:ascii="宋体" w:hAnsi="宋体" w:cs="宋体" w:eastAsia="宋体" w:hint="default"/>
                <w:sz w:val="21"/>
                <w:szCs w:val="21"/>
              </w:rPr>
              <w:t>期初</w:t>
            </w:r>
            <w:r>
              <w:rPr>
                <w:rFonts w:ascii="宋体" w:hAnsi="宋体" w:cs="宋体" w:eastAsia="宋体" w:hint="default"/>
                <w:spacing w:val="-103"/>
                <w:sz w:val="21"/>
                <w:szCs w:val="21"/>
              </w:rPr>
              <w:t> </w:t>
            </w:r>
            <w:r>
              <w:rPr>
                <w:rFonts w:ascii="宋体" w:hAnsi="宋体" w:cs="宋体" w:eastAsia="宋体" w:hint="default"/>
                <w:sz w:val="21"/>
                <w:szCs w:val="21"/>
              </w:rPr>
              <w:t>余额</w:t>
            </w:r>
          </w:p>
        </w:tc>
        <w:tc>
          <w:tcPr>
            <w:tcW w:w="6827" w:type="dxa"/>
            <w:gridSpan w:val="8"/>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本期增减变动</w:t>
            </w:r>
          </w:p>
        </w:tc>
        <w:tc>
          <w:tcPr>
            <w:tcW w:w="131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9"/>
                <w:szCs w:val="29"/>
              </w:rPr>
            </w:pPr>
          </w:p>
          <w:p>
            <w:pPr>
              <w:pStyle w:val="TableParagraph"/>
              <w:spacing w:line="240" w:lineRule="auto"/>
              <w:ind w:left="439" w:right="437"/>
              <w:jc w:val="center"/>
              <w:rPr>
                <w:rFonts w:ascii="宋体" w:hAnsi="宋体" w:cs="宋体" w:eastAsia="宋体" w:hint="default"/>
                <w:sz w:val="21"/>
                <w:szCs w:val="21"/>
              </w:rPr>
            </w:pPr>
            <w:r>
              <w:rPr>
                <w:rFonts w:ascii="宋体" w:hAnsi="宋体" w:cs="宋体" w:eastAsia="宋体" w:hint="default"/>
                <w:sz w:val="21"/>
                <w:szCs w:val="21"/>
              </w:rPr>
              <w:t>期末</w:t>
            </w:r>
            <w:r>
              <w:rPr>
                <w:rFonts w:ascii="宋体" w:hAnsi="宋体" w:cs="宋体" w:eastAsia="宋体" w:hint="default"/>
                <w:w w:val="100"/>
                <w:sz w:val="21"/>
                <w:szCs w:val="21"/>
              </w:rPr>
              <w:t> </w:t>
            </w:r>
            <w:r>
              <w:rPr>
                <w:rFonts w:ascii="宋体" w:hAnsi="宋体" w:cs="宋体" w:eastAsia="宋体" w:hint="default"/>
                <w:sz w:val="21"/>
                <w:szCs w:val="21"/>
              </w:rPr>
              <w:t>余额</w:t>
            </w:r>
          </w:p>
        </w:tc>
        <w:tc>
          <w:tcPr>
            <w:tcW w:w="87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37" w:lineRule="auto"/>
              <w:ind w:left="112" w:right="113"/>
              <w:jc w:val="both"/>
              <w:rPr>
                <w:rFonts w:ascii="宋体" w:hAnsi="宋体" w:cs="宋体" w:eastAsia="宋体" w:hint="default"/>
                <w:sz w:val="21"/>
                <w:szCs w:val="21"/>
              </w:rPr>
            </w:pPr>
            <w:r>
              <w:rPr>
                <w:rFonts w:ascii="宋体" w:hAnsi="宋体" w:cs="宋体" w:eastAsia="宋体" w:hint="default"/>
                <w:sz w:val="21"/>
                <w:szCs w:val="21"/>
              </w:rPr>
              <w:t>减值准</w:t>
            </w:r>
            <w:r>
              <w:rPr>
                <w:rFonts w:ascii="宋体" w:hAnsi="宋体" w:cs="宋体" w:eastAsia="宋体" w:hint="default"/>
                <w:spacing w:val="-102"/>
                <w:sz w:val="21"/>
                <w:szCs w:val="21"/>
              </w:rPr>
              <w:t> </w:t>
            </w:r>
            <w:r>
              <w:rPr>
                <w:rFonts w:ascii="宋体" w:hAnsi="宋体" w:cs="宋体" w:eastAsia="宋体" w:hint="default"/>
                <w:sz w:val="21"/>
                <w:szCs w:val="21"/>
              </w:rPr>
              <w:t>备期末</w:t>
            </w:r>
            <w:r>
              <w:rPr>
                <w:rFonts w:ascii="宋体" w:hAnsi="宋体" w:cs="宋体" w:eastAsia="宋体" w:hint="default"/>
                <w:spacing w:val="-102"/>
                <w:sz w:val="21"/>
                <w:szCs w:val="21"/>
              </w:rPr>
              <w:t> </w:t>
            </w:r>
            <w:r>
              <w:rPr>
                <w:rFonts w:ascii="宋体" w:hAnsi="宋体" w:cs="宋体" w:eastAsia="宋体" w:hint="default"/>
                <w:sz w:val="21"/>
                <w:szCs w:val="21"/>
              </w:rPr>
              <w:t>余额</w:t>
            </w:r>
          </w:p>
        </w:tc>
      </w:tr>
      <w:tr>
        <w:trPr>
          <w:trHeight w:val="1644" w:hRule="exact"/>
        </w:trPr>
        <w:tc>
          <w:tcPr>
            <w:tcW w:w="1316" w:type="dxa"/>
            <w:vMerge/>
            <w:tcBorders>
              <w:left w:val="single" w:sz="4" w:space="0" w:color="000000"/>
              <w:bottom w:val="single" w:sz="4" w:space="0" w:color="000000"/>
              <w:right w:val="single" w:sz="4" w:space="0" w:color="000000"/>
            </w:tcBorders>
          </w:tcPr>
          <w:p>
            <w:pPr/>
          </w:p>
        </w:tc>
        <w:tc>
          <w:tcPr>
            <w:tcW w:w="1164" w:type="dxa"/>
            <w:vMerge/>
            <w:tcBorders>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9"/>
                <w:szCs w:val="29"/>
              </w:rPr>
            </w:pPr>
          </w:p>
          <w:p>
            <w:pPr>
              <w:pStyle w:val="TableParagraph"/>
              <w:spacing w:line="240" w:lineRule="auto"/>
              <w:ind w:left="155" w:right="0"/>
              <w:jc w:val="left"/>
              <w:rPr>
                <w:rFonts w:ascii="宋体" w:hAnsi="宋体" w:cs="宋体" w:eastAsia="宋体" w:hint="default"/>
                <w:sz w:val="21"/>
                <w:szCs w:val="21"/>
              </w:rPr>
            </w:pPr>
            <w:r>
              <w:rPr>
                <w:rFonts w:ascii="宋体" w:hAnsi="宋体" w:cs="宋体" w:eastAsia="宋体" w:hint="default"/>
                <w:sz w:val="21"/>
                <w:szCs w:val="21"/>
              </w:rPr>
              <w:t>追加投资</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321" w:right="108" w:hanging="209"/>
              <w:jc w:val="left"/>
              <w:rPr>
                <w:rFonts w:ascii="宋体" w:hAnsi="宋体" w:cs="宋体" w:eastAsia="宋体" w:hint="default"/>
                <w:sz w:val="21"/>
                <w:szCs w:val="21"/>
              </w:rPr>
            </w:pPr>
            <w:r>
              <w:rPr>
                <w:rFonts w:ascii="宋体" w:hAnsi="宋体" w:cs="宋体" w:eastAsia="宋体" w:hint="default"/>
                <w:sz w:val="21"/>
                <w:szCs w:val="21"/>
              </w:rPr>
              <w:t>减少投</w:t>
            </w:r>
            <w:r>
              <w:rPr>
                <w:rFonts w:ascii="宋体" w:hAnsi="宋体" w:cs="宋体" w:eastAsia="宋体" w:hint="default"/>
                <w:spacing w:val="-102"/>
                <w:sz w:val="21"/>
                <w:szCs w:val="21"/>
              </w:rPr>
              <w:t> </w:t>
            </w:r>
            <w:r>
              <w:rPr>
                <w:rFonts w:ascii="宋体" w:hAnsi="宋体" w:cs="宋体" w:eastAsia="宋体" w:hint="default"/>
                <w:sz w:val="21"/>
                <w:szCs w:val="21"/>
              </w:rPr>
              <w:t>资</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37" w:lineRule="auto"/>
              <w:ind w:left="187" w:right="182"/>
              <w:jc w:val="both"/>
              <w:rPr>
                <w:rFonts w:ascii="宋体" w:hAnsi="宋体" w:cs="宋体" w:eastAsia="宋体" w:hint="default"/>
                <w:sz w:val="21"/>
                <w:szCs w:val="21"/>
              </w:rPr>
            </w:pPr>
            <w:r>
              <w:rPr>
                <w:rFonts w:ascii="宋体" w:hAnsi="宋体" w:cs="宋体" w:eastAsia="宋体" w:hint="default"/>
                <w:sz w:val="21"/>
                <w:szCs w:val="21"/>
              </w:rPr>
              <w:t>权益法</w:t>
            </w:r>
            <w:r>
              <w:rPr>
                <w:rFonts w:ascii="宋体" w:hAnsi="宋体" w:cs="宋体" w:eastAsia="宋体" w:hint="default"/>
                <w:spacing w:val="-102"/>
                <w:sz w:val="21"/>
                <w:szCs w:val="21"/>
              </w:rPr>
              <w:t> </w:t>
            </w:r>
            <w:r>
              <w:rPr>
                <w:rFonts w:ascii="宋体" w:hAnsi="宋体" w:cs="宋体" w:eastAsia="宋体" w:hint="default"/>
                <w:sz w:val="21"/>
                <w:szCs w:val="21"/>
              </w:rPr>
              <w:t>下确认</w:t>
            </w:r>
            <w:r>
              <w:rPr>
                <w:rFonts w:ascii="宋体" w:hAnsi="宋体" w:cs="宋体" w:eastAsia="宋体" w:hint="default"/>
                <w:spacing w:val="-102"/>
                <w:sz w:val="21"/>
                <w:szCs w:val="21"/>
              </w:rPr>
              <w:t> </w:t>
            </w:r>
            <w:r>
              <w:rPr>
                <w:rFonts w:ascii="宋体" w:hAnsi="宋体" w:cs="宋体" w:eastAsia="宋体" w:hint="default"/>
                <w:sz w:val="21"/>
                <w:szCs w:val="21"/>
              </w:rPr>
              <w:t>的投资</w:t>
            </w:r>
            <w:r>
              <w:rPr>
                <w:rFonts w:ascii="宋体" w:hAnsi="宋体" w:cs="宋体" w:eastAsia="宋体" w:hint="default"/>
                <w:spacing w:val="-102"/>
                <w:sz w:val="21"/>
                <w:szCs w:val="21"/>
              </w:rPr>
              <w:t> </w:t>
            </w:r>
            <w:r>
              <w:rPr>
                <w:rFonts w:ascii="宋体" w:hAnsi="宋体" w:cs="宋体" w:eastAsia="宋体" w:hint="default"/>
                <w:sz w:val="21"/>
                <w:szCs w:val="21"/>
              </w:rPr>
              <w:t>损益</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80" w:right="0"/>
              <w:jc w:val="both"/>
              <w:rPr>
                <w:rFonts w:ascii="宋体" w:hAnsi="宋体" w:cs="宋体" w:eastAsia="宋体" w:hint="default"/>
                <w:sz w:val="21"/>
                <w:szCs w:val="21"/>
              </w:rPr>
            </w:pPr>
            <w:r>
              <w:rPr>
                <w:rFonts w:ascii="宋体" w:hAnsi="宋体" w:cs="宋体" w:eastAsia="宋体" w:hint="default"/>
                <w:w w:val="100"/>
                <w:sz w:val="21"/>
                <w:szCs w:val="21"/>
              </w:rPr>
              <w:t>其</w:t>
            </w:r>
          </w:p>
          <w:p>
            <w:pPr>
              <w:pStyle w:val="TableParagraph"/>
              <w:spacing w:line="237" w:lineRule="auto" w:before="2"/>
              <w:ind w:left="180" w:right="180"/>
              <w:jc w:val="both"/>
              <w:rPr>
                <w:rFonts w:ascii="宋体" w:hAnsi="宋体" w:cs="宋体" w:eastAsia="宋体" w:hint="default"/>
                <w:sz w:val="21"/>
                <w:szCs w:val="21"/>
              </w:rPr>
            </w:pPr>
            <w:r>
              <w:rPr>
                <w:rFonts w:ascii="宋体" w:hAnsi="宋体" w:cs="宋体" w:eastAsia="宋体" w:hint="default"/>
                <w:sz w:val="21"/>
                <w:szCs w:val="21"/>
              </w:rPr>
              <w:t>他</w:t>
            </w:r>
            <w:r>
              <w:rPr>
                <w:rFonts w:ascii="宋体" w:hAnsi="宋体" w:cs="宋体" w:eastAsia="宋体" w:hint="default"/>
                <w:w w:val="100"/>
                <w:sz w:val="21"/>
                <w:szCs w:val="21"/>
              </w:rPr>
              <w:t> </w:t>
            </w:r>
            <w:r>
              <w:rPr>
                <w:rFonts w:ascii="宋体" w:hAnsi="宋体" w:cs="宋体" w:eastAsia="宋体" w:hint="default"/>
                <w:sz w:val="21"/>
                <w:szCs w:val="21"/>
              </w:rPr>
              <w:t>综</w:t>
            </w:r>
            <w:r>
              <w:rPr>
                <w:rFonts w:ascii="宋体" w:hAnsi="宋体" w:cs="宋体" w:eastAsia="宋体" w:hint="default"/>
                <w:w w:val="100"/>
                <w:sz w:val="21"/>
                <w:szCs w:val="21"/>
              </w:rPr>
              <w:t> </w:t>
            </w:r>
            <w:r>
              <w:rPr>
                <w:rFonts w:ascii="宋体" w:hAnsi="宋体" w:cs="宋体" w:eastAsia="宋体" w:hint="default"/>
                <w:sz w:val="21"/>
                <w:szCs w:val="21"/>
              </w:rPr>
              <w:t>合</w:t>
            </w:r>
            <w:r>
              <w:rPr>
                <w:rFonts w:ascii="宋体" w:hAnsi="宋体" w:cs="宋体" w:eastAsia="宋体" w:hint="default"/>
                <w:w w:val="100"/>
                <w:sz w:val="21"/>
                <w:szCs w:val="21"/>
              </w:rPr>
              <w:t> </w:t>
            </w:r>
            <w:r>
              <w:rPr>
                <w:rFonts w:ascii="宋体" w:hAnsi="宋体" w:cs="宋体" w:eastAsia="宋体" w:hint="default"/>
                <w:sz w:val="21"/>
                <w:szCs w:val="21"/>
              </w:rPr>
              <w:t>收</w:t>
            </w:r>
            <w:r>
              <w:rPr>
                <w:rFonts w:ascii="宋体" w:hAnsi="宋体" w:cs="宋体" w:eastAsia="宋体" w:hint="default"/>
                <w:w w:val="100"/>
                <w:sz w:val="21"/>
                <w:szCs w:val="21"/>
              </w:rPr>
              <w:t> </w:t>
            </w:r>
            <w:r>
              <w:rPr>
                <w:rFonts w:ascii="宋体" w:hAnsi="宋体" w:cs="宋体" w:eastAsia="宋体" w:hint="default"/>
                <w:sz w:val="21"/>
                <w:szCs w:val="21"/>
              </w:rPr>
              <w:t>益</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87" w:right="185"/>
              <w:jc w:val="left"/>
              <w:rPr>
                <w:rFonts w:ascii="宋体" w:hAnsi="宋体" w:cs="宋体" w:eastAsia="宋体" w:hint="default"/>
                <w:sz w:val="21"/>
                <w:szCs w:val="21"/>
              </w:rPr>
            </w:pPr>
            <w:r>
              <w:rPr>
                <w:rFonts w:ascii="宋体" w:hAnsi="宋体" w:cs="宋体" w:eastAsia="宋体" w:hint="default"/>
                <w:sz w:val="21"/>
                <w:szCs w:val="21"/>
              </w:rPr>
              <w:t>其他权</w:t>
            </w:r>
            <w:r>
              <w:rPr>
                <w:rFonts w:ascii="宋体" w:hAnsi="宋体" w:cs="宋体" w:eastAsia="宋体" w:hint="default"/>
                <w:spacing w:val="-102"/>
                <w:sz w:val="21"/>
                <w:szCs w:val="21"/>
              </w:rPr>
              <w:t> </w:t>
            </w:r>
            <w:r>
              <w:rPr>
                <w:rFonts w:ascii="宋体" w:hAnsi="宋体" w:cs="宋体" w:eastAsia="宋体" w:hint="default"/>
                <w:sz w:val="21"/>
                <w:szCs w:val="21"/>
              </w:rPr>
              <w:t>益变动</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37" w:lineRule="auto"/>
              <w:ind w:left="115" w:right="113"/>
              <w:jc w:val="both"/>
              <w:rPr>
                <w:rFonts w:ascii="宋体" w:hAnsi="宋体" w:cs="宋体" w:eastAsia="宋体" w:hint="default"/>
                <w:sz w:val="21"/>
                <w:szCs w:val="21"/>
              </w:rPr>
            </w:pPr>
            <w:r>
              <w:rPr>
                <w:rFonts w:ascii="宋体" w:hAnsi="宋体" w:cs="宋体" w:eastAsia="宋体" w:hint="default"/>
                <w:sz w:val="21"/>
                <w:szCs w:val="21"/>
              </w:rPr>
              <w:t>宣告发</w:t>
            </w:r>
            <w:r>
              <w:rPr>
                <w:rFonts w:ascii="宋体" w:hAnsi="宋体" w:cs="宋体" w:eastAsia="宋体" w:hint="default"/>
                <w:spacing w:val="-102"/>
                <w:sz w:val="21"/>
                <w:szCs w:val="21"/>
              </w:rPr>
              <w:t> </w:t>
            </w:r>
            <w:r>
              <w:rPr>
                <w:rFonts w:ascii="宋体" w:hAnsi="宋体" w:cs="宋体" w:eastAsia="宋体" w:hint="default"/>
                <w:sz w:val="21"/>
                <w:szCs w:val="21"/>
              </w:rPr>
              <w:t>放现金</w:t>
            </w:r>
            <w:r>
              <w:rPr>
                <w:rFonts w:ascii="宋体" w:hAnsi="宋体" w:cs="宋体" w:eastAsia="宋体" w:hint="default"/>
                <w:spacing w:val="-102"/>
                <w:sz w:val="21"/>
                <w:szCs w:val="21"/>
              </w:rPr>
              <w:t> </w:t>
            </w:r>
            <w:r>
              <w:rPr>
                <w:rFonts w:ascii="宋体" w:hAnsi="宋体" w:cs="宋体" w:eastAsia="宋体" w:hint="default"/>
                <w:sz w:val="21"/>
                <w:szCs w:val="21"/>
              </w:rPr>
              <w:t>股利或</w:t>
            </w:r>
            <w:r>
              <w:rPr>
                <w:rFonts w:ascii="宋体" w:hAnsi="宋体" w:cs="宋体" w:eastAsia="宋体" w:hint="default"/>
                <w:spacing w:val="-102"/>
                <w:sz w:val="21"/>
                <w:szCs w:val="21"/>
              </w:rPr>
              <w:t> </w:t>
            </w:r>
            <w:r>
              <w:rPr>
                <w:rFonts w:ascii="宋体" w:hAnsi="宋体" w:cs="宋体" w:eastAsia="宋体" w:hint="default"/>
                <w:sz w:val="21"/>
                <w:szCs w:val="21"/>
              </w:rPr>
              <w:t>利润</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15" w:right="113"/>
              <w:jc w:val="left"/>
              <w:rPr>
                <w:rFonts w:ascii="宋体" w:hAnsi="宋体" w:cs="宋体" w:eastAsia="宋体" w:hint="default"/>
                <w:sz w:val="21"/>
                <w:szCs w:val="21"/>
              </w:rPr>
            </w:pPr>
            <w:r>
              <w:rPr>
                <w:rFonts w:ascii="宋体" w:hAnsi="宋体" w:cs="宋体" w:eastAsia="宋体" w:hint="default"/>
                <w:sz w:val="21"/>
                <w:szCs w:val="21"/>
              </w:rPr>
              <w:t>计提减</w:t>
            </w:r>
            <w:r>
              <w:rPr>
                <w:rFonts w:ascii="宋体" w:hAnsi="宋体" w:cs="宋体" w:eastAsia="宋体" w:hint="default"/>
                <w:spacing w:val="-102"/>
                <w:sz w:val="21"/>
                <w:szCs w:val="21"/>
              </w:rPr>
              <w:t> </w:t>
            </w:r>
            <w:r>
              <w:rPr>
                <w:rFonts w:ascii="宋体" w:hAnsi="宋体" w:cs="宋体" w:eastAsia="宋体" w:hint="default"/>
                <w:sz w:val="21"/>
                <w:szCs w:val="21"/>
              </w:rPr>
              <w:t>值准备</w:t>
            </w:r>
          </w:p>
        </w:tc>
        <w:tc>
          <w:tcPr>
            <w:tcW w:w="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05" w:right="107"/>
              <w:jc w:val="left"/>
              <w:rPr>
                <w:rFonts w:ascii="宋体" w:hAnsi="宋体" w:cs="宋体" w:eastAsia="宋体" w:hint="default"/>
                <w:sz w:val="21"/>
                <w:szCs w:val="21"/>
              </w:rPr>
            </w:pPr>
            <w:r>
              <w:rPr>
                <w:rFonts w:ascii="宋体" w:hAnsi="宋体" w:cs="宋体" w:eastAsia="宋体" w:hint="default"/>
                <w:sz w:val="21"/>
                <w:szCs w:val="21"/>
              </w:rPr>
              <w:t>其</w:t>
            </w:r>
            <w:r>
              <w:rPr>
                <w:rFonts w:ascii="宋体" w:hAnsi="宋体" w:cs="宋体" w:eastAsia="宋体" w:hint="default"/>
                <w:w w:val="100"/>
                <w:sz w:val="21"/>
                <w:szCs w:val="21"/>
              </w:rPr>
              <w:t> </w:t>
            </w:r>
            <w:r>
              <w:rPr>
                <w:rFonts w:ascii="宋体" w:hAnsi="宋体" w:cs="宋体" w:eastAsia="宋体" w:hint="default"/>
                <w:sz w:val="21"/>
                <w:szCs w:val="21"/>
              </w:rPr>
              <w:t>他</w:t>
            </w:r>
          </w:p>
        </w:tc>
        <w:tc>
          <w:tcPr>
            <w:tcW w:w="1310" w:type="dxa"/>
            <w:vMerge/>
            <w:tcBorders>
              <w:left w:val="single" w:sz="4" w:space="0" w:color="000000"/>
              <w:bottom w:val="single" w:sz="4" w:space="0" w:color="000000"/>
              <w:right w:val="single" w:sz="4" w:space="0" w:color="000000"/>
            </w:tcBorders>
          </w:tcPr>
          <w:p>
            <w:pPr/>
          </w:p>
        </w:tc>
        <w:tc>
          <w:tcPr>
            <w:tcW w:w="872" w:type="dxa"/>
            <w:vMerge/>
            <w:tcBorders>
              <w:left w:val="single" w:sz="4" w:space="0" w:color="000000"/>
              <w:bottom w:val="single" w:sz="4" w:space="0" w:color="000000"/>
              <w:right w:val="single" w:sz="4" w:space="0" w:color="000000"/>
            </w:tcBorders>
          </w:tcPr>
          <w:p>
            <w:pPr/>
          </w:p>
        </w:tc>
      </w:tr>
    </w:tbl>
    <w:p>
      <w:pPr>
        <w:spacing w:after="0"/>
        <w:sectPr>
          <w:type w:val="continuous"/>
          <w:pgSz w:w="11910" w:h="16840"/>
          <w:pgMar w:top="1320" w:bottom="1380" w:left="160" w:right="40"/>
        </w:sectPr>
      </w:pPr>
    </w:p>
    <w:p>
      <w:pPr>
        <w:spacing w:line="240" w:lineRule="auto" w:before="6"/>
        <w:rPr>
          <w:rFonts w:ascii="Times New Roman" w:hAnsi="Times New Roman" w:cs="Times New Roman" w:eastAsia="Times New Roman" w:hint="default"/>
          <w:sz w:val="16"/>
          <w:szCs w:val="16"/>
        </w:rPr>
      </w:pPr>
    </w:p>
    <w:tbl>
      <w:tblPr>
        <w:tblW w:w="0" w:type="auto"/>
        <w:jc w:val="left"/>
        <w:tblInd w:w="101" w:type="dxa"/>
        <w:tblLayout w:type="fixed"/>
        <w:tblCellMar>
          <w:top w:w="0" w:type="dxa"/>
          <w:left w:w="0" w:type="dxa"/>
          <w:bottom w:w="0" w:type="dxa"/>
          <w:right w:w="0" w:type="dxa"/>
        </w:tblCellMar>
        <w:tblLook w:val="01E0"/>
      </w:tblPr>
      <w:tblGrid>
        <w:gridCol w:w="1316"/>
        <w:gridCol w:w="1164"/>
        <w:gridCol w:w="1162"/>
        <w:gridCol w:w="866"/>
        <w:gridCol w:w="1015"/>
        <w:gridCol w:w="584"/>
        <w:gridCol w:w="1018"/>
        <w:gridCol w:w="874"/>
        <w:gridCol w:w="874"/>
        <w:gridCol w:w="434"/>
        <w:gridCol w:w="1310"/>
        <w:gridCol w:w="872"/>
      </w:tblGrid>
      <w:tr>
        <w:trPr>
          <w:trHeight w:val="557" w:hRule="exact"/>
        </w:trPr>
        <w:tc>
          <w:tcPr>
            <w:tcW w:w="1316"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180" w:right="0"/>
              <w:jc w:val="left"/>
              <w:rPr>
                <w:rFonts w:ascii="宋体" w:hAnsi="宋体" w:cs="宋体" w:eastAsia="宋体" w:hint="default"/>
                <w:sz w:val="21"/>
                <w:szCs w:val="21"/>
              </w:rPr>
            </w:pPr>
            <w:r>
              <w:rPr>
                <w:rFonts w:ascii="宋体" w:hAnsi="宋体" w:cs="宋体" w:eastAsia="宋体" w:hint="default"/>
                <w:w w:val="100"/>
                <w:sz w:val="21"/>
                <w:szCs w:val="21"/>
              </w:rPr>
              <w:t>调</w:t>
            </w:r>
          </w:p>
          <w:p>
            <w:pPr>
              <w:pStyle w:val="TableParagraph"/>
              <w:spacing w:line="273" w:lineRule="exact"/>
              <w:ind w:left="180" w:right="0"/>
              <w:jc w:val="left"/>
              <w:rPr>
                <w:rFonts w:ascii="宋体" w:hAnsi="宋体" w:cs="宋体" w:eastAsia="宋体" w:hint="default"/>
                <w:sz w:val="21"/>
                <w:szCs w:val="21"/>
              </w:rPr>
            </w:pPr>
            <w:r>
              <w:rPr>
                <w:rFonts w:ascii="宋体" w:hAnsi="宋体" w:cs="宋体" w:eastAsia="宋体" w:hint="default"/>
                <w:w w:val="100"/>
                <w:sz w:val="21"/>
                <w:szCs w:val="21"/>
              </w:rPr>
              <w:t>整</w:t>
            </w: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1489" w:type="dxa"/>
            <w:gridSpan w:val="1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一、合营企业</w:t>
            </w:r>
          </w:p>
        </w:tc>
      </w:tr>
      <w:tr>
        <w:trPr>
          <w:trHeight w:val="283" w:hRule="exact"/>
        </w:trPr>
        <w:tc>
          <w:tcPr>
            <w:tcW w:w="1316"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316"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1489" w:type="dxa"/>
            <w:gridSpan w:val="1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二、联营企业</w:t>
            </w:r>
          </w:p>
        </w:tc>
      </w:tr>
      <w:tr>
        <w:trPr>
          <w:trHeight w:val="1176"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北京中关村银</w:t>
            </w:r>
          </w:p>
          <w:p>
            <w:pPr>
              <w:pStyle w:val="TableParagraph"/>
              <w:spacing w:line="237" w:lineRule="auto"/>
              <w:ind w:left="103" w:right="120"/>
              <w:jc w:val="left"/>
              <w:rPr>
                <w:rFonts w:ascii="宋体" w:hAnsi="宋体" w:cs="宋体" w:eastAsia="宋体" w:hint="default"/>
                <w:sz w:val="18"/>
                <w:szCs w:val="18"/>
              </w:rPr>
            </w:pPr>
            <w:r>
              <w:rPr>
                <w:rFonts w:ascii="宋体" w:hAnsi="宋体" w:cs="宋体" w:eastAsia="宋体" w:hint="default"/>
                <w:sz w:val="18"/>
                <w:szCs w:val="18"/>
              </w:rPr>
              <w:t>行股份有限公 司</w:t>
            </w:r>
            <w:r>
              <w:rPr>
                <w:rFonts w:ascii="宋体" w:hAnsi="宋体" w:cs="宋体" w:eastAsia="宋体" w:hint="default"/>
                <w:sz w:val="18"/>
                <w:szCs w:val="18"/>
              </w:rPr>
              <w:t>(</w:t>
            </w:r>
            <w:r>
              <w:rPr>
                <w:rFonts w:ascii="宋体" w:hAnsi="宋体" w:cs="宋体" w:eastAsia="宋体" w:hint="default"/>
                <w:sz w:val="18"/>
                <w:szCs w:val="18"/>
              </w:rPr>
              <w:t>以下简称 “中关村银 行”)</w:t>
            </w: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1"/>
              <w:jc w:val="right"/>
              <w:rPr>
                <w:rFonts w:ascii="宋体" w:hAnsi="宋体" w:cs="宋体" w:eastAsia="宋体" w:hint="default"/>
                <w:sz w:val="18"/>
                <w:szCs w:val="18"/>
              </w:rPr>
            </w:pPr>
            <w:r>
              <w:rPr>
                <w:rFonts w:ascii="宋体"/>
                <w:spacing w:val="-1"/>
                <w:sz w:val="18"/>
              </w:rPr>
              <w:t>1,192,000,</w:t>
            </w:r>
          </w:p>
          <w:p>
            <w:pPr>
              <w:pStyle w:val="TableParagraph"/>
              <w:spacing w:line="234" w:lineRule="exact"/>
              <w:ind w:right="99"/>
              <w:jc w:val="right"/>
              <w:rPr>
                <w:rFonts w:ascii="宋体" w:hAnsi="宋体" w:cs="宋体" w:eastAsia="宋体" w:hint="default"/>
                <w:sz w:val="18"/>
                <w:szCs w:val="18"/>
              </w:rPr>
            </w:pPr>
            <w:r>
              <w:rPr>
                <w:rFonts w:ascii="宋体"/>
                <w:sz w:val="18"/>
              </w:rPr>
              <w:t>000</w:t>
            </w: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1,350,97</w:t>
            </w:r>
          </w:p>
          <w:p>
            <w:pPr>
              <w:pStyle w:val="TableParagraph"/>
              <w:spacing w:line="234" w:lineRule="exact"/>
              <w:ind w:right="102"/>
              <w:jc w:val="right"/>
              <w:rPr>
                <w:rFonts w:ascii="宋体" w:hAnsi="宋体" w:cs="宋体" w:eastAsia="宋体" w:hint="default"/>
                <w:sz w:val="18"/>
                <w:szCs w:val="18"/>
              </w:rPr>
            </w:pPr>
            <w:r>
              <w:rPr>
                <w:rFonts w:ascii="宋体"/>
                <w:sz w:val="18"/>
              </w:rPr>
              <w:t>0</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3"/>
              <w:jc w:val="right"/>
              <w:rPr>
                <w:rFonts w:ascii="宋体" w:hAnsi="宋体" w:cs="宋体" w:eastAsia="宋体" w:hint="default"/>
                <w:sz w:val="18"/>
                <w:szCs w:val="18"/>
              </w:rPr>
            </w:pPr>
            <w:r>
              <w:rPr>
                <w:rFonts w:ascii="宋体"/>
                <w:spacing w:val="-1"/>
                <w:sz w:val="18"/>
              </w:rPr>
              <w:t>1,193,350,97</w:t>
            </w:r>
          </w:p>
          <w:p>
            <w:pPr>
              <w:pStyle w:val="TableParagraph"/>
              <w:spacing w:line="234" w:lineRule="exact"/>
              <w:ind w:right="104"/>
              <w:jc w:val="right"/>
              <w:rPr>
                <w:rFonts w:ascii="宋体" w:hAnsi="宋体" w:cs="宋体" w:eastAsia="宋体" w:hint="default"/>
                <w:sz w:val="18"/>
                <w:szCs w:val="18"/>
              </w:rPr>
            </w:pPr>
            <w:r>
              <w:rPr>
                <w:rFonts w:ascii="宋体"/>
                <w:sz w:val="18"/>
              </w:rPr>
              <w:t>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1179"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汉唐信通（北</w:t>
            </w:r>
          </w:p>
          <w:p>
            <w:pPr>
              <w:pStyle w:val="TableParagraph"/>
              <w:spacing w:line="232" w:lineRule="exact" w:before="25"/>
              <w:ind w:left="103" w:right="120"/>
              <w:jc w:val="left"/>
              <w:rPr>
                <w:rFonts w:ascii="宋体" w:hAnsi="宋体" w:cs="宋体" w:eastAsia="宋体" w:hint="default"/>
                <w:sz w:val="18"/>
                <w:szCs w:val="18"/>
              </w:rPr>
            </w:pPr>
            <w:r>
              <w:rPr>
                <w:rFonts w:ascii="宋体" w:hAnsi="宋体" w:cs="宋体" w:eastAsia="宋体" w:hint="default"/>
                <w:sz w:val="18"/>
                <w:szCs w:val="18"/>
              </w:rPr>
              <w:t>京）咨询股份 有限公司</w:t>
            </w:r>
            <w:r>
              <w:rPr>
                <w:rFonts w:ascii="宋体" w:hAnsi="宋体" w:cs="宋体" w:eastAsia="宋体" w:hint="default"/>
                <w:sz w:val="18"/>
                <w:szCs w:val="18"/>
              </w:rPr>
              <w:t>(</w:t>
            </w:r>
            <w:r>
              <w:rPr>
                <w:rFonts w:ascii="宋体" w:hAnsi="宋体" w:cs="宋体" w:eastAsia="宋体" w:hint="default"/>
                <w:sz w:val="18"/>
                <w:szCs w:val="18"/>
              </w:rPr>
              <w:t>以 下简称“汉唐 信通”)</w:t>
            </w: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78,402,131</w:t>
            </w: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1,039,56</w:t>
            </w:r>
          </w:p>
          <w:p>
            <w:pPr>
              <w:pStyle w:val="TableParagraph"/>
              <w:spacing w:line="240" w:lineRule="auto"/>
              <w:ind w:right="102"/>
              <w:jc w:val="right"/>
              <w:rPr>
                <w:rFonts w:ascii="宋体" w:hAnsi="宋体" w:cs="宋体" w:eastAsia="宋体" w:hint="default"/>
                <w:sz w:val="18"/>
                <w:szCs w:val="18"/>
              </w:rPr>
            </w:pPr>
            <w:r>
              <w:rPr>
                <w:rFonts w:ascii="宋体"/>
                <w:sz w:val="18"/>
              </w:rPr>
              <w:t>1</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pacing w:val="-1"/>
                <w:sz w:val="18"/>
              </w:rPr>
              <w:t>79,441,692</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943"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上海大易云计</w:t>
            </w:r>
          </w:p>
          <w:p>
            <w:pPr>
              <w:pStyle w:val="TableParagraph"/>
              <w:spacing w:line="237" w:lineRule="auto"/>
              <w:ind w:left="103" w:right="120"/>
              <w:jc w:val="left"/>
              <w:rPr>
                <w:rFonts w:ascii="宋体" w:hAnsi="宋体" w:cs="宋体" w:eastAsia="宋体" w:hint="default"/>
                <w:sz w:val="18"/>
                <w:szCs w:val="18"/>
              </w:rPr>
            </w:pPr>
            <w:r>
              <w:rPr>
                <w:rFonts w:ascii="宋体" w:hAnsi="宋体" w:cs="宋体" w:eastAsia="宋体" w:hint="default"/>
                <w:sz w:val="18"/>
                <w:szCs w:val="18"/>
              </w:rPr>
              <w:t>算股份有限公 司</w:t>
            </w:r>
            <w:r>
              <w:rPr>
                <w:rFonts w:ascii="宋体" w:hAnsi="宋体" w:cs="宋体" w:eastAsia="宋体" w:hint="default"/>
                <w:sz w:val="18"/>
                <w:szCs w:val="18"/>
              </w:rPr>
              <w:t>(</w:t>
            </w:r>
            <w:r>
              <w:rPr>
                <w:rFonts w:ascii="宋体" w:hAnsi="宋体" w:cs="宋体" w:eastAsia="宋体" w:hint="default"/>
                <w:sz w:val="18"/>
                <w:szCs w:val="18"/>
              </w:rPr>
              <w:t>以下简称 “大易云”)</w:t>
            </w: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67,108,612</w:t>
            </w: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-1,636,3</w:t>
            </w:r>
          </w:p>
          <w:p>
            <w:pPr>
              <w:pStyle w:val="TableParagraph"/>
              <w:spacing w:line="234" w:lineRule="exact"/>
              <w:ind w:right="98"/>
              <w:jc w:val="right"/>
              <w:rPr>
                <w:rFonts w:ascii="宋体" w:hAnsi="宋体" w:cs="宋体" w:eastAsia="宋体" w:hint="default"/>
                <w:sz w:val="18"/>
                <w:szCs w:val="18"/>
              </w:rPr>
            </w:pPr>
            <w:r>
              <w:rPr>
                <w:rFonts w:ascii="宋体"/>
                <w:sz w:val="18"/>
              </w:rPr>
              <w:t>87</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65,472,225</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1412"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北京用友幸福</w:t>
            </w:r>
          </w:p>
          <w:p>
            <w:pPr>
              <w:pStyle w:val="TableParagraph"/>
              <w:spacing w:line="237" w:lineRule="auto"/>
              <w:ind w:left="103" w:right="118"/>
              <w:jc w:val="left"/>
              <w:rPr>
                <w:rFonts w:ascii="宋体" w:hAnsi="宋体" w:cs="宋体" w:eastAsia="宋体" w:hint="default"/>
                <w:sz w:val="18"/>
                <w:szCs w:val="18"/>
              </w:rPr>
            </w:pPr>
            <w:r>
              <w:rPr>
                <w:rFonts w:ascii="宋体" w:hAnsi="宋体" w:cs="宋体" w:eastAsia="宋体" w:hint="default"/>
                <w:sz w:val="18"/>
                <w:szCs w:val="18"/>
              </w:rPr>
              <w:t>联创投资中心 </w:t>
            </w:r>
            <w:r>
              <w:rPr>
                <w:rFonts w:ascii="宋体" w:hAnsi="宋体" w:cs="宋体" w:eastAsia="宋体" w:hint="default"/>
                <w:sz w:val="18"/>
                <w:szCs w:val="18"/>
              </w:rPr>
              <w:t>(</w:t>
            </w:r>
            <w:r>
              <w:rPr>
                <w:rFonts w:ascii="宋体" w:hAnsi="宋体" w:cs="宋体" w:eastAsia="宋体" w:hint="default"/>
                <w:sz w:val="18"/>
                <w:szCs w:val="18"/>
              </w:rPr>
              <w:t>有限合 伙</w:t>
            </w:r>
            <w:r>
              <w:rPr>
                <w:rFonts w:ascii="宋体" w:hAnsi="宋体" w:cs="宋体" w:eastAsia="宋体" w:hint="default"/>
                <w:sz w:val="18"/>
                <w:szCs w:val="18"/>
              </w:rPr>
              <w:t>)(</w:t>
            </w:r>
            <w:r>
              <w:rPr>
                <w:rFonts w:ascii="宋体" w:hAnsi="宋体" w:cs="宋体" w:eastAsia="宋体" w:hint="default"/>
                <w:sz w:val="18"/>
                <w:szCs w:val="18"/>
              </w:rPr>
              <w:t>以下简称 “幸福联 创”)</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69,148,210</w:t>
            </w:r>
          </w:p>
        </w:tc>
        <w:tc>
          <w:tcPr>
            <w:tcW w:w="1162"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-204,068</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68,944,142</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1176"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民太安财产保</w:t>
            </w:r>
          </w:p>
          <w:p>
            <w:pPr>
              <w:pStyle w:val="TableParagraph"/>
              <w:spacing w:line="237" w:lineRule="auto"/>
              <w:ind w:left="103" w:right="120"/>
              <w:jc w:val="left"/>
              <w:rPr>
                <w:rFonts w:ascii="宋体" w:hAnsi="宋体" w:cs="宋体" w:eastAsia="宋体" w:hint="default"/>
                <w:sz w:val="18"/>
                <w:szCs w:val="18"/>
              </w:rPr>
            </w:pPr>
            <w:r>
              <w:rPr>
                <w:rFonts w:ascii="宋体" w:hAnsi="宋体" w:cs="宋体" w:eastAsia="宋体" w:hint="default"/>
                <w:sz w:val="18"/>
                <w:szCs w:val="18"/>
              </w:rPr>
              <w:t>险公估股份有 限公司</w:t>
            </w:r>
            <w:r>
              <w:rPr>
                <w:rFonts w:ascii="宋体" w:hAnsi="宋体" w:cs="宋体" w:eastAsia="宋体" w:hint="default"/>
                <w:sz w:val="18"/>
                <w:szCs w:val="18"/>
              </w:rPr>
              <w:t>(</w:t>
            </w:r>
            <w:r>
              <w:rPr>
                <w:rFonts w:ascii="宋体" w:hAnsi="宋体" w:cs="宋体" w:eastAsia="宋体" w:hint="default"/>
                <w:sz w:val="18"/>
                <w:szCs w:val="18"/>
              </w:rPr>
              <w:t>以下 简称“民太安 公估”)</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50,714,004</w:t>
            </w:r>
          </w:p>
        </w:tc>
        <w:tc>
          <w:tcPr>
            <w:tcW w:w="1162"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2,274,92</w:t>
            </w:r>
          </w:p>
          <w:p>
            <w:pPr>
              <w:pStyle w:val="TableParagraph"/>
              <w:spacing w:line="234" w:lineRule="exact"/>
              <w:ind w:right="102"/>
              <w:jc w:val="right"/>
              <w:rPr>
                <w:rFonts w:ascii="宋体" w:hAnsi="宋体" w:cs="宋体" w:eastAsia="宋体" w:hint="default"/>
                <w:sz w:val="18"/>
                <w:szCs w:val="18"/>
              </w:rPr>
            </w:pPr>
            <w:r>
              <w:rPr>
                <w:rFonts w:ascii="宋体"/>
                <w:sz w:val="18"/>
              </w:rPr>
              <w:t>2</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64" w:right="0"/>
              <w:jc w:val="left"/>
              <w:rPr>
                <w:rFonts w:ascii="宋体" w:hAnsi="宋体" w:cs="宋体" w:eastAsia="宋体" w:hint="default"/>
                <w:sz w:val="18"/>
                <w:szCs w:val="18"/>
              </w:rPr>
            </w:pPr>
            <w:r>
              <w:rPr>
                <w:rFonts w:ascii="宋体"/>
                <w:sz w:val="18"/>
              </w:rPr>
              <w:t>54,105</w:t>
            </w: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53,043,031</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1178"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用友深圳商业</w:t>
            </w:r>
          </w:p>
          <w:p>
            <w:pPr>
              <w:pStyle w:val="TableParagraph"/>
              <w:spacing w:line="232" w:lineRule="exact" w:before="24"/>
              <w:ind w:left="103" w:right="120"/>
              <w:jc w:val="left"/>
              <w:rPr>
                <w:rFonts w:ascii="宋体" w:hAnsi="宋体" w:cs="宋体" w:eastAsia="宋体" w:hint="default"/>
                <w:sz w:val="18"/>
                <w:szCs w:val="18"/>
              </w:rPr>
            </w:pPr>
            <w:r>
              <w:rPr>
                <w:rFonts w:ascii="宋体" w:hAnsi="宋体" w:cs="宋体" w:eastAsia="宋体" w:hint="default"/>
                <w:sz w:val="18"/>
                <w:szCs w:val="18"/>
              </w:rPr>
              <w:t>保理有限责任 公司</w:t>
            </w:r>
            <w:r>
              <w:rPr>
                <w:rFonts w:ascii="宋体" w:hAnsi="宋体" w:cs="宋体" w:eastAsia="宋体" w:hint="default"/>
                <w:sz w:val="18"/>
                <w:szCs w:val="18"/>
              </w:rPr>
              <w:t>(</w:t>
            </w:r>
            <w:r>
              <w:rPr>
                <w:rFonts w:ascii="宋体" w:hAnsi="宋体" w:cs="宋体" w:eastAsia="宋体" w:hint="default"/>
                <w:sz w:val="18"/>
                <w:szCs w:val="18"/>
              </w:rPr>
              <w:t>以下简 称“用友商业 保理”)</w:t>
            </w: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15,000,000</w:t>
            </w: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-847,386</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14,152,614</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944"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北京博晨技术</w:t>
            </w:r>
          </w:p>
          <w:p>
            <w:pPr>
              <w:pStyle w:val="TableParagraph"/>
              <w:spacing w:line="237" w:lineRule="auto"/>
              <w:ind w:left="103" w:right="120"/>
              <w:jc w:val="left"/>
              <w:rPr>
                <w:rFonts w:ascii="宋体" w:hAnsi="宋体" w:cs="宋体" w:eastAsia="宋体" w:hint="default"/>
                <w:sz w:val="18"/>
                <w:szCs w:val="18"/>
              </w:rPr>
            </w:pPr>
            <w:r>
              <w:rPr>
                <w:rFonts w:ascii="宋体" w:hAnsi="宋体" w:cs="宋体" w:eastAsia="宋体" w:hint="default"/>
                <w:sz w:val="18"/>
                <w:szCs w:val="18"/>
              </w:rPr>
              <w:t>有限公司</w:t>
            </w:r>
            <w:r>
              <w:rPr>
                <w:rFonts w:ascii="宋体" w:hAnsi="宋体" w:cs="宋体" w:eastAsia="宋体" w:hint="default"/>
                <w:sz w:val="18"/>
                <w:szCs w:val="18"/>
              </w:rPr>
              <w:t>(</w:t>
            </w:r>
            <w:r>
              <w:rPr>
                <w:rFonts w:ascii="宋体" w:hAnsi="宋体" w:cs="宋体" w:eastAsia="宋体" w:hint="default"/>
                <w:sz w:val="18"/>
                <w:szCs w:val="18"/>
              </w:rPr>
              <w:t>以 下简称“北京 博晨”)</w:t>
            </w: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11,680,000</w:t>
            </w: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-1,503,5</w:t>
            </w:r>
          </w:p>
          <w:p>
            <w:pPr>
              <w:pStyle w:val="TableParagraph"/>
              <w:spacing w:line="234" w:lineRule="exact"/>
              <w:ind w:right="98"/>
              <w:jc w:val="right"/>
              <w:rPr>
                <w:rFonts w:ascii="宋体" w:hAnsi="宋体" w:cs="宋体" w:eastAsia="宋体" w:hint="default"/>
                <w:sz w:val="18"/>
                <w:szCs w:val="18"/>
              </w:rPr>
            </w:pPr>
            <w:r>
              <w:rPr>
                <w:rFonts w:ascii="宋体"/>
                <w:sz w:val="18"/>
              </w:rPr>
              <w:t>72</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10,176,428</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1176"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北京西玛国正</w:t>
            </w:r>
          </w:p>
          <w:p>
            <w:pPr>
              <w:pStyle w:val="TableParagraph"/>
              <w:spacing w:line="237" w:lineRule="auto"/>
              <w:ind w:left="103" w:right="120"/>
              <w:jc w:val="left"/>
              <w:rPr>
                <w:rFonts w:ascii="宋体" w:hAnsi="宋体" w:cs="宋体" w:eastAsia="宋体" w:hint="default"/>
                <w:sz w:val="18"/>
                <w:szCs w:val="18"/>
              </w:rPr>
            </w:pPr>
            <w:r>
              <w:rPr>
                <w:rFonts w:ascii="宋体" w:hAnsi="宋体" w:cs="宋体" w:eastAsia="宋体" w:hint="default"/>
                <w:sz w:val="18"/>
                <w:szCs w:val="18"/>
              </w:rPr>
              <w:t>商用表单技术 有限公司</w:t>
            </w:r>
            <w:r>
              <w:rPr>
                <w:rFonts w:ascii="宋体" w:hAnsi="宋体" w:cs="宋体" w:eastAsia="宋体" w:hint="default"/>
                <w:sz w:val="18"/>
                <w:szCs w:val="18"/>
              </w:rPr>
              <w:t>(</w:t>
            </w:r>
            <w:r>
              <w:rPr>
                <w:rFonts w:ascii="宋体" w:hAnsi="宋体" w:cs="宋体" w:eastAsia="宋体" w:hint="default"/>
                <w:sz w:val="18"/>
                <w:szCs w:val="18"/>
              </w:rPr>
              <w:t>以 下简称“西玛 国正”)</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7,265,075</w:t>
            </w:r>
          </w:p>
        </w:tc>
        <w:tc>
          <w:tcPr>
            <w:tcW w:w="1162"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1,134,20</w:t>
            </w:r>
          </w:p>
          <w:p>
            <w:pPr>
              <w:pStyle w:val="TableParagraph"/>
              <w:spacing w:line="234" w:lineRule="exact"/>
              <w:ind w:right="102"/>
              <w:jc w:val="right"/>
              <w:rPr>
                <w:rFonts w:ascii="宋体" w:hAnsi="宋体" w:cs="宋体" w:eastAsia="宋体" w:hint="default"/>
                <w:sz w:val="18"/>
                <w:szCs w:val="18"/>
              </w:rPr>
            </w:pPr>
            <w:r>
              <w:rPr>
                <w:rFonts w:ascii="宋体"/>
                <w:sz w:val="18"/>
              </w:rPr>
              <w:t>3</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z w:val="18"/>
              </w:rPr>
              <w:t>-313,63</w:t>
            </w:r>
          </w:p>
          <w:p>
            <w:pPr>
              <w:pStyle w:val="TableParagraph"/>
              <w:spacing w:line="234" w:lineRule="exact"/>
              <w:ind w:right="102"/>
              <w:jc w:val="right"/>
              <w:rPr>
                <w:rFonts w:ascii="宋体" w:hAnsi="宋体" w:cs="宋体" w:eastAsia="宋体" w:hint="default"/>
                <w:sz w:val="18"/>
                <w:szCs w:val="18"/>
              </w:rPr>
            </w:pPr>
            <w:r>
              <w:rPr>
                <w:rFonts w:ascii="宋体"/>
                <w:sz w:val="18"/>
              </w:rPr>
              <w:t>6</w:t>
            </w: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pacing w:val="-1"/>
                <w:sz w:val="18"/>
              </w:rPr>
              <w:t>8,085,642</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1178"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北京用友融联</w:t>
            </w:r>
          </w:p>
          <w:p>
            <w:pPr>
              <w:pStyle w:val="TableParagraph"/>
              <w:spacing w:line="237" w:lineRule="auto"/>
              <w:ind w:left="103" w:right="120"/>
              <w:jc w:val="left"/>
              <w:rPr>
                <w:rFonts w:ascii="宋体" w:hAnsi="宋体" w:cs="宋体" w:eastAsia="宋体" w:hint="default"/>
                <w:sz w:val="18"/>
                <w:szCs w:val="18"/>
              </w:rPr>
            </w:pPr>
            <w:r>
              <w:rPr>
                <w:rFonts w:ascii="宋体" w:hAnsi="宋体" w:cs="宋体" w:eastAsia="宋体" w:hint="default"/>
                <w:sz w:val="18"/>
                <w:szCs w:val="18"/>
              </w:rPr>
              <w:t>科技有限公司 </w:t>
            </w:r>
            <w:r>
              <w:rPr>
                <w:rFonts w:ascii="宋体" w:hAnsi="宋体" w:cs="宋体" w:eastAsia="宋体" w:hint="default"/>
                <w:sz w:val="18"/>
                <w:szCs w:val="18"/>
              </w:rPr>
              <w:t>(</w:t>
            </w:r>
            <w:r>
              <w:rPr>
                <w:rFonts w:ascii="宋体" w:hAnsi="宋体" w:cs="宋体" w:eastAsia="宋体" w:hint="default"/>
                <w:sz w:val="18"/>
                <w:szCs w:val="18"/>
              </w:rPr>
              <w:t>以下简称 “用友融 联”)</w:t>
            </w: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pacing w:val="-1"/>
                <w:sz w:val="18"/>
              </w:rPr>
              <w:t>3,000,000</w:t>
            </w: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0"/>
              <w:jc w:val="right"/>
              <w:rPr>
                <w:rFonts w:ascii="宋体" w:hAnsi="宋体" w:cs="宋体" w:eastAsia="宋体" w:hint="default"/>
                <w:sz w:val="18"/>
                <w:szCs w:val="18"/>
              </w:rPr>
            </w:pPr>
            <w:r>
              <w:rPr>
                <w:rFonts w:ascii="宋体"/>
                <w:spacing w:val="-1"/>
                <w:sz w:val="18"/>
              </w:rPr>
              <w:t>-1,395,2</w:t>
            </w:r>
          </w:p>
          <w:p>
            <w:pPr>
              <w:pStyle w:val="TableParagraph"/>
              <w:spacing w:line="234" w:lineRule="exact"/>
              <w:ind w:right="98"/>
              <w:jc w:val="right"/>
              <w:rPr>
                <w:rFonts w:ascii="宋体" w:hAnsi="宋体" w:cs="宋体" w:eastAsia="宋体" w:hint="default"/>
                <w:sz w:val="18"/>
                <w:szCs w:val="18"/>
              </w:rPr>
            </w:pPr>
            <w:r>
              <w:rPr>
                <w:rFonts w:ascii="宋体"/>
                <w:sz w:val="18"/>
              </w:rPr>
              <w:t>65</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3"/>
              <w:jc w:val="right"/>
              <w:rPr>
                <w:rFonts w:ascii="宋体" w:hAnsi="宋体" w:cs="宋体" w:eastAsia="宋体" w:hint="default"/>
                <w:sz w:val="18"/>
                <w:szCs w:val="18"/>
              </w:rPr>
            </w:pPr>
            <w:r>
              <w:rPr>
                <w:rFonts w:ascii="宋体"/>
                <w:spacing w:val="-1"/>
                <w:sz w:val="18"/>
              </w:rPr>
              <w:t>1,604,735</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944"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中企永联数据</w:t>
            </w:r>
          </w:p>
          <w:p>
            <w:pPr>
              <w:pStyle w:val="TableParagraph"/>
              <w:spacing w:line="237" w:lineRule="auto"/>
              <w:ind w:left="103" w:right="209"/>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z w:val="18"/>
                <w:szCs w:val="18"/>
              </w:rPr>
              <w:t>(</w:t>
            </w:r>
            <w:r>
              <w:rPr>
                <w:rFonts w:ascii="宋体" w:hAnsi="宋体" w:cs="宋体" w:eastAsia="宋体" w:hint="default"/>
                <w:sz w:val="18"/>
                <w:szCs w:val="18"/>
              </w:rPr>
              <w:t>以下简 称“中企永 联”)</w:t>
            </w: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2,500,000</w:t>
            </w: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1,537,02</w:t>
            </w:r>
          </w:p>
          <w:p>
            <w:pPr>
              <w:pStyle w:val="TableParagraph"/>
              <w:spacing w:line="234" w:lineRule="exact"/>
              <w:ind w:right="102"/>
              <w:jc w:val="right"/>
              <w:rPr>
                <w:rFonts w:ascii="宋体" w:hAnsi="宋体" w:cs="宋体" w:eastAsia="宋体" w:hint="default"/>
                <w:sz w:val="18"/>
                <w:szCs w:val="18"/>
              </w:rPr>
            </w:pPr>
            <w:r>
              <w:rPr>
                <w:rFonts w:ascii="宋体"/>
                <w:sz w:val="18"/>
              </w:rPr>
              <w:t>3</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4,037,023</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上海长伴信息</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技术咨询有限</w:t>
            </w: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540,000</w:t>
            </w: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-416,434</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4"/>
              <w:jc w:val="right"/>
              <w:rPr>
                <w:rFonts w:ascii="宋体" w:hAnsi="宋体" w:cs="宋体" w:eastAsia="宋体" w:hint="default"/>
                <w:sz w:val="18"/>
                <w:szCs w:val="18"/>
              </w:rPr>
            </w:pPr>
            <w:r>
              <w:rPr>
                <w:rFonts w:ascii="宋体"/>
                <w:sz w:val="18"/>
              </w:rPr>
              <w:t>123,566</w:t>
            </w:r>
          </w:p>
        </w:tc>
        <w:tc>
          <w:tcPr>
            <w:tcW w:w="872"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69"/>
          <w:pgSz w:w="11910" w:h="16840"/>
          <w:pgMar w:footer="1195" w:header="857" w:top="1320" w:bottom="1380" w:left="160" w:right="40"/>
          <w:pgNumType w:start="131"/>
        </w:sectPr>
      </w:pPr>
    </w:p>
    <w:p>
      <w:pPr>
        <w:spacing w:line="240" w:lineRule="auto" w:before="6"/>
        <w:rPr>
          <w:rFonts w:ascii="Times New Roman" w:hAnsi="Times New Roman" w:cs="Times New Roman" w:eastAsia="Times New Roman" w:hint="default"/>
          <w:sz w:val="16"/>
          <w:szCs w:val="16"/>
        </w:rPr>
      </w:pPr>
    </w:p>
    <w:tbl>
      <w:tblPr>
        <w:tblW w:w="0" w:type="auto"/>
        <w:jc w:val="left"/>
        <w:tblInd w:w="101" w:type="dxa"/>
        <w:tblLayout w:type="fixed"/>
        <w:tblCellMar>
          <w:top w:w="0" w:type="dxa"/>
          <w:left w:w="0" w:type="dxa"/>
          <w:bottom w:w="0" w:type="dxa"/>
          <w:right w:w="0" w:type="dxa"/>
        </w:tblCellMar>
        <w:tblLook w:val="01E0"/>
      </w:tblPr>
      <w:tblGrid>
        <w:gridCol w:w="1316"/>
        <w:gridCol w:w="1164"/>
        <w:gridCol w:w="1162"/>
        <w:gridCol w:w="866"/>
        <w:gridCol w:w="1015"/>
        <w:gridCol w:w="584"/>
        <w:gridCol w:w="1018"/>
        <w:gridCol w:w="874"/>
        <w:gridCol w:w="874"/>
        <w:gridCol w:w="434"/>
        <w:gridCol w:w="1310"/>
        <w:gridCol w:w="872"/>
      </w:tblGrid>
      <w:tr>
        <w:trPr>
          <w:trHeight w:val="711"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z w:val="18"/>
                <w:szCs w:val="18"/>
              </w:rPr>
              <w:t>(</w:t>
            </w:r>
            <w:r>
              <w:rPr>
                <w:rFonts w:ascii="宋体" w:hAnsi="宋体" w:cs="宋体" w:eastAsia="宋体" w:hint="default"/>
                <w:sz w:val="18"/>
                <w:szCs w:val="18"/>
              </w:rPr>
              <w:t>以下简</w:t>
            </w:r>
          </w:p>
          <w:p>
            <w:pPr>
              <w:pStyle w:val="TableParagraph"/>
              <w:spacing w:line="232" w:lineRule="exact" w:before="23"/>
              <w:ind w:left="103" w:right="300"/>
              <w:jc w:val="left"/>
              <w:rPr>
                <w:rFonts w:ascii="宋体" w:hAnsi="宋体" w:cs="宋体" w:eastAsia="宋体" w:hint="default"/>
                <w:sz w:val="18"/>
                <w:szCs w:val="18"/>
              </w:rPr>
            </w:pPr>
            <w:r>
              <w:rPr>
                <w:rFonts w:ascii="宋体" w:hAnsi="宋体" w:cs="宋体" w:eastAsia="宋体" w:hint="default"/>
                <w:sz w:val="18"/>
                <w:szCs w:val="18"/>
              </w:rPr>
              <w:t>称“上海长 伴”)</w:t>
            </w: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1178"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北京西玛永泰</w:t>
            </w:r>
          </w:p>
          <w:p>
            <w:pPr>
              <w:pStyle w:val="TableParagraph"/>
              <w:spacing w:line="237" w:lineRule="auto"/>
              <w:ind w:left="103" w:right="120"/>
              <w:jc w:val="left"/>
              <w:rPr>
                <w:rFonts w:ascii="宋体" w:hAnsi="宋体" w:cs="宋体" w:eastAsia="宋体" w:hint="default"/>
                <w:sz w:val="18"/>
                <w:szCs w:val="18"/>
              </w:rPr>
            </w:pPr>
            <w:r>
              <w:rPr>
                <w:rFonts w:ascii="宋体" w:hAnsi="宋体" w:cs="宋体" w:eastAsia="宋体" w:hint="default"/>
                <w:sz w:val="18"/>
                <w:szCs w:val="18"/>
              </w:rPr>
              <w:t>商用表单技术 有限公司</w:t>
            </w:r>
            <w:r>
              <w:rPr>
                <w:rFonts w:ascii="宋体" w:hAnsi="宋体" w:cs="宋体" w:eastAsia="宋体" w:hint="default"/>
                <w:sz w:val="18"/>
                <w:szCs w:val="18"/>
              </w:rPr>
              <w:t>(</w:t>
            </w:r>
            <w:r>
              <w:rPr>
                <w:rFonts w:ascii="宋体" w:hAnsi="宋体" w:cs="宋体" w:eastAsia="宋体" w:hint="default"/>
                <w:sz w:val="18"/>
                <w:szCs w:val="18"/>
              </w:rPr>
              <w:t>以 下简称“西玛 永泰”)</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4"/>
              <w:jc w:val="right"/>
              <w:rPr>
                <w:rFonts w:ascii="宋体" w:hAnsi="宋体" w:cs="宋体" w:eastAsia="宋体" w:hint="default"/>
                <w:sz w:val="18"/>
                <w:szCs w:val="18"/>
              </w:rPr>
            </w:pPr>
            <w:r>
              <w:rPr>
                <w:rFonts w:ascii="宋体"/>
                <w:sz w:val="18"/>
              </w:rPr>
              <w:t>397,181</w:t>
            </w:r>
          </w:p>
        </w:tc>
        <w:tc>
          <w:tcPr>
            <w:tcW w:w="1162"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0"/>
              <w:jc w:val="right"/>
              <w:rPr>
                <w:rFonts w:ascii="宋体" w:hAnsi="宋体" w:cs="宋体" w:eastAsia="宋体" w:hint="default"/>
                <w:sz w:val="18"/>
                <w:szCs w:val="18"/>
              </w:rPr>
            </w:pPr>
            <w:r>
              <w:rPr>
                <w:rFonts w:ascii="宋体"/>
                <w:sz w:val="18"/>
              </w:rPr>
              <w:t>-281</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4"/>
              <w:jc w:val="right"/>
              <w:rPr>
                <w:rFonts w:ascii="宋体" w:hAnsi="宋体" w:cs="宋体" w:eastAsia="宋体" w:hint="default"/>
                <w:sz w:val="18"/>
                <w:szCs w:val="18"/>
              </w:rPr>
            </w:pPr>
            <w:r>
              <w:rPr>
                <w:rFonts w:ascii="宋体"/>
                <w:sz w:val="18"/>
              </w:rPr>
              <w:t>396,900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1176"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优数征信（北</w:t>
            </w:r>
          </w:p>
          <w:p>
            <w:pPr>
              <w:pStyle w:val="TableParagraph"/>
              <w:spacing w:line="237" w:lineRule="auto"/>
              <w:ind w:left="103" w:right="120"/>
              <w:jc w:val="left"/>
              <w:rPr>
                <w:rFonts w:ascii="宋体" w:hAnsi="宋体" w:cs="宋体" w:eastAsia="宋体" w:hint="default"/>
                <w:sz w:val="18"/>
                <w:szCs w:val="18"/>
              </w:rPr>
            </w:pPr>
            <w:r>
              <w:rPr>
                <w:rFonts w:ascii="宋体" w:hAnsi="宋体" w:cs="宋体" w:eastAsia="宋体" w:hint="default"/>
                <w:sz w:val="18"/>
                <w:szCs w:val="18"/>
              </w:rPr>
              <w:t>京）有限公司 </w:t>
            </w:r>
            <w:r>
              <w:rPr>
                <w:rFonts w:ascii="宋体" w:hAnsi="宋体" w:cs="宋体" w:eastAsia="宋体" w:hint="default"/>
                <w:sz w:val="18"/>
                <w:szCs w:val="18"/>
              </w:rPr>
              <w:t>(</w:t>
            </w:r>
            <w:r>
              <w:rPr>
                <w:rFonts w:ascii="宋体" w:hAnsi="宋体" w:cs="宋体" w:eastAsia="宋体" w:hint="default"/>
                <w:sz w:val="18"/>
                <w:szCs w:val="18"/>
              </w:rPr>
              <w:t>以下简称 “优数征 信”)</w:t>
            </w: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300,000</w:t>
            </w: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4"/>
              <w:jc w:val="right"/>
              <w:rPr>
                <w:rFonts w:ascii="宋体" w:hAnsi="宋体" w:cs="宋体" w:eastAsia="宋体" w:hint="default"/>
                <w:sz w:val="18"/>
                <w:szCs w:val="18"/>
              </w:rPr>
            </w:pPr>
            <w:r>
              <w:rPr>
                <w:rFonts w:ascii="宋体"/>
                <w:sz w:val="18"/>
              </w:rPr>
              <w:t>300,000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随锐科技股份</w:t>
            </w:r>
          </w:p>
          <w:p>
            <w:pPr>
              <w:pStyle w:val="TableParagraph"/>
              <w:spacing w:line="232" w:lineRule="exact" w:before="23"/>
              <w:ind w:left="103" w:right="120"/>
              <w:jc w:val="left"/>
              <w:rPr>
                <w:rFonts w:ascii="宋体" w:hAnsi="宋体" w:cs="宋体" w:eastAsia="宋体" w:hint="default"/>
                <w:sz w:val="18"/>
                <w:szCs w:val="18"/>
              </w:rPr>
            </w:pPr>
            <w:r>
              <w:rPr>
                <w:rFonts w:ascii="宋体" w:hAnsi="宋体" w:cs="宋体" w:eastAsia="宋体" w:hint="default"/>
                <w:sz w:val="18"/>
                <w:szCs w:val="18"/>
              </w:rPr>
              <w:t>有限公司</w:t>
            </w:r>
            <w:r>
              <w:rPr>
                <w:rFonts w:ascii="宋体" w:hAnsi="宋体" w:cs="宋体" w:eastAsia="宋体" w:hint="default"/>
                <w:sz w:val="18"/>
                <w:szCs w:val="18"/>
              </w:rPr>
              <w:t>(</w:t>
            </w:r>
            <w:r>
              <w:rPr>
                <w:rFonts w:ascii="宋体" w:hAnsi="宋体" w:cs="宋体" w:eastAsia="宋体" w:hint="default"/>
                <w:sz w:val="18"/>
                <w:szCs w:val="18"/>
              </w:rPr>
              <w:t>以 下简称“随锐 科技”)</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3"/>
              <w:jc w:val="right"/>
              <w:rPr>
                <w:rFonts w:ascii="宋体" w:hAnsi="宋体" w:cs="宋体" w:eastAsia="宋体" w:hint="default"/>
                <w:sz w:val="18"/>
                <w:szCs w:val="18"/>
              </w:rPr>
            </w:pPr>
            <w:r>
              <w:rPr>
                <w:rFonts w:ascii="宋体"/>
                <w:spacing w:val="-1"/>
                <w:sz w:val="18"/>
              </w:rPr>
              <w:t>28,206,722</w:t>
            </w:r>
          </w:p>
        </w:tc>
        <w:tc>
          <w:tcPr>
            <w:tcW w:w="1162"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right="100"/>
              <w:jc w:val="right"/>
              <w:rPr>
                <w:rFonts w:ascii="宋体" w:hAnsi="宋体" w:cs="宋体" w:eastAsia="宋体" w:hint="default"/>
                <w:sz w:val="18"/>
                <w:szCs w:val="18"/>
              </w:rPr>
            </w:pPr>
            <w:r>
              <w:rPr>
                <w:rFonts w:ascii="宋体"/>
                <w:spacing w:val="-1"/>
                <w:sz w:val="18"/>
              </w:rPr>
              <w:t>2,096,48</w:t>
            </w:r>
          </w:p>
          <w:p>
            <w:pPr>
              <w:pStyle w:val="TableParagraph"/>
              <w:spacing w:line="234" w:lineRule="exact"/>
              <w:ind w:right="102"/>
              <w:jc w:val="right"/>
              <w:rPr>
                <w:rFonts w:ascii="宋体" w:hAnsi="宋体" w:cs="宋体" w:eastAsia="宋体" w:hint="default"/>
                <w:sz w:val="18"/>
                <w:szCs w:val="18"/>
              </w:rPr>
            </w:pPr>
            <w:r>
              <w:rPr>
                <w:rFonts w:ascii="宋体"/>
                <w:sz w:val="18"/>
              </w:rPr>
              <w:t>3</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right="100"/>
              <w:jc w:val="right"/>
              <w:rPr>
                <w:rFonts w:ascii="宋体" w:hAnsi="宋体" w:cs="宋体" w:eastAsia="宋体" w:hint="default"/>
                <w:sz w:val="18"/>
                <w:szCs w:val="18"/>
              </w:rPr>
            </w:pPr>
            <w:r>
              <w:rPr>
                <w:rFonts w:ascii="宋体"/>
                <w:spacing w:val="-1"/>
                <w:sz w:val="18"/>
              </w:rPr>
              <w:t>3,933,34</w:t>
            </w:r>
          </w:p>
          <w:p>
            <w:pPr>
              <w:pStyle w:val="TableParagraph"/>
              <w:spacing w:line="234" w:lineRule="exact"/>
              <w:ind w:right="102"/>
              <w:jc w:val="right"/>
              <w:rPr>
                <w:rFonts w:ascii="宋体" w:hAnsi="宋体" w:cs="宋体" w:eastAsia="宋体" w:hint="default"/>
                <w:sz w:val="18"/>
                <w:szCs w:val="18"/>
              </w:rPr>
            </w:pPr>
            <w:r>
              <w:rPr>
                <w:rFonts w:ascii="宋体"/>
                <w:sz w:val="18"/>
              </w:rPr>
              <w:t>2</w:t>
            </w: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3"/>
              <w:jc w:val="right"/>
              <w:rPr>
                <w:rFonts w:ascii="宋体" w:hAnsi="宋体" w:cs="宋体" w:eastAsia="宋体" w:hint="default"/>
                <w:sz w:val="18"/>
                <w:szCs w:val="18"/>
              </w:rPr>
            </w:pPr>
            <w:r>
              <w:rPr>
                <w:rFonts w:ascii="宋体"/>
                <w:spacing w:val="-1"/>
                <w:sz w:val="18"/>
              </w:rPr>
              <w:t>34,236,547</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1176"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易云捷讯科技</w:t>
            </w:r>
          </w:p>
          <w:p>
            <w:pPr>
              <w:pStyle w:val="TableParagraph"/>
              <w:spacing w:line="237" w:lineRule="auto"/>
              <w:ind w:left="103" w:right="120"/>
              <w:jc w:val="left"/>
              <w:rPr>
                <w:rFonts w:ascii="宋体" w:hAnsi="宋体" w:cs="宋体" w:eastAsia="宋体" w:hint="default"/>
                <w:sz w:val="18"/>
                <w:szCs w:val="18"/>
              </w:rPr>
            </w:pPr>
            <w:r>
              <w:rPr>
                <w:rFonts w:ascii="宋体" w:hAnsi="宋体" w:cs="宋体" w:eastAsia="宋体" w:hint="default"/>
                <w:sz w:val="18"/>
                <w:szCs w:val="18"/>
              </w:rPr>
              <w:t>（北京）有限 公司</w:t>
            </w:r>
            <w:r>
              <w:rPr>
                <w:rFonts w:ascii="宋体" w:hAnsi="宋体" w:cs="宋体" w:eastAsia="宋体" w:hint="default"/>
                <w:sz w:val="18"/>
                <w:szCs w:val="18"/>
              </w:rPr>
              <w:t>(</w:t>
            </w:r>
            <w:r>
              <w:rPr>
                <w:rFonts w:ascii="宋体" w:hAnsi="宋体" w:cs="宋体" w:eastAsia="宋体" w:hint="default"/>
                <w:sz w:val="18"/>
                <w:szCs w:val="18"/>
              </w:rPr>
              <w:t>以下简 称“易云股 份”)</w:t>
            </w: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12,617,775</w:t>
            </w: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-1,391,7</w:t>
            </w:r>
          </w:p>
          <w:p>
            <w:pPr>
              <w:pStyle w:val="TableParagraph"/>
              <w:spacing w:line="234" w:lineRule="exact"/>
              <w:ind w:right="98"/>
              <w:jc w:val="right"/>
              <w:rPr>
                <w:rFonts w:ascii="宋体" w:hAnsi="宋体" w:cs="宋体" w:eastAsia="宋体" w:hint="default"/>
                <w:sz w:val="18"/>
                <w:szCs w:val="18"/>
              </w:rPr>
            </w:pPr>
            <w:r>
              <w:rPr>
                <w:rFonts w:ascii="宋体"/>
                <w:sz w:val="18"/>
              </w:rPr>
              <w:t>53</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11,226,022</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1178"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1"/>
                <w:sz w:val="18"/>
                <w:szCs w:val="18"/>
              </w:rPr>
              <w:t>执行力（北京）</w:t>
            </w:r>
          </w:p>
          <w:p>
            <w:pPr>
              <w:pStyle w:val="TableParagraph"/>
              <w:spacing w:line="232" w:lineRule="exact" w:before="24"/>
              <w:ind w:left="103" w:right="120"/>
              <w:jc w:val="left"/>
              <w:rPr>
                <w:rFonts w:ascii="宋体" w:hAnsi="宋体" w:cs="宋体" w:eastAsia="宋体" w:hint="default"/>
                <w:sz w:val="18"/>
                <w:szCs w:val="18"/>
              </w:rPr>
            </w:pPr>
            <w:r>
              <w:rPr>
                <w:rFonts w:ascii="宋体" w:hAnsi="宋体" w:cs="宋体" w:eastAsia="宋体" w:hint="default"/>
                <w:sz w:val="18"/>
                <w:szCs w:val="18"/>
              </w:rPr>
              <w:t>网络科技有限 公司</w:t>
            </w:r>
            <w:r>
              <w:rPr>
                <w:rFonts w:ascii="宋体" w:hAnsi="宋体" w:cs="宋体" w:eastAsia="宋体" w:hint="default"/>
                <w:sz w:val="18"/>
                <w:szCs w:val="18"/>
              </w:rPr>
              <w:t>(</w:t>
            </w:r>
            <w:r>
              <w:rPr>
                <w:rFonts w:ascii="宋体" w:hAnsi="宋体" w:cs="宋体" w:eastAsia="宋体" w:hint="default"/>
                <w:sz w:val="18"/>
                <w:szCs w:val="18"/>
              </w:rPr>
              <w:t>以下简 称“执行力网 络”)</w:t>
            </w: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800,000</w:t>
            </w: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-56,489</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4"/>
              <w:jc w:val="right"/>
              <w:rPr>
                <w:rFonts w:ascii="宋体" w:hAnsi="宋体" w:cs="宋体" w:eastAsia="宋体" w:hint="default"/>
                <w:sz w:val="18"/>
                <w:szCs w:val="18"/>
              </w:rPr>
            </w:pPr>
            <w:r>
              <w:rPr>
                <w:rFonts w:ascii="宋体"/>
                <w:sz w:val="18"/>
              </w:rPr>
              <w:t>743,511</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1176"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北京众享比特</w:t>
            </w:r>
          </w:p>
          <w:p>
            <w:pPr>
              <w:pStyle w:val="TableParagraph"/>
              <w:spacing w:line="237" w:lineRule="auto" w:before="1"/>
              <w:ind w:left="103" w:right="120"/>
              <w:jc w:val="left"/>
              <w:rPr>
                <w:rFonts w:ascii="宋体" w:hAnsi="宋体" w:cs="宋体" w:eastAsia="宋体" w:hint="default"/>
                <w:sz w:val="18"/>
                <w:szCs w:val="18"/>
              </w:rPr>
            </w:pPr>
            <w:r>
              <w:rPr>
                <w:rFonts w:ascii="宋体" w:hAnsi="宋体" w:cs="宋体" w:eastAsia="宋体" w:hint="default"/>
                <w:sz w:val="18"/>
                <w:szCs w:val="18"/>
              </w:rPr>
              <w:t>科技有限公司 </w:t>
            </w:r>
            <w:r>
              <w:rPr>
                <w:rFonts w:ascii="宋体" w:hAnsi="宋体" w:cs="宋体" w:eastAsia="宋体" w:hint="default"/>
                <w:sz w:val="18"/>
                <w:szCs w:val="18"/>
              </w:rPr>
              <w:t>(</w:t>
            </w:r>
            <w:r>
              <w:rPr>
                <w:rFonts w:ascii="宋体" w:hAnsi="宋体" w:cs="宋体" w:eastAsia="宋体" w:hint="default"/>
                <w:sz w:val="18"/>
                <w:szCs w:val="18"/>
              </w:rPr>
              <w:t>以下简称 “众享比 特”)</w:t>
            </w: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18,500,000</w:t>
            </w: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-192,234</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18,307,766</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1178"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北京热茶电子</w:t>
            </w:r>
          </w:p>
          <w:p>
            <w:pPr>
              <w:pStyle w:val="TableParagraph"/>
              <w:spacing w:line="232" w:lineRule="exact" w:before="24"/>
              <w:ind w:left="103" w:right="120"/>
              <w:jc w:val="left"/>
              <w:rPr>
                <w:rFonts w:ascii="宋体" w:hAnsi="宋体" w:cs="宋体" w:eastAsia="宋体" w:hint="default"/>
                <w:sz w:val="18"/>
                <w:szCs w:val="18"/>
              </w:rPr>
            </w:pPr>
            <w:r>
              <w:rPr>
                <w:rFonts w:ascii="宋体" w:hAnsi="宋体" w:cs="宋体" w:eastAsia="宋体" w:hint="default"/>
                <w:sz w:val="18"/>
                <w:szCs w:val="18"/>
              </w:rPr>
              <w:t>商务有限公司 </w:t>
            </w:r>
            <w:r>
              <w:rPr>
                <w:rFonts w:ascii="宋体" w:hAnsi="宋体" w:cs="宋体" w:eastAsia="宋体" w:hint="default"/>
                <w:sz w:val="18"/>
                <w:szCs w:val="18"/>
              </w:rPr>
              <w:t>(</w:t>
            </w:r>
            <w:r>
              <w:rPr>
                <w:rFonts w:ascii="宋体" w:hAnsi="宋体" w:cs="宋体" w:eastAsia="宋体" w:hint="default"/>
                <w:sz w:val="18"/>
                <w:szCs w:val="18"/>
              </w:rPr>
              <w:t>以下简称 “热茶电 子”)</w:t>
            </w: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1,000,000</w:t>
            </w: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1,000,000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1409"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中驰车福联合</w:t>
            </w:r>
          </w:p>
          <w:p>
            <w:pPr>
              <w:pStyle w:val="TableParagraph"/>
              <w:spacing w:line="237" w:lineRule="auto"/>
              <w:ind w:left="103" w:right="120"/>
              <w:jc w:val="left"/>
              <w:rPr>
                <w:rFonts w:ascii="宋体" w:hAnsi="宋体" w:cs="宋体" w:eastAsia="宋体" w:hint="default"/>
                <w:sz w:val="18"/>
                <w:szCs w:val="18"/>
              </w:rPr>
            </w:pPr>
            <w:r>
              <w:rPr>
                <w:rFonts w:ascii="宋体" w:hAnsi="宋体" w:cs="宋体" w:eastAsia="宋体" w:hint="default"/>
                <w:sz w:val="18"/>
                <w:szCs w:val="18"/>
              </w:rPr>
              <w:t>电子商务（北 京）有限公司 </w:t>
            </w:r>
            <w:r>
              <w:rPr>
                <w:rFonts w:ascii="宋体" w:hAnsi="宋体" w:cs="宋体" w:eastAsia="宋体" w:hint="default"/>
                <w:sz w:val="18"/>
                <w:szCs w:val="18"/>
              </w:rPr>
              <w:t>(</w:t>
            </w:r>
            <w:r>
              <w:rPr>
                <w:rFonts w:ascii="宋体" w:hAnsi="宋体" w:cs="宋体" w:eastAsia="宋体" w:hint="default"/>
                <w:sz w:val="18"/>
                <w:szCs w:val="18"/>
              </w:rPr>
              <w:t>以下简称 “中驰车 福”)</w:t>
            </w: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4,312,200</w:t>
            </w: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82" w:right="0"/>
              <w:jc w:val="left"/>
              <w:rPr>
                <w:rFonts w:ascii="宋体" w:hAnsi="宋体" w:cs="宋体" w:eastAsia="宋体" w:hint="default"/>
                <w:sz w:val="18"/>
                <w:szCs w:val="18"/>
              </w:rPr>
            </w:pPr>
            <w:r>
              <w:rPr>
                <w:rFonts w:ascii="宋体"/>
                <w:sz w:val="18"/>
              </w:rPr>
              <w:t>-14,956,</w:t>
            </w:r>
          </w:p>
          <w:p>
            <w:pPr>
              <w:pStyle w:val="TableParagraph"/>
              <w:spacing w:line="234" w:lineRule="exact"/>
              <w:ind w:left="631" w:right="0"/>
              <w:jc w:val="left"/>
              <w:rPr>
                <w:rFonts w:ascii="宋体" w:hAnsi="宋体" w:cs="宋体" w:eastAsia="宋体" w:hint="default"/>
                <w:sz w:val="18"/>
                <w:szCs w:val="18"/>
              </w:rPr>
            </w:pPr>
            <w:r>
              <w:rPr>
                <w:rFonts w:ascii="宋体"/>
                <w:sz w:val="18"/>
              </w:rPr>
              <w:t>903</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13,755,2</w:t>
            </w:r>
          </w:p>
          <w:p>
            <w:pPr>
              <w:pStyle w:val="TableParagraph"/>
              <w:spacing w:line="234" w:lineRule="exact"/>
              <w:ind w:right="98"/>
              <w:jc w:val="right"/>
              <w:rPr>
                <w:rFonts w:ascii="宋体" w:hAnsi="宋体" w:cs="宋体" w:eastAsia="宋体" w:hint="default"/>
                <w:sz w:val="18"/>
                <w:szCs w:val="18"/>
              </w:rPr>
            </w:pPr>
            <w:r>
              <w:rPr>
                <w:rFonts w:ascii="宋体"/>
                <w:sz w:val="18"/>
              </w:rPr>
              <w:t>96</w:t>
            </w: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3,110,593</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1178"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北京传奇极客</w:t>
            </w:r>
          </w:p>
          <w:p>
            <w:pPr>
              <w:pStyle w:val="TableParagraph"/>
              <w:spacing w:line="237" w:lineRule="auto"/>
              <w:ind w:left="103" w:right="120"/>
              <w:jc w:val="left"/>
              <w:rPr>
                <w:rFonts w:ascii="宋体" w:hAnsi="宋体" w:cs="宋体" w:eastAsia="宋体" w:hint="default"/>
                <w:sz w:val="18"/>
                <w:szCs w:val="18"/>
              </w:rPr>
            </w:pPr>
            <w:r>
              <w:rPr>
                <w:rFonts w:ascii="宋体" w:hAnsi="宋体" w:cs="宋体" w:eastAsia="宋体" w:hint="default"/>
                <w:sz w:val="18"/>
                <w:szCs w:val="18"/>
              </w:rPr>
              <w:t>管理咨询有限 公司</w:t>
            </w:r>
            <w:r>
              <w:rPr>
                <w:rFonts w:ascii="宋体" w:hAnsi="宋体" w:cs="宋体" w:eastAsia="宋体" w:hint="default"/>
                <w:sz w:val="18"/>
                <w:szCs w:val="18"/>
              </w:rPr>
              <w:t>(</w:t>
            </w:r>
            <w:r>
              <w:rPr>
                <w:rFonts w:ascii="宋体" w:hAnsi="宋体" w:cs="宋体" w:eastAsia="宋体" w:hint="default"/>
                <w:sz w:val="18"/>
                <w:szCs w:val="18"/>
              </w:rPr>
              <w:t>以下简 称“传奇极 客”)</w:t>
            </w: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pacing w:val="-1"/>
                <w:sz w:val="18"/>
              </w:rPr>
              <w:t>6,762,500</w:t>
            </w: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0"/>
              <w:jc w:val="right"/>
              <w:rPr>
                <w:rFonts w:ascii="宋体" w:hAnsi="宋体" w:cs="宋体" w:eastAsia="宋体" w:hint="default"/>
                <w:sz w:val="18"/>
                <w:szCs w:val="18"/>
              </w:rPr>
            </w:pPr>
            <w:r>
              <w:rPr>
                <w:rFonts w:ascii="宋体"/>
                <w:spacing w:val="-1"/>
                <w:sz w:val="18"/>
              </w:rPr>
              <w:t>-3,052,9</w:t>
            </w:r>
          </w:p>
          <w:p>
            <w:pPr>
              <w:pStyle w:val="TableParagraph"/>
              <w:spacing w:line="234" w:lineRule="exact"/>
              <w:ind w:right="98"/>
              <w:jc w:val="right"/>
              <w:rPr>
                <w:rFonts w:ascii="宋体" w:hAnsi="宋体" w:cs="宋体" w:eastAsia="宋体" w:hint="default"/>
                <w:sz w:val="18"/>
                <w:szCs w:val="18"/>
              </w:rPr>
            </w:pPr>
            <w:r>
              <w:rPr>
                <w:rFonts w:ascii="宋体"/>
                <w:sz w:val="18"/>
              </w:rPr>
              <w:t>30</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0"/>
              <w:jc w:val="right"/>
              <w:rPr>
                <w:rFonts w:ascii="宋体" w:hAnsi="宋体" w:cs="宋体" w:eastAsia="宋体" w:hint="default"/>
                <w:sz w:val="18"/>
                <w:szCs w:val="18"/>
              </w:rPr>
            </w:pPr>
            <w:r>
              <w:rPr>
                <w:rFonts w:ascii="宋体"/>
                <w:spacing w:val="-1"/>
                <w:sz w:val="18"/>
              </w:rPr>
              <w:t>1,780,10</w:t>
            </w:r>
          </w:p>
          <w:p>
            <w:pPr>
              <w:pStyle w:val="TableParagraph"/>
              <w:spacing w:line="234" w:lineRule="exact"/>
              <w:ind w:right="102"/>
              <w:jc w:val="right"/>
              <w:rPr>
                <w:rFonts w:ascii="宋体" w:hAnsi="宋体" w:cs="宋体" w:eastAsia="宋体" w:hint="default"/>
                <w:sz w:val="18"/>
                <w:szCs w:val="18"/>
              </w:rPr>
            </w:pPr>
            <w:r>
              <w:rPr>
                <w:rFonts w:ascii="宋体"/>
                <w:sz w:val="18"/>
              </w:rPr>
              <w:t>1</w:t>
            </w: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3"/>
              <w:jc w:val="right"/>
              <w:rPr>
                <w:rFonts w:ascii="宋体" w:hAnsi="宋体" w:cs="宋体" w:eastAsia="宋体" w:hint="default"/>
                <w:sz w:val="18"/>
                <w:szCs w:val="18"/>
              </w:rPr>
            </w:pPr>
            <w:r>
              <w:rPr>
                <w:rFonts w:ascii="宋体"/>
                <w:spacing w:val="-1"/>
                <w:sz w:val="18"/>
              </w:rPr>
              <w:t>5,489,671</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1176"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深圳市华傲数</w:t>
            </w:r>
          </w:p>
          <w:p>
            <w:pPr>
              <w:pStyle w:val="TableParagraph"/>
              <w:spacing w:line="237" w:lineRule="auto"/>
              <w:ind w:left="103" w:right="120"/>
              <w:jc w:val="left"/>
              <w:rPr>
                <w:rFonts w:ascii="宋体" w:hAnsi="宋体" w:cs="宋体" w:eastAsia="宋体" w:hint="default"/>
                <w:sz w:val="18"/>
                <w:szCs w:val="18"/>
              </w:rPr>
            </w:pPr>
            <w:r>
              <w:rPr>
                <w:rFonts w:ascii="宋体" w:hAnsi="宋体" w:cs="宋体" w:eastAsia="宋体" w:hint="default"/>
                <w:sz w:val="18"/>
                <w:szCs w:val="18"/>
              </w:rPr>
              <w:t>据技术有限公 司</w:t>
            </w:r>
            <w:r>
              <w:rPr>
                <w:rFonts w:ascii="宋体" w:hAnsi="宋体" w:cs="宋体" w:eastAsia="宋体" w:hint="default"/>
                <w:sz w:val="18"/>
                <w:szCs w:val="18"/>
              </w:rPr>
              <w:t>(</w:t>
            </w:r>
            <w:r>
              <w:rPr>
                <w:rFonts w:ascii="宋体" w:hAnsi="宋体" w:cs="宋体" w:eastAsia="宋体" w:hint="default"/>
                <w:sz w:val="18"/>
                <w:szCs w:val="18"/>
              </w:rPr>
              <w:t>以下简称 “深圳华 傲”)</w:t>
            </w: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8,050,000</w:t>
            </w: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700,158</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8,750,158</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北京爱肌肤科</w:t>
            </w:r>
          </w:p>
          <w:p>
            <w:pPr>
              <w:pStyle w:val="TableParagraph"/>
              <w:spacing w:line="237" w:lineRule="auto" w:before="2"/>
              <w:ind w:left="103" w:right="210"/>
              <w:jc w:val="left"/>
              <w:rPr>
                <w:rFonts w:ascii="宋体" w:hAnsi="宋体" w:cs="宋体" w:eastAsia="宋体" w:hint="default"/>
                <w:sz w:val="18"/>
                <w:szCs w:val="18"/>
              </w:rPr>
            </w:pPr>
            <w:r>
              <w:rPr>
                <w:rFonts w:ascii="宋体" w:hAnsi="宋体" w:cs="宋体" w:eastAsia="宋体" w:hint="default"/>
                <w:sz w:val="18"/>
                <w:szCs w:val="18"/>
              </w:rPr>
              <w:t>技有限公司 </w:t>
            </w:r>
            <w:r>
              <w:rPr>
                <w:rFonts w:ascii="宋体" w:hAnsi="宋体" w:cs="宋体" w:eastAsia="宋体" w:hint="default"/>
                <w:sz w:val="18"/>
                <w:szCs w:val="18"/>
              </w:rPr>
              <w:t>(</w:t>
            </w:r>
            <w:r>
              <w:rPr>
                <w:rFonts w:ascii="宋体" w:hAnsi="宋体" w:cs="宋体" w:eastAsia="宋体" w:hint="default"/>
                <w:sz w:val="18"/>
                <w:szCs w:val="18"/>
              </w:rPr>
              <w:t>以下简称 “爱肌肤”)</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2,565,082</w:t>
            </w:r>
          </w:p>
        </w:tc>
        <w:tc>
          <w:tcPr>
            <w:tcW w:w="1162"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2,565,0</w:t>
            </w:r>
          </w:p>
          <w:p>
            <w:pPr>
              <w:pStyle w:val="TableParagraph"/>
              <w:spacing w:line="240" w:lineRule="auto"/>
              <w:ind w:right="99"/>
              <w:jc w:val="right"/>
              <w:rPr>
                <w:rFonts w:ascii="宋体" w:hAnsi="宋体" w:cs="宋体" w:eastAsia="宋体" w:hint="default"/>
                <w:sz w:val="18"/>
                <w:szCs w:val="18"/>
              </w:rPr>
            </w:pPr>
            <w:r>
              <w:rPr>
                <w:rFonts w:ascii="宋体"/>
                <w:sz w:val="18"/>
              </w:rPr>
              <w:t>82</w:t>
            </w: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z w:val="18"/>
              </w:rPr>
              <w:t>2,565,0</w:t>
            </w:r>
          </w:p>
          <w:p>
            <w:pPr>
              <w:pStyle w:val="TableParagraph"/>
              <w:spacing w:line="240" w:lineRule="auto"/>
              <w:ind w:right="101"/>
              <w:jc w:val="right"/>
              <w:rPr>
                <w:rFonts w:ascii="宋体" w:hAnsi="宋体" w:cs="宋体" w:eastAsia="宋体" w:hint="default"/>
                <w:sz w:val="18"/>
                <w:szCs w:val="18"/>
              </w:rPr>
            </w:pPr>
            <w:r>
              <w:rPr>
                <w:rFonts w:ascii="宋体"/>
                <w:sz w:val="18"/>
              </w:rPr>
              <w:t>82</w:t>
            </w:r>
          </w:p>
        </w:tc>
      </w:tr>
      <w:tr>
        <w:trPr>
          <w:trHeight w:val="242"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北京慧友云商</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11,048,815</w:t>
            </w:r>
          </w:p>
        </w:tc>
        <w:tc>
          <w:tcPr>
            <w:tcW w:w="1162"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-361,391</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10,687,424</w:t>
            </w:r>
          </w:p>
        </w:tc>
        <w:tc>
          <w:tcPr>
            <w:tcW w:w="87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7" w:footer="1195" w:top="1320" w:bottom="1380" w:left="160" w:right="40"/>
        </w:sectPr>
      </w:pPr>
    </w:p>
    <w:p>
      <w:pPr>
        <w:spacing w:line="240" w:lineRule="auto" w:before="6"/>
        <w:rPr>
          <w:rFonts w:ascii="Times New Roman" w:hAnsi="Times New Roman" w:cs="Times New Roman" w:eastAsia="Times New Roman" w:hint="default"/>
          <w:sz w:val="16"/>
          <w:szCs w:val="16"/>
        </w:rPr>
      </w:pPr>
    </w:p>
    <w:tbl>
      <w:tblPr>
        <w:tblW w:w="0" w:type="auto"/>
        <w:jc w:val="left"/>
        <w:tblInd w:w="101" w:type="dxa"/>
        <w:tblLayout w:type="fixed"/>
        <w:tblCellMar>
          <w:top w:w="0" w:type="dxa"/>
          <w:left w:w="0" w:type="dxa"/>
          <w:bottom w:w="0" w:type="dxa"/>
          <w:right w:w="0" w:type="dxa"/>
        </w:tblCellMar>
        <w:tblLook w:val="01E0"/>
      </w:tblPr>
      <w:tblGrid>
        <w:gridCol w:w="1316"/>
        <w:gridCol w:w="1164"/>
        <w:gridCol w:w="1162"/>
        <w:gridCol w:w="866"/>
        <w:gridCol w:w="1015"/>
        <w:gridCol w:w="584"/>
        <w:gridCol w:w="1018"/>
        <w:gridCol w:w="874"/>
        <w:gridCol w:w="874"/>
        <w:gridCol w:w="434"/>
        <w:gridCol w:w="1310"/>
        <w:gridCol w:w="872"/>
      </w:tblGrid>
      <w:tr>
        <w:trPr>
          <w:trHeight w:val="946"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科技有限公司</w:t>
            </w:r>
          </w:p>
          <w:p>
            <w:pPr>
              <w:pStyle w:val="TableParagraph"/>
              <w:spacing w:line="232" w:lineRule="exact" w:before="23"/>
              <w:ind w:left="103" w:right="389"/>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以下简称 “慧友云 商”)</w:t>
            </w: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1176"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西安融科通信</w:t>
            </w:r>
          </w:p>
          <w:p>
            <w:pPr>
              <w:pStyle w:val="TableParagraph"/>
              <w:spacing w:line="237" w:lineRule="auto"/>
              <w:ind w:left="103" w:right="120"/>
              <w:jc w:val="left"/>
              <w:rPr>
                <w:rFonts w:ascii="宋体" w:hAnsi="宋体" w:cs="宋体" w:eastAsia="宋体" w:hint="default"/>
                <w:sz w:val="18"/>
                <w:szCs w:val="18"/>
              </w:rPr>
            </w:pPr>
            <w:r>
              <w:rPr>
                <w:rFonts w:ascii="宋体" w:hAnsi="宋体" w:cs="宋体" w:eastAsia="宋体" w:hint="default"/>
                <w:sz w:val="18"/>
                <w:szCs w:val="18"/>
              </w:rPr>
              <w:t>技术有限公司 </w:t>
            </w:r>
            <w:r>
              <w:rPr>
                <w:rFonts w:ascii="宋体" w:hAnsi="宋体" w:cs="宋体" w:eastAsia="宋体" w:hint="default"/>
                <w:sz w:val="18"/>
                <w:szCs w:val="18"/>
              </w:rPr>
              <w:t>(</w:t>
            </w:r>
            <w:r>
              <w:rPr>
                <w:rFonts w:ascii="宋体" w:hAnsi="宋体" w:cs="宋体" w:eastAsia="宋体" w:hint="default"/>
                <w:sz w:val="18"/>
                <w:szCs w:val="18"/>
              </w:rPr>
              <w:t>以下简称 “西安融 科”)</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5,022,030</w:t>
            </w:r>
          </w:p>
        </w:tc>
        <w:tc>
          <w:tcPr>
            <w:tcW w:w="1162"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z w:val="18"/>
              </w:rPr>
              <w:t>5,022,0</w:t>
            </w:r>
          </w:p>
          <w:p>
            <w:pPr>
              <w:pStyle w:val="TableParagraph"/>
              <w:spacing w:line="234" w:lineRule="exact"/>
              <w:ind w:right="98"/>
              <w:jc w:val="right"/>
              <w:rPr>
                <w:rFonts w:ascii="宋体" w:hAnsi="宋体" w:cs="宋体" w:eastAsia="宋体" w:hint="default"/>
                <w:sz w:val="18"/>
                <w:szCs w:val="18"/>
              </w:rPr>
            </w:pPr>
            <w:r>
              <w:rPr>
                <w:rFonts w:ascii="宋体"/>
                <w:sz w:val="18"/>
              </w:rPr>
              <w:t>30</w:t>
            </w:r>
          </w:p>
        </w:tc>
        <w:tc>
          <w:tcPr>
            <w:tcW w:w="1015"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1178"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北京珊瑚灵御</w:t>
            </w:r>
          </w:p>
          <w:p>
            <w:pPr>
              <w:pStyle w:val="TableParagraph"/>
              <w:spacing w:line="232" w:lineRule="exact" w:before="24"/>
              <w:ind w:left="103" w:right="120"/>
              <w:jc w:val="left"/>
              <w:rPr>
                <w:rFonts w:ascii="宋体" w:hAnsi="宋体" w:cs="宋体" w:eastAsia="宋体" w:hint="default"/>
                <w:sz w:val="18"/>
                <w:szCs w:val="18"/>
              </w:rPr>
            </w:pPr>
            <w:r>
              <w:rPr>
                <w:rFonts w:ascii="宋体" w:hAnsi="宋体" w:cs="宋体" w:eastAsia="宋体" w:hint="default"/>
                <w:sz w:val="18"/>
                <w:szCs w:val="18"/>
              </w:rPr>
              <w:t>科技有限公司 </w:t>
            </w:r>
            <w:r>
              <w:rPr>
                <w:rFonts w:ascii="宋体" w:hAnsi="宋体" w:cs="宋体" w:eastAsia="宋体" w:hint="default"/>
                <w:sz w:val="18"/>
                <w:szCs w:val="18"/>
              </w:rPr>
              <w:t>(</w:t>
            </w:r>
            <w:r>
              <w:rPr>
                <w:rFonts w:ascii="宋体" w:hAnsi="宋体" w:cs="宋体" w:eastAsia="宋体" w:hint="default"/>
                <w:sz w:val="18"/>
                <w:szCs w:val="18"/>
              </w:rPr>
              <w:t>以下简称 “珊瑚灵 御”)</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9,206,055</w:t>
            </w:r>
          </w:p>
        </w:tc>
        <w:tc>
          <w:tcPr>
            <w:tcW w:w="1162"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-1,091,7</w:t>
            </w:r>
          </w:p>
          <w:p>
            <w:pPr>
              <w:pStyle w:val="TableParagraph"/>
              <w:spacing w:line="240" w:lineRule="auto"/>
              <w:ind w:right="98"/>
              <w:jc w:val="right"/>
              <w:rPr>
                <w:rFonts w:ascii="宋体" w:hAnsi="宋体" w:cs="宋体" w:eastAsia="宋体" w:hint="default"/>
                <w:sz w:val="18"/>
                <w:szCs w:val="18"/>
              </w:rPr>
            </w:pPr>
            <w:r>
              <w:rPr>
                <w:rFonts w:ascii="宋体"/>
                <w:sz w:val="18"/>
              </w:rPr>
              <w:t>42</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1,908,90</w:t>
            </w:r>
          </w:p>
          <w:p>
            <w:pPr>
              <w:pStyle w:val="TableParagraph"/>
              <w:spacing w:line="240" w:lineRule="auto"/>
              <w:ind w:right="102"/>
              <w:jc w:val="right"/>
              <w:rPr>
                <w:rFonts w:ascii="宋体" w:hAnsi="宋体" w:cs="宋体" w:eastAsia="宋体" w:hint="default"/>
                <w:sz w:val="18"/>
                <w:szCs w:val="18"/>
              </w:rPr>
            </w:pPr>
            <w:r>
              <w:rPr>
                <w:rFonts w:ascii="宋体"/>
                <w:sz w:val="18"/>
              </w:rPr>
              <w:t>2</w:t>
            </w: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10,023,215</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1177"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北京易特创思</w:t>
            </w:r>
          </w:p>
          <w:p>
            <w:pPr>
              <w:pStyle w:val="TableParagraph"/>
              <w:spacing w:line="237" w:lineRule="auto"/>
              <w:ind w:left="103" w:right="120"/>
              <w:jc w:val="left"/>
              <w:rPr>
                <w:rFonts w:ascii="宋体" w:hAnsi="宋体" w:cs="宋体" w:eastAsia="宋体" w:hint="default"/>
                <w:sz w:val="18"/>
                <w:szCs w:val="18"/>
              </w:rPr>
            </w:pPr>
            <w:r>
              <w:rPr>
                <w:rFonts w:ascii="宋体" w:hAnsi="宋体" w:cs="宋体" w:eastAsia="宋体" w:hint="default"/>
                <w:sz w:val="18"/>
                <w:szCs w:val="18"/>
              </w:rPr>
              <w:t>科技有限公司 </w:t>
            </w:r>
            <w:r>
              <w:rPr>
                <w:rFonts w:ascii="宋体" w:hAnsi="宋体" w:cs="宋体" w:eastAsia="宋体" w:hint="default"/>
                <w:sz w:val="18"/>
                <w:szCs w:val="18"/>
              </w:rPr>
              <w:t>(</w:t>
            </w:r>
            <w:r>
              <w:rPr>
                <w:rFonts w:ascii="宋体" w:hAnsi="宋体" w:cs="宋体" w:eastAsia="宋体" w:hint="default"/>
                <w:sz w:val="18"/>
                <w:szCs w:val="18"/>
              </w:rPr>
              <w:t>以下简称 “易特创 思”)</w:t>
            </w: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45" w:right="0"/>
              <w:jc w:val="center"/>
              <w:rPr>
                <w:rFonts w:ascii="宋体" w:hAnsi="宋体" w:cs="宋体" w:eastAsia="宋体" w:hint="default"/>
                <w:sz w:val="18"/>
                <w:szCs w:val="18"/>
              </w:rPr>
            </w:pPr>
            <w:r>
              <w:rPr>
                <w:rFonts w:ascii="宋体"/>
                <w:sz w:val="18"/>
              </w:rPr>
              <w:t>10,000,000</w:t>
            </w: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2"/>
              <w:jc w:val="right"/>
              <w:rPr>
                <w:rFonts w:ascii="宋体" w:hAnsi="宋体" w:cs="宋体" w:eastAsia="宋体" w:hint="default"/>
                <w:sz w:val="18"/>
                <w:szCs w:val="18"/>
              </w:rPr>
            </w:pPr>
            <w:r>
              <w:rPr>
                <w:rFonts w:ascii="宋体"/>
                <w:sz w:val="18"/>
              </w:rPr>
              <w:t>-</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3"/>
              <w:jc w:val="right"/>
              <w:rPr>
                <w:rFonts w:ascii="宋体" w:hAnsi="宋体" w:cs="宋体" w:eastAsia="宋体" w:hint="default"/>
                <w:sz w:val="18"/>
                <w:szCs w:val="18"/>
              </w:rPr>
            </w:pPr>
            <w:r>
              <w:rPr>
                <w:rFonts w:ascii="宋体"/>
                <w:spacing w:val="-1"/>
                <w:sz w:val="18"/>
              </w:rPr>
              <w:t>10,000,000</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YUNANO</w:t>
            </w:r>
            <w:r>
              <w:rPr>
                <w:rFonts w:ascii="宋体" w:hAnsi="宋体" w:cs="宋体" w:eastAsia="宋体" w:hint="default"/>
                <w:sz w:val="18"/>
                <w:szCs w:val="18"/>
              </w:rPr>
              <w:t>（以下</w:t>
            </w:r>
          </w:p>
          <w:p>
            <w:pPr>
              <w:pStyle w:val="TableParagraph"/>
              <w:spacing w:line="232" w:lineRule="exact" w:before="24"/>
              <w:ind w:left="103" w:right="300"/>
              <w:jc w:val="left"/>
              <w:rPr>
                <w:rFonts w:ascii="宋体" w:hAnsi="宋体" w:cs="宋体" w:eastAsia="宋体" w:hint="default"/>
                <w:sz w:val="18"/>
                <w:szCs w:val="18"/>
              </w:rPr>
            </w:pPr>
            <w:r>
              <w:rPr>
                <w:rFonts w:ascii="宋体" w:hAnsi="宋体" w:cs="宋体" w:eastAsia="宋体" w:hint="default"/>
                <w:sz w:val="18"/>
                <w:szCs w:val="18"/>
              </w:rPr>
              <w:t>简称用友云 安）（注）</w:t>
            </w: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1178"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北京必胜课教</w:t>
            </w:r>
          </w:p>
          <w:p>
            <w:pPr>
              <w:pStyle w:val="TableParagraph"/>
              <w:spacing w:line="232" w:lineRule="exact" w:before="24"/>
              <w:ind w:left="103" w:right="120"/>
              <w:jc w:val="left"/>
              <w:rPr>
                <w:rFonts w:ascii="宋体" w:hAnsi="宋体" w:cs="宋体" w:eastAsia="宋体" w:hint="default"/>
                <w:sz w:val="18"/>
                <w:szCs w:val="18"/>
              </w:rPr>
            </w:pPr>
            <w:r>
              <w:rPr>
                <w:rFonts w:ascii="宋体" w:hAnsi="宋体" w:cs="宋体" w:eastAsia="宋体" w:hint="default"/>
                <w:sz w:val="18"/>
                <w:szCs w:val="18"/>
              </w:rPr>
              <w:t>育科技有限公 司</w:t>
            </w:r>
            <w:r>
              <w:rPr>
                <w:rFonts w:ascii="宋体" w:hAnsi="宋体" w:cs="宋体" w:eastAsia="宋体" w:hint="default"/>
                <w:sz w:val="18"/>
                <w:szCs w:val="18"/>
              </w:rPr>
              <w:t>(</w:t>
            </w:r>
            <w:r>
              <w:rPr>
                <w:rFonts w:ascii="宋体" w:hAnsi="宋体" w:cs="宋体" w:eastAsia="宋体" w:hint="default"/>
                <w:sz w:val="18"/>
                <w:szCs w:val="18"/>
              </w:rPr>
              <w:t>以下简称 “必胜课教 育”)</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1,466,556</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34" w:right="0"/>
              <w:jc w:val="center"/>
              <w:rPr>
                <w:rFonts w:ascii="宋体" w:hAnsi="宋体" w:cs="宋体" w:eastAsia="宋体" w:hint="default"/>
                <w:sz w:val="18"/>
                <w:szCs w:val="18"/>
              </w:rPr>
            </w:pPr>
            <w:r>
              <w:rPr>
                <w:rFonts w:ascii="宋体"/>
                <w:sz w:val="18"/>
              </w:rPr>
              <w:t>1,500,000</w:t>
            </w: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8,771</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2,975,327</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1176"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北京智启蓝墨</w:t>
            </w:r>
          </w:p>
          <w:p>
            <w:pPr>
              <w:pStyle w:val="TableParagraph"/>
              <w:spacing w:line="237" w:lineRule="auto" w:before="1"/>
              <w:ind w:left="103" w:right="120"/>
              <w:jc w:val="left"/>
              <w:rPr>
                <w:rFonts w:ascii="宋体" w:hAnsi="宋体" w:cs="宋体" w:eastAsia="宋体" w:hint="default"/>
                <w:sz w:val="18"/>
                <w:szCs w:val="18"/>
              </w:rPr>
            </w:pPr>
            <w:r>
              <w:rPr>
                <w:rFonts w:ascii="宋体" w:hAnsi="宋体" w:cs="宋体" w:eastAsia="宋体" w:hint="default"/>
                <w:sz w:val="18"/>
                <w:szCs w:val="18"/>
              </w:rPr>
              <w:t>信息技术有限 公司</w:t>
            </w:r>
            <w:r>
              <w:rPr>
                <w:rFonts w:ascii="宋体" w:hAnsi="宋体" w:cs="宋体" w:eastAsia="宋体" w:hint="default"/>
                <w:sz w:val="18"/>
                <w:szCs w:val="18"/>
              </w:rPr>
              <w:t>(</w:t>
            </w:r>
            <w:r>
              <w:rPr>
                <w:rFonts w:ascii="宋体" w:hAnsi="宋体" w:cs="宋体" w:eastAsia="宋体" w:hint="default"/>
                <w:sz w:val="18"/>
                <w:szCs w:val="18"/>
              </w:rPr>
              <w:t>以下简 称“智启蓝 墨”)</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9,759,249</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34" w:right="0"/>
              <w:jc w:val="center"/>
              <w:rPr>
                <w:rFonts w:ascii="宋体" w:hAnsi="宋体" w:cs="宋体" w:eastAsia="宋体" w:hint="default"/>
                <w:sz w:val="18"/>
                <w:szCs w:val="18"/>
              </w:rPr>
            </w:pPr>
            <w:r>
              <w:rPr>
                <w:rFonts w:ascii="宋体"/>
                <w:sz w:val="18"/>
              </w:rPr>
              <w:t>7,200,000</w:t>
            </w: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-1,076,7</w:t>
            </w:r>
          </w:p>
          <w:p>
            <w:pPr>
              <w:pStyle w:val="TableParagraph"/>
              <w:spacing w:line="234" w:lineRule="exact"/>
              <w:ind w:right="98"/>
              <w:jc w:val="right"/>
              <w:rPr>
                <w:rFonts w:ascii="宋体" w:hAnsi="宋体" w:cs="宋体" w:eastAsia="宋体" w:hint="default"/>
                <w:sz w:val="18"/>
                <w:szCs w:val="18"/>
              </w:rPr>
            </w:pPr>
            <w:r>
              <w:rPr>
                <w:rFonts w:ascii="宋体"/>
                <w:sz w:val="18"/>
              </w:rPr>
              <w:t>75</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15,882,474</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1178"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北京智联友道</w:t>
            </w:r>
          </w:p>
          <w:p>
            <w:pPr>
              <w:pStyle w:val="TableParagraph"/>
              <w:spacing w:line="232" w:lineRule="exact" w:before="24"/>
              <w:ind w:left="103" w:right="120"/>
              <w:jc w:val="left"/>
              <w:rPr>
                <w:rFonts w:ascii="宋体" w:hAnsi="宋体" w:cs="宋体" w:eastAsia="宋体" w:hint="default"/>
                <w:sz w:val="18"/>
                <w:szCs w:val="18"/>
              </w:rPr>
            </w:pPr>
            <w:r>
              <w:rPr>
                <w:rFonts w:ascii="宋体" w:hAnsi="宋体" w:cs="宋体" w:eastAsia="宋体" w:hint="default"/>
                <w:sz w:val="18"/>
                <w:szCs w:val="18"/>
              </w:rPr>
              <w:t>科技有限公司 </w:t>
            </w:r>
            <w:r>
              <w:rPr>
                <w:rFonts w:ascii="宋体" w:hAnsi="宋体" w:cs="宋体" w:eastAsia="宋体" w:hint="default"/>
                <w:sz w:val="18"/>
                <w:szCs w:val="18"/>
              </w:rPr>
              <w:t>(</w:t>
            </w:r>
            <w:r>
              <w:rPr>
                <w:rFonts w:ascii="宋体" w:hAnsi="宋体" w:cs="宋体" w:eastAsia="宋体" w:hint="default"/>
                <w:sz w:val="18"/>
                <w:szCs w:val="18"/>
              </w:rPr>
              <w:t>以下简称 “智联友 道”)</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2,077,693</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34" w:right="0"/>
              <w:jc w:val="center"/>
              <w:rPr>
                <w:rFonts w:ascii="宋体" w:hAnsi="宋体" w:cs="宋体" w:eastAsia="宋体" w:hint="default"/>
                <w:sz w:val="18"/>
                <w:szCs w:val="18"/>
              </w:rPr>
            </w:pPr>
            <w:r>
              <w:rPr>
                <w:rFonts w:ascii="宋体"/>
                <w:sz w:val="18"/>
              </w:rPr>
              <w:t>2,000,000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2" w:right="0"/>
              <w:jc w:val="left"/>
              <w:rPr>
                <w:rFonts w:ascii="宋体" w:hAnsi="宋体" w:cs="宋体" w:eastAsia="宋体" w:hint="default"/>
                <w:sz w:val="18"/>
                <w:szCs w:val="18"/>
              </w:rPr>
            </w:pPr>
            <w:r>
              <w:rPr>
                <w:rFonts w:ascii="宋体"/>
                <w:sz w:val="18"/>
              </w:rPr>
              <w:t>973,721</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3,680,35</w:t>
            </w:r>
          </w:p>
          <w:p>
            <w:pPr>
              <w:pStyle w:val="TableParagraph"/>
              <w:spacing w:line="240" w:lineRule="auto"/>
              <w:ind w:right="102"/>
              <w:jc w:val="right"/>
              <w:rPr>
                <w:rFonts w:ascii="宋体" w:hAnsi="宋体" w:cs="宋体" w:eastAsia="宋体" w:hint="default"/>
                <w:sz w:val="18"/>
                <w:szCs w:val="18"/>
              </w:rPr>
            </w:pPr>
            <w:r>
              <w:rPr>
                <w:rFonts w:ascii="宋体"/>
                <w:sz w:val="18"/>
              </w:rPr>
              <w:t>4</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6,784,326</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1177"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北京同联信息</w:t>
            </w:r>
          </w:p>
          <w:p>
            <w:pPr>
              <w:pStyle w:val="TableParagraph"/>
              <w:spacing w:line="237" w:lineRule="auto"/>
              <w:ind w:left="103" w:right="120"/>
              <w:jc w:val="left"/>
              <w:rPr>
                <w:rFonts w:ascii="宋体" w:hAnsi="宋体" w:cs="宋体" w:eastAsia="宋体" w:hint="default"/>
                <w:sz w:val="18"/>
                <w:szCs w:val="18"/>
              </w:rPr>
            </w:pPr>
            <w:r>
              <w:rPr>
                <w:rFonts w:ascii="宋体" w:hAnsi="宋体" w:cs="宋体" w:eastAsia="宋体" w:hint="default"/>
                <w:sz w:val="18"/>
                <w:szCs w:val="18"/>
              </w:rPr>
              <w:t>技术有限公司 </w:t>
            </w:r>
            <w:r>
              <w:rPr>
                <w:rFonts w:ascii="宋体" w:hAnsi="宋体" w:cs="宋体" w:eastAsia="宋体" w:hint="default"/>
                <w:sz w:val="18"/>
                <w:szCs w:val="18"/>
              </w:rPr>
              <w:t>(</w:t>
            </w:r>
            <w:r>
              <w:rPr>
                <w:rFonts w:ascii="宋体" w:hAnsi="宋体" w:cs="宋体" w:eastAsia="宋体" w:hint="default"/>
                <w:sz w:val="18"/>
                <w:szCs w:val="18"/>
              </w:rPr>
              <w:t>以下简称 “北京同 联”)</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3,455,216</w:t>
            </w:r>
          </w:p>
        </w:tc>
        <w:tc>
          <w:tcPr>
            <w:tcW w:w="1162"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-35,562</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3,419,654</w:t>
            </w: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1316"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475"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3"/>
              <w:jc w:val="right"/>
              <w:rPr>
                <w:rFonts w:ascii="宋体" w:hAnsi="宋体" w:cs="宋体" w:eastAsia="宋体" w:hint="default"/>
                <w:sz w:val="18"/>
                <w:szCs w:val="18"/>
              </w:rPr>
            </w:pPr>
            <w:r>
              <w:rPr>
                <w:rFonts w:ascii="宋体"/>
                <w:spacing w:val="-1"/>
                <w:sz w:val="18"/>
              </w:rPr>
              <w:t>200,331,88</w:t>
            </w:r>
          </w:p>
          <w:p>
            <w:pPr>
              <w:pStyle w:val="TableParagraph"/>
              <w:spacing w:line="234" w:lineRule="exact"/>
              <w:ind w:right="104"/>
              <w:jc w:val="right"/>
              <w:rPr>
                <w:rFonts w:ascii="宋体" w:hAnsi="宋体" w:cs="宋体" w:eastAsia="宋体" w:hint="default"/>
                <w:sz w:val="18"/>
                <w:szCs w:val="18"/>
              </w:rPr>
            </w:pPr>
            <w:r>
              <w:rPr>
                <w:rFonts w:ascii="宋体"/>
                <w:sz w:val="18"/>
              </w:rPr>
              <w:t>8</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1"/>
              <w:jc w:val="right"/>
              <w:rPr>
                <w:rFonts w:ascii="宋体" w:hAnsi="宋体" w:cs="宋体" w:eastAsia="宋体" w:hint="default"/>
                <w:sz w:val="18"/>
                <w:szCs w:val="18"/>
              </w:rPr>
            </w:pPr>
            <w:r>
              <w:rPr>
                <w:rFonts w:ascii="宋体"/>
                <w:spacing w:val="-1"/>
                <w:sz w:val="18"/>
              </w:rPr>
              <w:t>1,443,273,</w:t>
            </w:r>
          </w:p>
          <w:p>
            <w:pPr>
              <w:pStyle w:val="TableParagraph"/>
              <w:spacing w:line="234" w:lineRule="exact"/>
              <w:ind w:right="99"/>
              <w:jc w:val="right"/>
              <w:rPr>
                <w:rFonts w:ascii="宋体" w:hAnsi="宋体" w:cs="宋体" w:eastAsia="宋体" w:hint="default"/>
                <w:sz w:val="18"/>
                <w:szCs w:val="18"/>
              </w:rPr>
            </w:pPr>
            <w:r>
              <w:rPr>
                <w:rFonts w:ascii="宋体"/>
                <w:sz w:val="18"/>
              </w:rPr>
              <w:t>218</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z w:val="18"/>
              </w:rPr>
              <w:t>5,995,7</w:t>
            </w:r>
          </w:p>
          <w:p>
            <w:pPr>
              <w:pStyle w:val="TableParagraph"/>
              <w:spacing w:line="234" w:lineRule="exact"/>
              <w:ind w:right="98"/>
              <w:jc w:val="right"/>
              <w:rPr>
                <w:rFonts w:ascii="宋体" w:hAnsi="宋体" w:cs="宋体" w:eastAsia="宋体" w:hint="default"/>
                <w:sz w:val="18"/>
                <w:szCs w:val="18"/>
              </w:rPr>
            </w:pPr>
            <w:r>
              <w:rPr>
                <w:rFonts w:ascii="宋体"/>
                <w:sz w:val="18"/>
              </w:rPr>
              <w:t>51</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82" w:right="0"/>
              <w:jc w:val="left"/>
              <w:rPr>
                <w:rFonts w:ascii="宋体" w:hAnsi="宋体" w:cs="宋体" w:eastAsia="宋体" w:hint="default"/>
                <w:sz w:val="18"/>
                <w:szCs w:val="18"/>
              </w:rPr>
            </w:pPr>
            <w:r>
              <w:rPr>
                <w:rFonts w:ascii="宋体"/>
                <w:sz w:val="18"/>
              </w:rPr>
              <w:t>-14,396,</w:t>
            </w:r>
          </w:p>
          <w:p>
            <w:pPr>
              <w:pStyle w:val="TableParagraph"/>
              <w:spacing w:line="234" w:lineRule="exact"/>
              <w:ind w:left="631" w:right="0"/>
              <w:jc w:val="left"/>
              <w:rPr>
                <w:rFonts w:ascii="宋体" w:hAnsi="宋体" w:cs="宋体" w:eastAsia="宋体" w:hint="default"/>
                <w:sz w:val="18"/>
                <w:szCs w:val="18"/>
              </w:rPr>
            </w:pPr>
            <w:r>
              <w:rPr>
                <w:rFonts w:ascii="宋体"/>
                <w:sz w:val="18"/>
              </w:rPr>
              <w:t>727</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21,431,7</w:t>
            </w:r>
          </w:p>
          <w:p>
            <w:pPr>
              <w:pStyle w:val="TableParagraph"/>
              <w:spacing w:line="234" w:lineRule="exact"/>
              <w:ind w:right="98"/>
              <w:jc w:val="right"/>
              <w:rPr>
                <w:rFonts w:ascii="宋体" w:hAnsi="宋体" w:cs="宋体" w:eastAsia="宋体" w:hint="default"/>
                <w:sz w:val="18"/>
                <w:szCs w:val="18"/>
              </w:rPr>
            </w:pPr>
            <w:r>
              <w:rPr>
                <w:rFonts w:ascii="宋体"/>
                <w:sz w:val="18"/>
              </w:rPr>
              <w:t>46</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z w:val="18"/>
              </w:rPr>
              <w:t>-313,63</w:t>
            </w:r>
          </w:p>
          <w:p>
            <w:pPr>
              <w:pStyle w:val="TableParagraph"/>
              <w:spacing w:line="234" w:lineRule="exact"/>
              <w:ind w:right="102"/>
              <w:jc w:val="right"/>
              <w:rPr>
                <w:rFonts w:ascii="宋体" w:hAnsi="宋体" w:cs="宋体" w:eastAsia="宋体" w:hint="default"/>
                <w:sz w:val="18"/>
                <w:szCs w:val="18"/>
              </w:rPr>
            </w:pPr>
            <w:r>
              <w:rPr>
                <w:rFonts w:ascii="宋体"/>
                <w:sz w:val="18"/>
              </w:rPr>
              <w:t>6</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1"/>
              <w:jc w:val="right"/>
              <w:rPr>
                <w:rFonts w:ascii="宋体" w:hAnsi="宋体" w:cs="宋体" w:eastAsia="宋体" w:hint="default"/>
                <w:sz w:val="18"/>
                <w:szCs w:val="18"/>
              </w:rPr>
            </w:pPr>
            <w:r>
              <w:rPr>
                <w:rFonts w:ascii="宋体"/>
                <w:sz w:val="18"/>
              </w:rPr>
              <w:t>2,565,0</w:t>
            </w:r>
          </w:p>
          <w:p>
            <w:pPr>
              <w:pStyle w:val="TableParagraph"/>
              <w:spacing w:line="234" w:lineRule="exact"/>
              <w:ind w:right="99"/>
              <w:jc w:val="right"/>
              <w:rPr>
                <w:rFonts w:ascii="宋体" w:hAnsi="宋体" w:cs="宋体" w:eastAsia="宋体" w:hint="default"/>
                <w:sz w:val="18"/>
                <w:szCs w:val="18"/>
              </w:rPr>
            </w:pPr>
            <w:r>
              <w:rPr>
                <w:rFonts w:ascii="宋体"/>
                <w:sz w:val="18"/>
              </w:rPr>
              <w:t>82</w:t>
            </w: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3"/>
              <w:jc w:val="right"/>
              <w:rPr>
                <w:rFonts w:ascii="宋体" w:hAnsi="宋体" w:cs="宋体" w:eastAsia="宋体" w:hint="default"/>
                <w:sz w:val="18"/>
                <w:szCs w:val="18"/>
              </w:rPr>
            </w:pPr>
            <w:r>
              <w:rPr>
                <w:rFonts w:ascii="宋体"/>
                <w:spacing w:val="-1"/>
                <w:sz w:val="18"/>
              </w:rPr>
              <w:t>1,641,765,65</w:t>
            </w:r>
          </w:p>
          <w:p>
            <w:pPr>
              <w:pStyle w:val="TableParagraph"/>
              <w:spacing w:line="234" w:lineRule="exact"/>
              <w:ind w:right="104"/>
              <w:jc w:val="right"/>
              <w:rPr>
                <w:rFonts w:ascii="宋体" w:hAnsi="宋体" w:cs="宋体" w:eastAsia="宋体" w:hint="default"/>
                <w:sz w:val="18"/>
                <w:szCs w:val="18"/>
              </w:rPr>
            </w:pPr>
            <w:r>
              <w:rPr>
                <w:rFonts w:ascii="宋体"/>
                <w:sz w:val="18"/>
              </w:rPr>
              <w:t>6</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3"/>
              <w:jc w:val="right"/>
              <w:rPr>
                <w:rFonts w:ascii="宋体" w:hAnsi="宋体" w:cs="宋体" w:eastAsia="宋体" w:hint="default"/>
                <w:sz w:val="18"/>
                <w:szCs w:val="18"/>
              </w:rPr>
            </w:pPr>
            <w:r>
              <w:rPr>
                <w:rFonts w:ascii="宋体"/>
                <w:sz w:val="18"/>
              </w:rPr>
              <w:t>2,565,0</w:t>
            </w:r>
          </w:p>
          <w:p>
            <w:pPr>
              <w:pStyle w:val="TableParagraph"/>
              <w:spacing w:line="234" w:lineRule="exact"/>
              <w:ind w:right="101"/>
              <w:jc w:val="right"/>
              <w:rPr>
                <w:rFonts w:ascii="宋体" w:hAnsi="宋体" w:cs="宋体" w:eastAsia="宋体" w:hint="default"/>
                <w:sz w:val="18"/>
                <w:szCs w:val="18"/>
              </w:rPr>
            </w:pPr>
            <w:r>
              <w:rPr>
                <w:rFonts w:ascii="宋体"/>
                <w:sz w:val="18"/>
              </w:rPr>
              <w:t>82</w:t>
            </w:r>
          </w:p>
        </w:tc>
      </w:tr>
      <w:tr>
        <w:trPr>
          <w:trHeight w:val="478" w:hRule="exact"/>
        </w:trPr>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3"/>
              <w:jc w:val="center"/>
              <w:rPr>
                <w:rFonts w:ascii="宋体" w:hAnsi="宋体" w:cs="宋体" w:eastAsia="宋体" w:hint="default"/>
                <w:sz w:val="18"/>
                <w:szCs w:val="18"/>
              </w:rPr>
            </w:pPr>
            <w:r>
              <w:rPr>
                <w:rFonts w:ascii="宋体" w:hAnsi="宋体" w:cs="宋体" w:eastAsia="宋体" w:hint="default"/>
                <w:sz w:val="18"/>
                <w:szCs w:val="18"/>
              </w:rPr>
              <w:t>合计</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200,331,88</w:t>
            </w:r>
          </w:p>
          <w:p>
            <w:pPr>
              <w:pStyle w:val="TableParagraph"/>
              <w:spacing w:line="240" w:lineRule="auto"/>
              <w:ind w:right="104"/>
              <w:jc w:val="right"/>
              <w:rPr>
                <w:rFonts w:ascii="宋体" w:hAnsi="宋体" w:cs="宋体" w:eastAsia="宋体" w:hint="default"/>
                <w:sz w:val="18"/>
                <w:szCs w:val="18"/>
              </w:rPr>
            </w:pPr>
            <w:r>
              <w:rPr>
                <w:rFonts w:ascii="宋体"/>
                <w:sz w:val="18"/>
              </w:rPr>
              <w:t>8</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1,443,273,</w:t>
            </w:r>
          </w:p>
          <w:p>
            <w:pPr>
              <w:pStyle w:val="TableParagraph"/>
              <w:spacing w:line="240" w:lineRule="auto"/>
              <w:ind w:right="99"/>
              <w:jc w:val="right"/>
              <w:rPr>
                <w:rFonts w:ascii="宋体" w:hAnsi="宋体" w:cs="宋体" w:eastAsia="宋体" w:hint="default"/>
                <w:sz w:val="18"/>
                <w:szCs w:val="18"/>
              </w:rPr>
            </w:pPr>
            <w:r>
              <w:rPr>
                <w:rFonts w:ascii="宋体"/>
                <w:sz w:val="18"/>
              </w:rPr>
              <w:t>218</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5,995,7</w:t>
            </w:r>
          </w:p>
          <w:p>
            <w:pPr>
              <w:pStyle w:val="TableParagraph"/>
              <w:spacing w:line="240" w:lineRule="auto"/>
              <w:ind w:right="98"/>
              <w:jc w:val="right"/>
              <w:rPr>
                <w:rFonts w:ascii="宋体" w:hAnsi="宋体" w:cs="宋体" w:eastAsia="宋体" w:hint="default"/>
                <w:sz w:val="18"/>
                <w:szCs w:val="18"/>
              </w:rPr>
            </w:pPr>
            <w:r>
              <w:rPr>
                <w:rFonts w:ascii="宋体"/>
                <w:sz w:val="18"/>
              </w:rPr>
              <w:t>51</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82" w:right="0"/>
              <w:jc w:val="left"/>
              <w:rPr>
                <w:rFonts w:ascii="宋体" w:hAnsi="宋体" w:cs="宋体" w:eastAsia="宋体" w:hint="default"/>
                <w:sz w:val="18"/>
                <w:szCs w:val="18"/>
              </w:rPr>
            </w:pPr>
            <w:r>
              <w:rPr>
                <w:rFonts w:ascii="宋体"/>
                <w:sz w:val="18"/>
              </w:rPr>
              <w:t>-14,396,</w:t>
            </w:r>
          </w:p>
          <w:p>
            <w:pPr>
              <w:pStyle w:val="TableParagraph"/>
              <w:spacing w:line="240" w:lineRule="auto"/>
              <w:ind w:left="631" w:right="0"/>
              <w:jc w:val="left"/>
              <w:rPr>
                <w:rFonts w:ascii="宋体" w:hAnsi="宋体" w:cs="宋体" w:eastAsia="宋体" w:hint="default"/>
                <w:sz w:val="18"/>
                <w:szCs w:val="18"/>
              </w:rPr>
            </w:pPr>
            <w:r>
              <w:rPr>
                <w:rFonts w:ascii="宋体"/>
                <w:sz w:val="18"/>
              </w:rPr>
              <w:t>727</w:t>
            </w:r>
          </w:p>
        </w:tc>
        <w:tc>
          <w:tcPr>
            <w:tcW w:w="58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21,431,7</w:t>
            </w:r>
          </w:p>
          <w:p>
            <w:pPr>
              <w:pStyle w:val="TableParagraph"/>
              <w:spacing w:line="240" w:lineRule="auto"/>
              <w:ind w:right="98"/>
              <w:jc w:val="right"/>
              <w:rPr>
                <w:rFonts w:ascii="宋体" w:hAnsi="宋体" w:cs="宋体" w:eastAsia="宋体" w:hint="default"/>
                <w:sz w:val="18"/>
                <w:szCs w:val="18"/>
              </w:rPr>
            </w:pPr>
            <w:r>
              <w:rPr>
                <w:rFonts w:ascii="宋体"/>
                <w:sz w:val="18"/>
              </w:rPr>
              <w:t>46</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-313,63</w:t>
            </w:r>
          </w:p>
          <w:p>
            <w:pPr>
              <w:pStyle w:val="TableParagraph"/>
              <w:spacing w:line="240" w:lineRule="auto"/>
              <w:ind w:right="102"/>
              <w:jc w:val="right"/>
              <w:rPr>
                <w:rFonts w:ascii="宋体" w:hAnsi="宋体" w:cs="宋体" w:eastAsia="宋体" w:hint="default"/>
                <w:sz w:val="18"/>
                <w:szCs w:val="18"/>
              </w:rPr>
            </w:pPr>
            <w:r>
              <w:rPr>
                <w:rFonts w:ascii="宋体"/>
                <w:sz w:val="18"/>
              </w:rPr>
              <w:t>6</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2,565,0</w:t>
            </w:r>
          </w:p>
          <w:p>
            <w:pPr>
              <w:pStyle w:val="TableParagraph"/>
              <w:spacing w:line="240" w:lineRule="auto"/>
              <w:ind w:right="99"/>
              <w:jc w:val="right"/>
              <w:rPr>
                <w:rFonts w:ascii="宋体" w:hAnsi="宋体" w:cs="宋体" w:eastAsia="宋体" w:hint="default"/>
                <w:sz w:val="18"/>
                <w:szCs w:val="18"/>
              </w:rPr>
            </w:pPr>
            <w:r>
              <w:rPr>
                <w:rFonts w:ascii="宋体"/>
                <w:sz w:val="18"/>
              </w:rPr>
              <w:t>82</w:t>
            </w:r>
          </w:p>
        </w:tc>
        <w:tc>
          <w:tcPr>
            <w:tcW w:w="43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1,641,765,65</w:t>
            </w:r>
          </w:p>
          <w:p>
            <w:pPr>
              <w:pStyle w:val="TableParagraph"/>
              <w:spacing w:line="240" w:lineRule="auto"/>
              <w:ind w:right="104"/>
              <w:jc w:val="right"/>
              <w:rPr>
                <w:rFonts w:ascii="宋体" w:hAnsi="宋体" w:cs="宋体" w:eastAsia="宋体" w:hint="default"/>
                <w:sz w:val="18"/>
                <w:szCs w:val="18"/>
              </w:rPr>
            </w:pPr>
            <w:r>
              <w:rPr>
                <w:rFonts w:ascii="宋体"/>
                <w:sz w:val="18"/>
              </w:rPr>
              <w:t>6</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z w:val="18"/>
              </w:rPr>
              <w:t>2,565,0</w:t>
            </w:r>
          </w:p>
          <w:p>
            <w:pPr>
              <w:pStyle w:val="TableParagraph"/>
              <w:spacing w:line="240" w:lineRule="auto"/>
              <w:ind w:right="101"/>
              <w:jc w:val="right"/>
              <w:rPr>
                <w:rFonts w:ascii="宋体" w:hAnsi="宋体" w:cs="宋体" w:eastAsia="宋体" w:hint="default"/>
                <w:sz w:val="18"/>
                <w:szCs w:val="18"/>
              </w:rPr>
            </w:pPr>
            <w:r>
              <w:rPr>
                <w:rFonts w:ascii="宋体"/>
                <w:sz w:val="18"/>
              </w:rPr>
              <w:t>82</w:t>
            </w:r>
          </w:p>
        </w:tc>
      </w:tr>
    </w:tbl>
    <w:p>
      <w:pPr>
        <w:spacing w:line="240" w:lineRule="auto" w:before="8"/>
        <w:rPr>
          <w:rFonts w:ascii="Times New Roman" w:hAnsi="Times New Roman" w:cs="Times New Roman" w:eastAsia="Times New Roman" w:hint="default"/>
          <w:sz w:val="17"/>
          <w:szCs w:val="17"/>
        </w:rPr>
      </w:pPr>
    </w:p>
    <w:p>
      <w:pPr>
        <w:pStyle w:val="BodyText"/>
        <w:spacing w:line="273" w:lineRule="exact" w:before="36"/>
        <w:ind w:left="1638" w:right="0"/>
        <w:jc w:val="left"/>
      </w:pPr>
      <w:r>
        <w:rPr/>
        <w:t>其他说明</w:t>
      </w:r>
    </w:p>
    <w:p>
      <w:pPr>
        <w:pStyle w:val="BodyText"/>
        <w:spacing w:line="271" w:lineRule="exact"/>
        <w:ind w:left="1638" w:right="0"/>
        <w:jc w:val="left"/>
      </w:pPr>
      <w:r>
        <w:rPr/>
        <w:t>注．</w:t>
      </w:r>
      <w:r>
        <w:rPr>
          <w:rFonts w:ascii="宋体" w:hAnsi="宋体" w:cs="宋体" w:eastAsia="宋体" w:hint="default"/>
        </w:rPr>
        <w:t>2017</w:t>
      </w:r>
      <w:r>
        <w:rPr>
          <w:rFonts w:ascii="宋体" w:hAnsi="宋体" w:cs="宋体" w:eastAsia="宋体" w:hint="default"/>
          <w:spacing w:val="-56"/>
        </w:rPr>
        <w:t> </w:t>
      </w:r>
      <w:r>
        <w:rPr/>
        <w:t>年</w:t>
      </w:r>
      <w:r>
        <w:rPr>
          <w:spacing w:val="-54"/>
        </w:rPr>
        <w:t> </w:t>
      </w:r>
      <w:r>
        <w:rPr>
          <w:rFonts w:ascii="宋体" w:hAnsi="宋体" w:cs="宋体" w:eastAsia="宋体" w:hint="default"/>
        </w:rPr>
        <w:t>12</w:t>
      </w:r>
      <w:r>
        <w:rPr>
          <w:rFonts w:ascii="宋体" w:hAnsi="宋体" w:cs="宋体" w:eastAsia="宋体" w:hint="default"/>
          <w:spacing w:val="-56"/>
        </w:rPr>
        <w:t> </w:t>
      </w:r>
      <w:r>
        <w:rPr/>
        <w:t>月</w:t>
      </w:r>
      <w:r>
        <w:rPr>
          <w:spacing w:val="-54"/>
        </w:rPr>
        <w:t> </w:t>
      </w:r>
      <w:r>
        <w:rPr>
          <w:rFonts w:ascii="宋体" w:hAnsi="宋体" w:cs="宋体" w:eastAsia="宋体" w:hint="default"/>
        </w:rPr>
        <w:t>31</w:t>
      </w:r>
      <w:r>
        <w:rPr>
          <w:rFonts w:ascii="宋体" w:hAnsi="宋体" w:cs="宋体" w:eastAsia="宋体" w:hint="default"/>
          <w:spacing w:val="-54"/>
        </w:rPr>
        <w:t> </w:t>
      </w:r>
      <w:r>
        <w:rPr/>
        <w:t>日，用友云安未确认之累计亏损金额为人民币</w:t>
      </w:r>
      <w:r>
        <w:rPr>
          <w:spacing w:val="-53"/>
        </w:rPr>
        <w:t> </w:t>
      </w:r>
      <w:r>
        <w:rPr>
          <w:rFonts w:ascii="宋体" w:hAnsi="宋体" w:cs="宋体" w:eastAsia="宋体" w:hint="default"/>
        </w:rPr>
        <w:t>8,437,773</w:t>
      </w:r>
      <w:r>
        <w:rPr>
          <w:rFonts w:ascii="宋体" w:hAnsi="宋体" w:cs="宋体" w:eastAsia="宋体" w:hint="default"/>
          <w:spacing w:val="-53"/>
        </w:rPr>
        <w:t> </w:t>
      </w:r>
      <w:r>
        <w:rPr/>
        <w:t>元</w:t>
      </w:r>
      <w:r>
        <w:rPr>
          <w:rFonts w:ascii="宋体" w:hAnsi="宋体" w:cs="宋体" w:eastAsia="宋体" w:hint="default"/>
        </w:rPr>
        <w:t>(2016</w:t>
      </w:r>
      <w:r>
        <w:rPr>
          <w:rFonts w:ascii="宋体" w:hAnsi="宋体" w:cs="宋体" w:eastAsia="宋体" w:hint="default"/>
          <w:spacing w:val="-56"/>
        </w:rPr>
        <w:t> </w:t>
      </w:r>
      <w:r>
        <w:rPr/>
        <w:t>年</w:t>
      </w:r>
      <w:r>
        <w:rPr>
          <w:spacing w:val="-54"/>
        </w:rPr>
        <w:t> </w:t>
      </w:r>
      <w:r>
        <w:rPr>
          <w:rFonts w:ascii="宋体" w:hAnsi="宋体" w:cs="宋体" w:eastAsia="宋体" w:hint="default"/>
        </w:rPr>
        <w:t>12</w:t>
      </w:r>
      <w:r>
        <w:rPr>
          <w:rFonts w:ascii="宋体" w:hAnsi="宋体" w:cs="宋体" w:eastAsia="宋体" w:hint="default"/>
          <w:spacing w:val="-56"/>
        </w:rPr>
        <w:t> </w:t>
      </w:r>
      <w:r>
        <w:rPr/>
        <w:t>月</w:t>
      </w:r>
    </w:p>
    <w:p>
      <w:pPr>
        <w:pStyle w:val="BodyText"/>
        <w:spacing w:line="273" w:lineRule="exact"/>
        <w:ind w:left="1638" w:right="0"/>
        <w:jc w:val="left"/>
      </w:pPr>
      <w:r>
        <w:rPr>
          <w:rFonts w:ascii="宋体" w:hAnsi="宋体" w:cs="宋体" w:eastAsia="宋体" w:hint="default"/>
        </w:rPr>
        <w:t>31</w:t>
      </w:r>
      <w:r>
        <w:rPr>
          <w:rFonts w:ascii="宋体" w:hAnsi="宋体" w:cs="宋体" w:eastAsia="宋体" w:hint="default"/>
          <w:spacing w:val="-53"/>
        </w:rPr>
        <w:t> </w:t>
      </w:r>
      <w:r>
        <w:rPr/>
        <w:t>日：人民币</w:t>
      </w:r>
      <w:r>
        <w:rPr>
          <w:spacing w:val="-53"/>
        </w:rPr>
        <w:t> </w:t>
      </w:r>
      <w:r>
        <w:rPr>
          <w:rFonts w:ascii="宋体" w:hAnsi="宋体" w:cs="宋体" w:eastAsia="宋体" w:hint="default"/>
        </w:rPr>
        <w:t>8,437,773</w:t>
      </w:r>
      <w:r>
        <w:rPr>
          <w:rFonts w:ascii="宋体" w:hAnsi="宋体" w:cs="宋体" w:eastAsia="宋体" w:hint="default"/>
          <w:spacing w:val="-55"/>
        </w:rPr>
        <w:t> </w:t>
      </w:r>
      <w:r>
        <w:rPr/>
        <w:t>元</w:t>
      </w:r>
      <w:r>
        <w:rPr>
          <w:rFonts w:ascii="宋体" w:hAnsi="宋体" w:cs="宋体" w:eastAsia="宋体" w:hint="default"/>
        </w:rPr>
        <w:t>)</w:t>
      </w:r>
      <w:r>
        <w:rPr/>
        <w:t>。</w:t>
      </w:r>
    </w:p>
    <w:p>
      <w:pPr>
        <w:spacing w:line="240" w:lineRule="auto" w:before="3"/>
        <w:rPr>
          <w:rFonts w:ascii="宋体" w:hAnsi="宋体" w:cs="宋体" w:eastAsia="宋体" w:hint="default"/>
          <w:sz w:val="25"/>
          <w:szCs w:val="25"/>
        </w:rPr>
      </w:pPr>
    </w:p>
    <w:p>
      <w:pPr>
        <w:pStyle w:val="Heading3"/>
        <w:spacing w:line="240" w:lineRule="auto"/>
        <w:ind w:left="1638" w:right="0"/>
        <w:jc w:val="left"/>
        <w:rPr>
          <w:b w:val="0"/>
          <w:bCs w:val="0"/>
        </w:rPr>
      </w:pPr>
      <w:r>
        <w:rPr>
          <w:rFonts w:ascii="宋体" w:hAnsi="宋体" w:cs="宋体" w:eastAsia="宋体" w:hint="default"/>
        </w:rPr>
        <w:t>18</w:t>
      </w:r>
      <w:r>
        <w:rPr/>
        <w:t>、</w:t>
      </w:r>
      <w:r>
        <w:rPr>
          <w:spacing w:val="-24"/>
        </w:rPr>
        <w:t> </w:t>
      </w:r>
      <w:r>
        <w:rPr/>
        <w:t>投资性房地产</w:t>
      </w:r>
      <w:r>
        <w:rPr>
          <w:b w:val="0"/>
          <w:bCs w:val="0"/>
        </w:rPr>
      </w:r>
    </w:p>
    <w:p>
      <w:pPr>
        <w:pStyle w:val="BodyText"/>
        <w:spacing w:line="272" w:lineRule="exact" w:before="86"/>
        <w:ind w:left="1638" w:right="7516"/>
        <w:jc w:val="left"/>
      </w:pPr>
      <w:r>
        <w:rPr>
          <w:spacing w:val="-2"/>
        </w:rPr>
        <w:t>投资性房地产计量模式</w:t>
      </w:r>
      <w:r>
        <w:rPr>
          <w:spacing w:val="-86"/>
        </w:rPr>
        <w:t> </w:t>
      </w:r>
      <w:r>
        <w:rPr>
          <w:spacing w:val="-86"/>
        </w:rPr>
      </w:r>
      <w:r>
        <w:rPr/>
        <w:t>不适用</w:t>
      </w:r>
    </w:p>
    <w:p>
      <w:pPr>
        <w:spacing w:after="0" w:line="272" w:lineRule="exact"/>
        <w:jc w:val="left"/>
        <w:sectPr>
          <w:pgSz w:w="11910" w:h="16840"/>
          <w:pgMar w:header="857" w:footer="1195" w:top="1320" w:bottom="1380" w:left="160" w:right="4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pgSz w:w="11910" w:h="16840"/>
          <w:pgMar w:header="857" w:footer="1195" w:top="1320" w:bottom="1380" w:left="1660" w:right="1120"/>
        </w:sectPr>
      </w:pPr>
    </w:p>
    <w:p>
      <w:pPr>
        <w:pStyle w:val="Heading3"/>
        <w:spacing w:line="240" w:lineRule="auto" w:before="36"/>
        <w:ind w:left="138" w:right="-19"/>
        <w:jc w:val="left"/>
        <w:rPr>
          <w:b w:val="0"/>
          <w:bCs w:val="0"/>
        </w:rPr>
      </w:pPr>
      <w:r>
        <w:rPr>
          <w:rFonts w:ascii="宋体" w:hAnsi="宋体" w:cs="宋体" w:eastAsia="宋体" w:hint="default"/>
        </w:rPr>
        <w:t>19</w:t>
      </w:r>
      <w:r>
        <w:rPr/>
        <w:t>、</w:t>
      </w:r>
      <w:r>
        <w:rPr>
          <w:spacing w:val="-25"/>
        </w:rPr>
        <w:t> </w:t>
      </w:r>
      <w:r>
        <w:rPr/>
        <w:t>固定资产</w:t>
      </w:r>
      <w:r>
        <w:rPr>
          <w:b w:val="0"/>
          <w:bCs w:val="0"/>
        </w:rPr>
      </w:r>
    </w:p>
    <w:p>
      <w:pPr>
        <w:pStyle w:val="Heading3"/>
        <w:spacing w:line="240" w:lineRule="auto" w:before="56"/>
        <w:ind w:left="138" w:right="-19"/>
        <w:jc w:val="left"/>
        <w:rPr>
          <w:b w:val="0"/>
          <w:bCs w:val="0"/>
        </w:rPr>
      </w:pPr>
      <w:r>
        <w:rPr>
          <w:rFonts w:ascii="宋体" w:hAnsi="宋体" w:cs="宋体" w:eastAsia="宋体" w:hint="default"/>
        </w:rPr>
        <w:t>(1).</w:t>
      </w:r>
      <w:r>
        <w:rPr>
          <w:rFonts w:ascii="宋体" w:hAnsi="宋体" w:cs="宋体" w:eastAsia="宋体" w:hint="default"/>
          <w:spacing w:val="60"/>
        </w:rPr>
        <w:t> </w:t>
      </w:r>
      <w:r>
        <w:rPr/>
        <w:t>固定资产情况</w:t>
      </w:r>
      <w:r>
        <w:rPr>
          <w:b w:val="0"/>
          <w:bCs w:val="0"/>
        </w:rPr>
      </w:r>
    </w:p>
    <w:p>
      <w:pPr>
        <w:pStyle w:val="BodyText"/>
        <w:spacing w:line="240" w:lineRule="auto" w:before="58"/>
        <w:ind w:left="138" w:right="-19"/>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spacing w:line="240" w:lineRule="auto"/>
        <w:ind w:left="138" w:right="0"/>
        <w:jc w:val="left"/>
      </w:pPr>
      <w:r>
        <w:rPr/>
        <w:t>单位：元币种：人民币</w:t>
      </w:r>
    </w:p>
    <w:p>
      <w:pPr>
        <w:spacing w:after="0" w:line="240" w:lineRule="auto"/>
        <w:jc w:val="left"/>
        <w:sectPr>
          <w:type w:val="continuous"/>
          <w:pgSz w:w="11910" w:h="16840"/>
          <w:pgMar w:top="1320" w:bottom="1380" w:left="1660" w:right="1120"/>
          <w:cols w:num="2" w:equalWidth="0">
            <w:col w:w="1994" w:space="4739"/>
            <w:col w:w="2397"/>
          </w:cols>
        </w:sectPr>
      </w:pPr>
    </w:p>
    <w:p>
      <w:pPr>
        <w:spacing w:line="240" w:lineRule="auto" w:before="7"/>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2283"/>
        <w:gridCol w:w="1426"/>
        <w:gridCol w:w="1253"/>
        <w:gridCol w:w="1253"/>
        <w:gridCol w:w="1253"/>
        <w:gridCol w:w="1428"/>
      </w:tblGrid>
      <w:tr>
        <w:trPr>
          <w:trHeight w:val="554"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76"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99"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99"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办公及电子</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设备</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合计</w:t>
            </w:r>
          </w:p>
        </w:tc>
      </w:tr>
      <w:tr>
        <w:trPr>
          <w:trHeight w:val="283"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一、账面原值：</w:t>
            </w:r>
          </w:p>
        </w:tc>
        <w:tc>
          <w:tcPr>
            <w:tcW w:w="142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4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期初余额</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1,533,667,611</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167,601,663</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46,256,512</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318,511,986</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2,066,037,772</w:t>
            </w:r>
          </w:p>
        </w:tc>
      </w:tr>
      <w:tr>
        <w:trPr>
          <w:trHeight w:val="283"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46"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本期增加金额</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592,884,551</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2,295,888</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5,274,870</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41,469,246</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641,924,555</w:t>
            </w:r>
          </w:p>
        </w:tc>
      </w:tr>
      <w:tr>
        <w:trPr>
          <w:trHeight w:val="281"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57"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）购置</w:t>
            </w:r>
          </w:p>
        </w:tc>
        <w:tc>
          <w:tcPr>
            <w:tcW w:w="142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2,295,888</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5,274,870</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41,469,246</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49,040,004</w:t>
            </w:r>
          </w:p>
        </w:tc>
      </w:tr>
      <w:tr>
        <w:trPr>
          <w:trHeight w:val="557"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657"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）在建工程转</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w w:val="100"/>
                <w:sz w:val="21"/>
                <w:szCs w:val="21"/>
              </w:rPr>
              <w:t>入</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21"/>
              <w:jc w:val="right"/>
              <w:rPr>
                <w:rFonts w:ascii="宋体" w:hAnsi="宋体" w:cs="宋体" w:eastAsia="宋体" w:hint="default"/>
                <w:sz w:val="21"/>
                <w:szCs w:val="21"/>
              </w:rPr>
            </w:pPr>
            <w:r>
              <w:rPr>
                <w:rFonts w:ascii="宋体"/>
                <w:spacing w:val="-1"/>
                <w:sz w:val="21"/>
              </w:rPr>
              <w:t>592,884,551</w:t>
            </w: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21"/>
              <w:jc w:val="right"/>
              <w:rPr>
                <w:rFonts w:ascii="宋体" w:hAnsi="宋体" w:cs="宋体" w:eastAsia="宋体" w:hint="default"/>
                <w:sz w:val="21"/>
                <w:szCs w:val="21"/>
              </w:rPr>
            </w:pPr>
            <w:r>
              <w:rPr>
                <w:rFonts w:ascii="宋体"/>
                <w:spacing w:val="-1"/>
                <w:sz w:val="21"/>
              </w:rPr>
              <w:t>592,884,551</w:t>
            </w:r>
          </w:p>
        </w:tc>
      </w:tr>
      <w:tr>
        <w:trPr>
          <w:trHeight w:val="554"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657"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3</w:t>
            </w:r>
            <w:r>
              <w:rPr>
                <w:rFonts w:ascii="宋体" w:hAnsi="宋体" w:cs="宋体" w:eastAsia="宋体" w:hint="default"/>
                <w:sz w:val="21"/>
                <w:szCs w:val="21"/>
              </w:rPr>
              <w:t>）企业合并增</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w w:val="100"/>
                <w:sz w:val="21"/>
                <w:szCs w:val="21"/>
              </w:rPr>
              <w:t>加</w:t>
            </w:r>
          </w:p>
        </w:tc>
        <w:tc>
          <w:tcPr>
            <w:tcW w:w="142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283"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51"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本期减少金额</w:t>
            </w:r>
          </w:p>
        </w:tc>
        <w:tc>
          <w:tcPr>
            <w:tcW w:w="142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2"/>
              <w:jc w:val="right"/>
              <w:rPr>
                <w:rFonts w:ascii="宋体" w:hAnsi="宋体" w:cs="宋体" w:eastAsia="宋体" w:hint="default"/>
                <w:sz w:val="21"/>
                <w:szCs w:val="21"/>
              </w:rPr>
            </w:pPr>
            <w:r>
              <w:rPr>
                <w:rFonts w:ascii="宋体"/>
                <w:spacing w:val="-1"/>
                <w:sz w:val="21"/>
              </w:rPr>
              <w:t>1,081,722</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4,368,750</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2"/>
              <w:jc w:val="right"/>
              <w:rPr>
                <w:rFonts w:ascii="宋体" w:hAnsi="宋体" w:cs="宋体" w:eastAsia="宋体" w:hint="default"/>
                <w:sz w:val="21"/>
                <w:szCs w:val="21"/>
              </w:rPr>
            </w:pPr>
            <w:r>
              <w:rPr>
                <w:rFonts w:ascii="宋体"/>
                <w:spacing w:val="-1"/>
                <w:sz w:val="21"/>
              </w:rPr>
              <w:t>36,485,233</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41,935,705</w:t>
            </w:r>
          </w:p>
        </w:tc>
      </w:tr>
      <w:tr>
        <w:trPr>
          <w:trHeight w:val="283"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6"/>
              <w:jc w:val="right"/>
              <w:rPr>
                <w:rFonts w:ascii="宋体" w:hAnsi="宋体" w:cs="宋体" w:eastAsia="宋体" w:hint="default"/>
                <w:sz w:val="21"/>
                <w:szCs w:val="21"/>
              </w:rPr>
            </w:pPr>
            <w:r>
              <w:rPr>
                <w:rFonts w:ascii="宋体" w:hAnsi="宋体" w:cs="宋体" w:eastAsia="宋体" w:hint="default"/>
                <w:spacing w:val="-2"/>
                <w:sz w:val="21"/>
                <w:szCs w:val="21"/>
              </w:rPr>
              <w:t>（</w:t>
            </w:r>
            <w:r>
              <w:rPr>
                <w:rFonts w:ascii="宋体" w:hAnsi="宋体" w:cs="宋体" w:eastAsia="宋体" w:hint="default"/>
                <w:spacing w:val="-2"/>
                <w:sz w:val="21"/>
                <w:szCs w:val="21"/>
              </w:rPr>
              <w:t>1</w:t>
            </w:r>
            <w:r>
              <w:rPr>
                <w:rFonts w:ascii="宋体" w:hAnsi="宋体" w:cs="宋体" w:eastAsia="宋体" w:hint="default"/>
                <w:spacing w:val="-2"/>
                <w:sz w:val="21"/>
                <w:szCs w:val="21"/>
              </w:rPr>
              <w:t>）处置或报废</w:t>
            </w:r>
          </w:p>
        </w:tc>
        <w:tc>
          <w:tcPr>
            <w:tcW w:w="142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1,081,722</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4,368,750</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36,485,233</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41,935,705</w:t>
            </w:r>
          </w:p>
        </w:tc>
      </w:tr>
      <w:tr>
        <w:trPr>
          <w:trHeight w:val="281" w:hRule="exact"/>
        </w:trPr>
        <w:tc>
          <w:tcPr>
            <w:tcW w:w="2283"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46"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期末余额</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2,126,552,162</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168,815,829</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47,162,632</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323,495,999</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2,666,026,622</w:t>
            </w:r>
          </w:p>
        </w:tc>
      </w:tr>
      <w:tr>
        <w:trPr>
          <w:trHeight w:val="283"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二、累计折旧</w:t>
            </w:r>
          </w:p>
        </w:tc>
        <w:tc>
          <w:tcPr>
            <w:tcW w:w="142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4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期初余额</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166,728,827</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57,544,993</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35,053,705</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242,125,763</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501,453,288</w:t>
            </w:r>
          </w:p>
        </w:tc>
      </w:tr>
      <w:tr>
        <w:trPr>
          <w:trHeight w:val="283"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46"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本期增加金额</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47,972,574</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8,643,069</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4,524,340</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41,937,301</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103,077,284</w:t>
            </w:r>
          </w:p>
        </w:tc>
      </w:tr>
      <w:tr>
        <w:trPr>
          <w:trHeight w:val="284"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57"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）计提</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47,972,574</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8,643,069</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4,524,340</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41,937,301</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103,077,284</w:t>
            </w:r>
          </w:p>
        </w:tc>
      </w:tr>
      <w:tr>
        <w:trPr>
          <w:trHeight w:val="281" w:hRule="exact"/>
        </w:trPr>
        <w:tc>
          <w:tcPr>
            <w:tcW w:w="2283"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46"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本期减少金额</w:t>
            </w:r>
          </w:p>
        </w:tc>
        <w:tc>
          <w:tcPr>
            <w:tcW w:w="142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345,411</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3,774,570</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32,158,509</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36,278,490</w:t>
            </w:r>
          </w:p>
        </w:tc>
      </w:tr>
      <w:tr>
        <w:trPr>
          <w:trHeight w:val="281"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6"/>
              <w:jc w:val="right"/>
              <w:rPr>
                <w:rFonts w:ascii="宋体" w:hAnsi="宋体" w:cs="宋体" w:eastAsia="宋体" w:hint="default"/>
                <w:sz w:val="21"/>
                <w:szCs w:val="21"/>
              </w:rPr>
            </w:pPr>
            <w:r>
              <w:rPr>
                <w:rFonts w:ascii="宋体" w:hAnsi="宋体" w:cs="宋体" w:eastAsia="宋体" w:hint="default"/>
                <w:spacing w:val="-2"/>
                <w:sz w:val="21"/>
                <w:szCs w:val="21"/>
              </w:rPr>
              <w:t>（</w:t>
            </w:r>
            <w:r>
              <w:rPr>
                <w:rFonts w:ascii="宋体" w:hAnsi="宋体" w:cs="宋体" w:eastAsia="宋体" w:hint="default"/>
                <w:spacing w:val="-2"/>
                <w:sz w:val="21"/>
                <w:szCs w:val="21"/>
              </w:rPr>
              <w:t>1</w:t>
            </w:r>
            <w:r>
              <w:rPr>
                <w:rFonts w:ascii="宋体" w:hAnsi="宋体" w:cs="宋体" w:eastAsia="宋体" w:hint="default"/>
                <w:spacing w:val="-2"/>
                <w:sz w:val="21"/>
                <w:szCs w:val="21"/>
              </w:rPr>
              <w:t>）处置或报废</w:t>
            </w:r>
          </w:p>
        </w:tc>
        <w:tc>
          <w:tcPr>
            <w:tcW w:w="142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345,411</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3,774,570</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32,158,509</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36,278,490</w:t>
            </w:r>
          </w:p>
        </w:tc>
      </w:tr>
      <w:tr>
        <w:trPr>
          <w:trHeight w:val="283" w:hRule="exact"/>
        </w:trPr>
        <w:tc>
          <w:tcPr>
            <w:tcW w:w="2283"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46"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期末余额</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214,701,401</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65,842,651</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35,803,475</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251,904,555</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568,252,082</w:t>
            </w:r>
          </w:p>
        </w:tc>
      </w:tr>
      <w:tr>
        <w:trPr>
          <w:trHeight w:val="281"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三、减值准备</w:t>
            </w:r>
          </w:p>
        </w:tc>
        <w:tc>
          <w:tcPr>
            <w:tcW w:w="142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4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期初余额</w:t>
            </w:r>
          </w:p>
        </w:tc>
        <w:tc>
          <w:tcPr>
            <w:tcW w:w="142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46"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本期增加金额</w:t>
            </w:r>
          </w:p>
        </w:tc>
        <w:tc>
          <w:tcPr>
            <w:tcW w:w="142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57"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）计提</w:t>
            </w:r>
          </w:p>
        </w:tc>
        <w:tc>
          <w:tcPr>
            <w:tcW w:w="142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283"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46"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本期减少金额</w:t>
            </w:r>
          </w:p>
        </w:tc>
        <w:tc>
          <w:tcPr>
            <w:tcW w:w="142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6"/>
              <w:jc w:val="right"/>
              <w:rPr>
                <w:rFonts w:ascii="宋体" w:hAnsi="宋体" w:cs="宋体" w:eastAsia="宋体" w:hint="default"/>
                <w:sz w:val="21"/>
                <w:szCs w:val="21"/>
              </w:rPr>
            </w:pPr>
            <w:r>
              <w:rPr>
                <w:rFonts w:ascii="宋体" w:hAnsi="宋体" w:cs="宋体" w:eastAsia="宋体" w:hint="default"/>
                <w:spacing w:val="-2"/>
                <w:sz w:val="21"/>
                <w:szCs w:val="21"/>
              </w:rPr>
              <w:t>（</w:t>
            </w:r>
            <w:r>
              <w:rPr>
                <w:rFonts w:ascii="宋体" w:hAnsi="宋体" w:cs="宋体" w:eastAsia="宋体" w:hint="default"/>
                <w:spacing w:val="-2"/>
                <w:sz w:val="21"/>
                <w:szCs w:val="21"/>
              </w:rPr>
              <w:t>1</w:t>
            </w:r>
            <w:r>
              <w:rPr>
                <w:rFonts w:ascii="宋体" w:hAnsi="宋体" w:cs="宋体" w:eastAsia="宋体" w:hint="default"/>
                <w:spacing w:val="-2"/>
                <w:sz w:val="21"/>
                <w:szCs w:val="21"/>
              </w:rPr>
              <w:t>）处置或报废</w:t>
            </w:r>
          </w:p>
        </w:tc>
        <w:tc>
          <w:tcPr>
            <w:tcW w:w="142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283"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46"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期末余额</w:t>
            </w:r>
          </w:p>
        </w:tc>
        <w:tc>
          <w:tcPr>
            <w:tcW w:w="142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四、账面价值</w:t>
            </w:r>
          </w:p>
        </w:tc>
        <w:tc>
          <w:tcPr>
            <w:tcW w:w="142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4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期末账面价值</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1,911,850,761</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102,973,178</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11,359,157</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71,591,444</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2,097,774,540</w:t>
            </w:r>
          </w:p>
        </w:tc>
      </w:tr>
      <w:tr>
        <w:trPr>
          <w:trHeight w:val="283" w:hRule="exact"/>
        </w:trPr>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46"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期初账面价值</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1,366,938,784</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110,056,670</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11,202,807</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76,386,223</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1,564,584,484</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pStyle w:val="Heading3"/>
        <w:spacing w:line="240" w:lineRule="auto" w:before="36"/>
        <w:ind w:left="138" w:right="0"/>
        <w:jc w:val="left"/>
        <w:rPr>
          <w:b w:val="0"/>
          <w:bCs w:val="0"/>
        </w:rPr>
      </w:pPr>
      <w:r>
        <w:rPr>
          <w:rFonts w:ascii="宋体" w:hAnsi="宋体" w:cs="宋体" w:eastAsia="宋体" w:hint="default"/>
        </w:rPr>
        <w:t>(2).</w:t>
      </w:r>
      <w:r>
        <w:rPr>
          <w:rFonts w:ascii="宋体" w:hAnsi="宋体" w:cs="宋体" w:eastAsia="宋体" w:hint="default"/>
          <w:spacing w:val="59"/>
        </w:rPr>
        <w:t> </w:t>
      </w:r>
      <w:r>
        <w:rPr/>
        <w:t>暂时闲置的固定资产情况</w:t>
      </w:r>
      <w:r>
        <w:rPr>
          <w:b w:val="0"/>
          <w:bCs w:val="0"/>
        </w:rPr>
      </w:r>
    </w:p>
    <w:p>
      <w:pPr>
        <w:pStyle w:val="BodyText"/>
        <w:spacing w:line="240" w:lineRule="auto" w:before="56"/>
        <w:ind w:left="138" w:right="0"/>
        <w:jc w:val="left"/>
      </w:pPr>
      <w:r>
        <w:rPr/>
        <w:t>□适用</w:t>
      </w:r>
      <w:r>
        <w:rPr>
          <w:spacing w:val="-1"/>
        </w:rPr>
        <w:t> </w:t>
      </w:r>
      <w:r>
        <w:rPr/>
        <w:t>√不适用</w:t>
      </w:r>
    </w:p>
    <w:p>
      <w:pPr>
        <w:pStyle w:val="Heading3"/>
        <w:spacing w:line="240" w:lineRule="auto" w:before="59"/>
        <w:ind w:left="138" w:right="0"/>
        <w:jc w:val="left"/>
        <w:rPr>
          <w:b w:val="0"/>
          <w:bCs w:val="0"/>
        </w:rPr>
      </w:pPr>
      <w:r>
        <w:rPr>
          <w:rFonts w:ascii="宋体" w:hAnsi="宋体" w:cs="宋体" w:eastAsia="宋体" w:hint="default"/>
        </w:rPr>
        <w:t>(3).</w:t>
      </w:r>
      <w:r>
        <w:rPr>
          <w:rFonts w:ascii="宋体" w:hAnsi="宋体" w:cs="宋体" w:eastAsia="宋体" w:hint="default"/>
          <w:spacing w:val="57"/>
        </w:rPr>
        <w:t> </w:t>
      </w:r>
      <w:r>
        <w:rPr/>
        <w:t>通过融资租赁租入的固定资产情况</w:t>
      </w:r>
      <w:r>
        <w:rPr>
          <w:b w:val="0"/>
          <w:bCs w:val="0"/>
        </w:rPr>
      </w:r>
    </w:p>
    <w:p>
      <w:pPr>
        <w:pStyle w:val="BodyText"/>
        <w:spacing w:line="240" w:lineRule="auto" w:before="56"/>
        <w:ind w:left="138" w:right="0"/>
        <w:jc w:val="left"/>
      </w:pPr>
      <w:r>
        <w:rPr/>
        <w:t>□适用</w:t>
      </w:r>
      <w:r>
        <w:rPr>
          <w:spacing w:val="-1"/>
        </w:rPr>
        <w:t> </w:t>
      </w:r>
      <w:r>
        <w:rPr/>
        <w:t>√不适用</w:t>
      </w:r>
    </w:p>
    <w:p>
      <w:pPr>
        <w:spacing w:after="0" w:line="240" w:lineRule="auto"/>
        <w:jc w:val="left"/>
        <w:sectPr>
          <w:type w:val="continuous"/>
          <w:pgSz w:w="11910" w:h="16840"/>
          <w:pgMar w:top="1320" w:bottom="1380" w:left="1660" w:right="1120"/>
        </w:sectPr>
      </w:pPr>
    </w:p>
    <w:p>
      <w:pPr>
        <w:spacing w:line="240" w:lineRule="auto" w:before="2"/>
        <w:rPr>
          <w:rFonts w:ascii="宋体" w:hAnsi="宋体" w:cs="宋体" w:eastAsia="宋体" w:hint="default"/>
          <w:sz w:val="9"/>
          <w:szCs w:val="9"/>
        </w:rPr>
      </w:pPr>
    </w:p>
    <w:p>
      <w:pPr>
        <w:spacing w:after="0" w:line="240" w:lineRule="auto"/>
        <w:rPr>
          <w:rFonts w:ascii="宋体" w:hAnsi="宋体" w:cs="宋体" w:eastAsia="宋体" w:hint="default"/>
          <w:sz w:val="9"/>
          <w:szCs w:val="9"/>
        </w:rPr>
        <w:sectPr>
          <w:pgSz w:w="11910" w:h="16840"/>
          <w:pgMar w:header="857" w:footer="1195" w:top="1320" w:bottom="1380" w:left="380" w:right="300"/>
        </w:sectPr>
      </w:pPr>
    </w:p>
    <w:p>
      <w:pPr>
        <w:pStyle w:val="Heading3"/>
        <w:spacing w:line="240" w:lineRule="auto" w:before="36"/>
        <w:ind w:left="1418" w:right="-17"/>
        <w:jc w:val="left"/>
        <w:rPr>
          <w:b w:val="0"/>
          <w:bCs w:val="0"/>
        </w:rPr>
      </w:pPr>
      <w:r>
        <w:rPr>
          <w:rFonts w:ascii="宋体" w:hAnsi="宋体" w:cs="宋体" w:eastAsia="宋体" w:hint="default"/>
        </w:rPr>
        <w:t>(4).</w:t>
      </w:r>
      <w:r>
        <w:rPr>
          <w:rFonts w:ascii="宋体" w:hAnsi="宋体" w:cs="宋体" w:eastAsia="宋体" w:hint="default"/>
          <w:spacing w:val="56"/>
        </w:rPr>
        <w:t> </w:t>
      </w:r>
      <w:r>
        <w:rPr/>
        <w:t>通过经营租赁租出的固定资产</w:t>
      </w:r>
      <w:r>
        <w:rPr>
          <w:b w:val="0"/>
          <w:bCs w:val="0"/>
        </w:rPr>
      </w:r>
    </w:p>
    <w:p>
      <w:pPr>
        <w:pStyle w:val="BodyText"/>
        <w:spacing w:line="240" w:lineRule="auto" w:before="58"/>
        <w:ind w:left="1418" w:right="-17"/>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left="1418" w:right="0"/>
        <w:jc w:val="left"/>
      </w:pPr>
      <w:r>
        <w:rPr/>
        <w:t>单位：元币种：人民币</w:t>
      </w:r>
    </w:p>
    <w:p>
      <w:pPr>
        <w:spacing w:after="0" w:line="240" w:lineRule="auto"/>
        <w:jc w:val="left"/>
        <w:sectPr>
          <w:type w:val="continuous"/>
          <w:pgSz w:w="11910" w:h="16840"/>
          <w:pgMar w:top="1320" w:bottom="1380" w:left="380" w:right="300"/>
          <w:cols w:num="2" w:equalWidth="0">
            <w:col w:w="4747" w:space="1985"/>
            <w:col w:w="4498"/>
          </w:cols>
        </w:sectPr>
      </w:pPr>
    </w:p>
    <w:p>
      <w:pPr>
        <w:spacing w:line="240" w:lineRule="auto" w:before="7"/>
        <w:rPr>
          <w:rFonts w:ascii="宋体" w:hAnsi="宋体" w:cs="宋体" w:eastAsia="宋体" w:hint="default"/>
          <w:sz w:val="2"/>
          <w:szCs w:val="2"/>
        </w:rPr>
      </w:pPr>
    </w:p>
    <w:tbl>
      <w:tblPr>
        <w:tblW w:w="0" w:type="auto"/>
        <w:jc w:val="left"/>
        <w:tblInd w:w="1305" w:type="dxa"/>
        <w:tblLayout w:type="fixed"/>
        <w:tblCellMar>
          <w:top w:w="0" w:type="dxa"/>
          <w:left w:w="0" w:type="dxa"/>
          <w:bottom w:w="0" w:type="dxa"/>
          <w:right w:w="0" w:type="dxa"/>
        </w:tblCellMar>
        <w:tblLook w:val="01E0"/>
      </w:tblPr>
      <w:tblGrid>
        <w:gridCol w:w="4153"/>
        <w:gridCol w:w="4897"/>
      </w:tblGrid>
      <w:tr>
        <w:trPr>
          <w:trHeight w:val="281" w:hRule="exact"/>
        </w:trPr>
        <w:tc>
          <w:tcPr>
            <w:tcW w:w="41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4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期末账面价值</w:t>
            </w:r>
          </w:p>
        </w:tc>
      </w:tr>
      <w:tr>
        <w:trPr>
          <w:trHeight w:val="283" w:hRule="exact"/>
        </w:trPr>
        <w:tc>
          <w:tcPr>
            <w:tcW w:w="415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489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764,850,789</w:t>
            </w:r>
          </w:p>
        </w:tc>
      </w:tr>
      <w:tr>
        <w:trPr>
          <w:trHeight w:val="283" w:hRule="exact"/>
        </w:trPr>
        <w:tc>
          <w:tcPr>
            <w:tcW w:w="4153" w:type="dxa"/>
            <w:tcBorders>
              <w:top w:val="single" w:sz="4" w:space="0" w:color="000000"/>
              <w:left w:val="single" w:sz="4" w:space="0" w:color="000000"/>
              <w:bottom w:val="single" w:sz="4" w:space="0" w:color="000000"/>
              <w:right w:val="single" w:sz="4" w:space="0" w:color="000000"/>
            </w:tcBorders>
          </w:tcPr>
          <w:p>
            <w:pPr/>
          </w:p>
        </w:tc>
        <w:tc>
          <w:tcPr>
            <w:tcW w:w="4897"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2"/>
        <w:rPr>
          <w:rFonts w:ascii="宋体" w:hAnsi="宋体" w:cs="宋体" w:eastAsia="宋体" w:hint="default"/>
          <w:sz w:val="19"/>
          <w:szCs w:val="19"/>
        </w:rPr>
      </w:pPr>
    </w:p>
    <w:p>
      <w:pPr>
        <w:pStyle w:val="Heading3"/>
        <w:spacing w:line="240" w:lineRule="auto" w:before="36"/>
        <w:ind w:left="1418" w:right="0"/>
        <w:jc w:val="both"/>
        <w:rPr>
          <w:b w:val="0"/>
          <w:bCs w:val="0"/>
        </w:rPr>
      </w:pPr>
      <w:r>
        <w:rPr>
          <w:rFonts w:ascii="宋体" w:hAnsi="宋体" w:cs="宋体" w:eastAsia="宋体" w:hint="default"/>
        </w:rPr>
        <w:t>(5).</w:t>
      </w:r>
      <w:r>
        <w:rPr>
          <w:rFonts w:ascii="宋体" w:hAnsi="宋体" w:cs="宋体" w:eastAsia="宋体" w:hint="default"/>
          <w:spacing w:val="57"/>
        </w:rPr>
        <w:t> </w:t>
      </w:r>
      <w:r>
        <w:rPr/>
        <w:t>未办妥产权证书的固定资产情况</w:t>
      </w:r>
      <w:r>
        <w:rPr>
          <w:b w:val="0"/>
          <w:bCs w:val="0"/>
        </w:rPr>
      </w:r>
    </w:p>
    <w:p>
      <w:pPr>
        <w:pStyle w:val="BodyText"/>
        <w:spacing w:line="272" w:lineRule="exact" w:before="86"/>
        <w:ind w:left="1418" w:right="8214"/>
        <w:jc w:val="left"/>
      </w:pPr>
      <w:r>
        <w:rPr/>
        <w:t>□适用</w:t>
      </w:r>
      <w:r>
        <w:rPr>
          <w:spacing w:val="-1"/>
        </w:rPr>
        <w:t> </w:t>
      </w:r>
      <w:r>
        <w:rPr/>
        <w:t>√不适用</w:t>
      </w:r>
      <w:r>
        <w:rPr>
          <w:w w:val="100"/>
        </w:rPr>
        <w:t> </w:t>
      </w:r>
      <w:r>
        <w:rPr/>
        <w:t>其他说明：</w:t>
      </w:r>
    </w:p>
    <w:p>
      <w:pPr>
        <w:pStyle w:val="BodyText"/>
        <w:spacing w:line="247" w:lineRule="exact"/>
        <w:ind w:left="1418" w:right="0"/>
        <w:jc w:val="both"/>
      </w:pPr>
      <w:r>
        <w:rPr/>
        <w:t>√适用</w:t>
      </w:r>
      <w:r>
        <w:rPr>
          <w:spacing w:val="-1"/>
        </w:rPr>
        <w:t> </w:t>
      </w:r>
      <w:r>
        <w:rPr/>
        <w:t>□不适用</w:t>
      </w:r>
    </w:p>
    <w:p>
      <w:pPr>
        <w:pStyle w:val="BodyText"/>
        <w:spacing w:line="237" w:lineRule="auto" w:before="1"/>
        <w:ind w:left="1418" w:right="968"/>
        <w:jc w:val="both"/>
      </w:pPr>
      <w:r>
        <w:rPr/>
        <w:t>本集团于</w:t>
      </w:r>
      <w:r>
        <w:rPr>
          <w:spacing w:val="-44"/>
        </w:rPr>
        <w:t> </w:t>
      </w:r>
      <w:r>
        <w:rPr>
          <w:rFonts w:ascii="宋体" w:hAnsi="宋体" w:cs="宋体" w:eastAsia="宋体" w:hint="default"/>
        </w:rPr>
        <w:t>2017</w:t>
      </w:r>
      <w:r>
        <w:rPr>
          <w:rFonts w:ascii="宋体" w:hAnsi="宋体" w:cs="宋体" w:eastAsia="宋体" w:hint="default"/>
          <w:spacing w:val="-46"/>
        </w:rPr>
        <w:t> </w:t>
      </w:r>
      <w:r>
        <w:rPr/>
        <w:t>年</w:t>
      </w:r>
      <w:r>
        <w:rPr>
          <w:spacing w:val="-44"/>
        </w:rPr>
        <w:t> </w:t>
      </w:r>
      <w:r>
        <w:rPr>
          <w:rFonts w:ascii="宋体" w:hAnsi="宋体" w:cs="宋体" w:eastAsia="宋体" w:hint="default"/>
        </w:rPr>
        <w:t>12</w:t>
      </w:r>
      <w:r>
        <w:rPr>
          <w:rFonts w:ascii="宋体" w:hAnsi="宋体" w:cs="宋体" w:eastAsia="宋体" w:hint="default"/>
          <w:spacing w:val="-46"/>
        </w:rPr>
        <w:t> </w:t>
      </w:r>
      <w:r>
        <w:rPr/>
        <w:t>月</w:t>
      </w:r>
      <w:r>
        <w:rPr>
          <w:spacing w:val="-43"/>
        </w:rPr>
        <w:t> </w:t>
      </w:r>
      <w:r>
        <w:rPr>
          <w:rFonts w:ascii="宋体" w:hAnsi="宋体" w:cs="宋体" w:eastAsia="宋体" w:hint="default"/>
        </w:rPr>
        <w:t>31</w:t>
      </w:r>
      <w:r>
        <w:rPr>
          <w:rFonts w:ascii="宋体" w:hAnsi="宋体" w:cs="宋体" w:eastAsia="宋体" w:hint="default"/>
          <w:spacing w:val="-46"/>
        </w:rPr>
        <w:t> </w:t>
      </w:r>
      <w:r>
        <w:rPr>
          <w:spacing w:val="-5"/>
        </w:rPr>
        <w:t>日的固定资产中不存在由于市价持续下跌、或技术陈旧、损坏、长期闲</w:t>
      </w:r>
      <w:r>
        <w:rPr>
          <w:spacing w:val="-102"/>
        </w:rPr>
        <w:t> </w:t>
      </w:r>
      <w:r>
        <w:rPr>
          <w:spacing w:val="-102"/>
        </w:rPr>
      </w:r>
      <w:r>
        <w:rPr/>
        <w:t>置等原因导致固定资产可收回金额低于账面价值的情况，故不需计提固定资产减值准备</w:t>
      </w:r>
      <w:r>
        <w:rPr>
          <w:rFonts w:ascii="宋体" w:hAnsi="宋体" w:cs="宋体" w:eastAsia="宋体" w:hint="default"/>
        </w:rPr>
        <w:t>(2016</w:t>
      </w:r>
      <w:r>
        <w:rPr>
          <w:rFonts w:ascii="宋体" w:hAnsi="宋体" w:cs="宋体" w:eastAsia="宋体" w:hint="default"/>
          <w:spacing w:val="4"/>
        </w:rPr>
        <w:t> </w:t>
      </w:r>
      <w:r>
        <w:rPr/>
        <w:t>年</w:t>
      </w:r>
      <w:r>
        <w:rPr>
          <w:w w:val="100"/>
        </w:rPr>
        <w:t> </w:t>
      </w:r>
      <w:r>
        <w:rPr>
          <w:rFonts w:ascii="宋体" w:hAnsi="宋体" w:cs="宋体" w:eastAsia="宋体" w:hint="default"/>
        </w:rPr>
        <w:t>12</w:t>
      </w:r>
      <w:r>
        <w:rPr>
          <w:rFonts w:ascii="宋体" w:hAnsi="宋体" w:cs="宋体" w:eastAsia="宋体" w:hint="default"/>
          <w:spacing w:val="-53"/>
        </w:rPr>
        <w:t> </w:t>
      </w:r>
      <w:r>
        <w:rPr/>
        <w:t>月</w:t>
      </w:r>
      <w:r>
        <w:rPr>
          <w:spacing w:val="-53"/>
        </w:rPr>
        <w:t> </w:t>
      </w:r>
      <w:r>
        <w:rPr>
          <w:rFonts w:ascii="宋体" w:hAnsi="宋体" w:cs="宋体" w:eastAsia="宋体" w:hint="default"/>
        </w:rPr>
        <w:t>31</w:t>
      </w:r>
      <w:r>
        <w:rPr>
          <w:rFonts w:ascii="宋体" w:hAnsi="宋体" w:cs="宋体" w:eastAsia="宋体" w:hint="default"/>
          <w:spacing w:val="-53"/>
        </w:rPr>
        <w:t> </w:t>
      </w:r>
      <w:r>
        <w:rPr/>
        <w:t>日：无</w:t>
      </w:r>
      <w:r>
        <w:rPr>
          <w:rFonts w:ascii="宋体" w:hAnsi="宋体" w:cs="宋体" w:eastAsia="宋体" w:hint="default"/>
        </w:rPr>
        <w:t>)</w:t>
      </w:r>
      <w:r>
        <w:rPr/>
        <w:t>。</w:t>
      </w:r>
    </w:p>
    <w:p>
      <w:pPr>
        <w:spacing w:line="240" w:lineRule="auto" w:before="9"/>
        <w:rPr>
          <w:rFonts w:ascii="宋体" w:hAnsi="宋体" w:cs="宋体" w:eastAsia="宋体" w:hint="default"/>
          <w:sz w:val="20"/>
          <w:szCs w:val="20"/>
        </w:rPr>
      </w:pPr>
    </w:p>
    <w:p>
      <w:pPr>
        <w:pStyle w:val="BodyText"/>
        <w:spacing w:line="274" w:lineRule="exact"/>
        <w:ind w:left="1418" w:right="0"/>
        <w:jc w:val="both"/>
      </w:pPr>
      <w:r>
        <w:rPr/>
        <w:t>于</w:t>
      </w:r>
      <w:r>
        <w:rPr>
          <w:spacing w:val="-46"/>
        </w:rPr>
        <w:t> </w:t>
      </w:r>
      <w:r>
        <w:rPr>
          <w:rFonts w:ascii="宋体" w:hAnsi="宋体" w:cs="宋体" w:eastAsia="宋体" w:hint="default"/>
        </w:rPr>
        <w:t>2017</w:t>
      </w:r>
      <w:r>
        <w:rPr>
          <w:rFonts w:ascii="宋体" w:hAnsi="宋体" w:cs="宋体" w:eastAsia="宋体" w:hint="default"/>
          <w:spacing w:val="-46"/>
        </w:rPr>
        <w:t> </w:t>
      </w:r>
      <w:r>
        <w:rPr/>
        <w:t>年</w:t>
      </w:r>
      <w:r>
        <w:rPr>
          <w:spacing w:val="-45"/>
        </w:rPr>
        <w:t> </w:t>
      </w:r>
      <w:r>
        <w:rPr>
          <w:rFonts w:ascii="宋体" w:hAnsi="宋体" w:cs="宋体" w:eastAsia="宋体" w:hint="default"/>
        </w:rPr>
        <w:t>12</w:t>
      </w:r>
      <w:r>
        <w:rPr>
          <w:rFonts w:ascii="宋体" w:hAnsi="宋体" w:cs="宋体" w:eastAsia="宋体" w:hint="default"/>
          <w:spacing w:val="-45"/>
        </w:rPr>
        <w:t> </w:t>
      </w:r>
      <w:r>
        <w:rPr/>
        <w:t>月</w:t>
      </w:r>
      <w:r>
        <w:rPr>
          <w:spacing w:val="-48"/>
        </w:rPr>
        <w:t> </w:t>
      </w:r>
      <w:r>
        <w:rPr>
          <w:rFonts w:ascii="宋体" w:hAnsi="宋体" w:cs="宋体" w:eastAsia="宋体" w:hint="default"/>
        </w:rPr>
        <w:t>31</w:t>
      </w:r>
      <w:r>
        <w:rPr>
          <w:rFonts w:ascii="宋体" w:hAnsi="宋体" w:cs="宋体" w:eastAsia="宋体" w:hint="default"/>
          <w:spacing w:val="-45"/>
        </w:rPr>
        <w:t> </w:t>
      </w:r>
      <w:r>
        <w:rPr/>
        <w:t>日，本集团没有重大暂时闲置及已退废和准备处置的固定资产</w:t>
      </w:r>
      <w:r>
        <w:rPr>
          <w:rFonts w:ascii="宋体" w:hAnsi="宋体" w:cs="宋体" w:eastAsia="宋体" w:hint="default"/>
        </w:rPr>
        <w:t>(2016</w:t>
      </w:r>
      <w:r>
        <w:rPr>
          <w:rFonts w:ascii="宋体" w:hAnsi="宋体" w:cs="宋体" w:eastAsia="宋体" w:hint="default"/>
          <w:spacing w:val="-46"/>
        </w:rPr>
        <w:t> </w:t>
      </w:r>
      <w:r>
        <w:rPr/>
        <w:t>年</w:t>
      </w:r>
      <w:r>
        <w:rPr>
          <w:spacing w:val="-48"/>
        </w:rPr>
        <w:t> </w:t>
      </w:r>
      <w:r>
        <w:rPr>
          <w:rFonts w:ascii="宋体" w:hAnsi="宋体" w:cs="宋体" w:eastAsia="宋体" w:hint="default"/>
        </w:rPr>
        <w:t>12</w:t>
      </w:r>
      <w:r>
        <w:rPr>
          <w:rFonts w:ascii="宋体" w:hAnsi="宋体" w:cs="宋体" w:eastAsia="宋体" w:hint="default"/>
          <w:spacing w:val="-48"/>
        </w:rPr>
        <w:t> </w:t>
      </w:r>
      <w:r>
        <w:rPr/>
        <w:t>月</w:t>
      </w:r>
    </w:p>
    <w:p>
      <w:pPr>
        <w:pStyle w:val="BodyText"/>
        <w:spacing w:line="274" w:lineRule="exact"/>
        <w:ind w:left="1418" w:right="0"/>
        <w:jc w:val="both"/>
      </w:pPr>
      <w:r>
        <w:rPr>
          <w:rFonts w:ascii="宋体" w:hAnsi="宋体" w:cs="宋体" w:eastAsia="宋体" w:hint="default"/>
        </w:rPr>
        <w:t>31</w:t>
      </w:r>
      <w:r>
        <w:rPr>
          <w:rFonts w:ascii="宋体" w:hAnsi="宋体" w:cs="宋体" w:eastAsia="宋体" w:hint="default"/>
          <w:spacing w:val="-54"/>
        </w:rPr>
        <w:t> </w:t>
      </w:r>
      <w:r>
        <w:rPr/>
        <w:t>日：无</w:t>
      </w:r>
      <w:r>
        <w:rPr>
          <w:rFonts w:ascii="宋体" w:hAnsi="宋体" w:cs="宋体" w:eastAsia="宋体" w:hint="default"/>
        </w:rPr>
        <w:t>)</w:t>
      </w:r>
      <w:r>
        <w:rPr/>
        <w:t>。</w:t>
      </w:r>
    </w:p>
    <w:p>
      <w:pPr>
        <w:spacing w:line="240" w:lineRule="auto" w:before="10"/>
        <w:rPr>
          <w:rFonts w:ascii="宋体" w:hAnsi="宋体" w:cs="宋体" w:eastAsia="宋体" w:hint="default"/>
          <w:sz w:val="22"/>
          <w:szCs w:val="22"/>
        </w:rPr>
      </w:pPr>
    </w:p>
    <w:p>
      <w:pPr>
        <w:pStyle w:val="BodyText"/>
        <w:spacing w:line="272" w:lineRule="exact"/>
        <w:ind w:left="1418" w:right="0"/>
        <w:jc w:val="left"/>
      </w:pPr>
      <w:r>
        <w:rPr>
          <w:w w:val="100"/>
        </w:rPr>
        <w:t>于</w:t>
      </w:r>
      <w:r>
        <w:rPr>
          <w:spacing w:val="-67"/>
          <w:w w:val="100"/>
        </w:rPr>
        <w:t> </w:t>
      </w:r>
      <w:r>
        <w:rPr>
          <w:rFonts w:ascii="宋体" w:hAnsi="宋体" w:cs="宋体" w:eastAsia="宋体" w:hint="default"/>
          <w:w w:val="100"/>
        </w:rPr>
        <w:t>2017</w:t>
      </w:r>
      <w:r>
        <w:rPr>
          <w:rFonts w:ascii="宋体" w:hAnsi="宋体" w:cs="宋体" w:eastAsia="宋体" w:hint="default"/>
          <w:spacing w:val="-69"/>
          <w:w w:val="100"/>
        </w:rPr>
        <w:t> </w:t>
      </w:r>
      <w:r>
        <w:rPr>
          <w:w w:val="100"/>
        </w:rPr>
        <w:t>年</w:t>
      </w:r>
      <w:r>
        <w:rPr>
          <w:spacing w:val="-67"/>
          <w:w w:val="100"/>
        </w:rPr>
        <w:t> </w:t>
      </w:r>
      <w:r>
        <w:rPr>
          <w:rFonts w:ascii="宋体" w:hAnsi="宋体" w:cs="宋体" w:eastAsia="宋体" w:hint="default"/>
          <w:w w:val="100"/>
        </w:rPr>
        <w:t>12</w:t>
      </w:r>
      <w:r>
        <w:rPr>
          <w:rFonts w:ascii="宋体" w:hAnsi="宋体" w:cs="宋体" w:eastAsia="宋体" w:hint="default"/>
          <w:spacing w:val="-69"/>
          <w:w w:val="100"/>
        </w:rPr>
        <w:t> </w:t>
      </w:r>
      <w:r>
        <w:rPr>
          <w:w w:val="100"/>
        </w:rPr>
        <w:t>月</w:t>
      </w:r>
      <w:r>
        <w:rPr>
          <w:spacing w:val="-67"/>
          <w:w w:val="100"/>
        </w:rPr>
        <w:t> </w:t>
      </w:r>
      <w:r>
        <w:rPr>
          <w:rFonts w:ascii="宋体" w:hAnsi="宋体" w:cs="宋体" w:eastAsia="宋体" w:hint="default"/>
          <w:w w:val="100"/>
        </w:rPr>
        <w:t>31</w:t>
      </w:r>
      <w:r>
        <w:rPr>
          <w:rFonts w:ascii="宋体" w:hAnsi="宋体" w:cs="宋体" w:eastAsia="宋体" w:hint="default"/>
          <w:spacing w:val="-69"/>
          <w:w w:val="100"/>
        </w:rPr>
        <w:t> </w:t>
      </w:r>
      <w:r>
        <w:rPr>
          <w:spacing w:val="-12"/>
          <w:w w:val="100"/>
        </w:rPr>
        <w:t>日，账面价值为人民币</w:t>
      </w:r>
      <w:r>
        <w:rPr>
          <w:spacing w:val="-67"/>
          <w:w w:val="100"/>
        </w:rPr>
        <w:t> </w:t>
      </w:r>
      <w:r>
        <w:rPr>
          <w:rFonts w:ascii="宋体" w:hAnsi="宋体" w:cs="宋体" w:eastAsia="宋体" w:hint="default"/>
          <w:spacing w:val="-1"/>
          <w:w w:val="100"/>
        </w:rPr>
        <w:t>356,777,699</w:t>
      </w:r>
      <w:r>
        <w:rPr>
          <w:rFonts w:ascii="宋体" w:hAnsi="宋体" w:cs="宋体" w:eastAsia="宋体" w:hint="default"/>
          <w:spacing w:val="-67"/>
          <w:w w:val="100"/>
        </w:rPr>
        <w:t> </w:t>
      </w:r>
      <w:r>
        <w:rPr>
          <w:spacing w:val="-1"/>
          <w:w w:val="100"/>
        </w:rPr>
        <w:t>元</w:t>
      </w:r>
      <w:r>
        <w:rPr>
          <w:rFonts w:ascii="宋体" w:hAnsi="宋体" w:cs="宋体" w:eastAsia="宋体" w:hint="default"/>
          <w:spacing w:val="-1"/>
          <w:w w:val="100"/>
        </w:rPr>
        <w:t>(2016</w:t>
      </w:r>
      <w:r>
        <w:rPr>
          <w:rFonts w:ascii="宋体" w:hAnsi="宋体" w:cs="宋体" w:eastAsia="宋体" w:hint="default"/>
          <w:spacing w:val="-67"/>
          <w:w w:val="100"/>
        </w:rPr>
        <w:t> </w:t>
      </w:r>
      <w:r>
        <w:rPr>
          <w:w w:val="100"/>
        </w:rPr>
        <w:t>年</w:t>
      </w:r>
      <w:r>
        <w:rPr>
          <w:spacing w:val="-69"/>
          <w:w w:val="100"/>
        </w:rPr>
        <w:t> </w:t>
      </w:r>
      <w:r>
        <w:rPr>
          <w:rFonts w:ascii="宋体" w:hAnsi="宋体" w:cs="宋体" w:eastAsia="宋体" w:hint="default"/>
          <w:w w:val="100"/>
        </w:rPr>
        <w:t>12</w:t>
      </w:r>
      <w:r>
        <w:rPr>
          <w:rFonts w:ascii="宋体" w:hAnsi="宋体" w:cs="宋体" w:eastAsia="宋体" w:hint="default"/>
          <w:spacing w:val="-67"/>
          <w:w w:val="100"/>
        </w:rPr>
        <w:t> </w:t>
      </w:r>
      <w:r>
        <w:rPr>
          <w:w w:val="100"/>
        </w:rPr>
        <w:t>月</w:t>
      </w:r>
      <w:r>
        <w:rPr>
          <w:spacing w:val="-69"/>
          <w:w w:val="100"/>
        </w:rPr>
        <w:t> </w:t>
      </w:r>
      <w:r>
        <w:rPr>
          <w:rFonts w:ascii="宋体" w:hAnsi="宋体" w:cs="宋体" w:eastAsia="宋体" w:hint="default"/>
          <w:w w:val="100"/>
        </w:rPr>
        <w:t>31</w:t>
      </w:r>
      <w:r>
        <w:rPr>
          <w:rFonts w:ascii="宋体" w:hAnsi="宋体" w:cs="宋体" w:eastAsia="宋体" w:hint="default"/>
          <w:spacing w:val="-67"/>
          <w:w w:val="100"/>
        </w:rPr>
        <w:t> </w:t>
      </w:r>
      <w:r>
        <w:rPr>
          <w:spacing w:val="-23"/>
          <w:w w:val="100"/>
        </w:rPr>
        <w:t>日：人民币</w:t>
      </w:r>
      <w:r>
        <w:rPr>
          <w:spacing w:val="-67"/>
          <w:w w:val="100"/>
        </w:rPr>
        <w:t> </w:t>
      </w:r>
      <w:r>
        <w:rPr>
          <w:rFonts w:ascii="宋体" w:hAnsi="宋体" w:cs="宋体" w:eastAsia="宋体" w:hint="default"/>
          <w:spacing w:val="-1"/>
          <w:w w:val="100"/>
        </w:rPr>
        <w:t>333,293,032</w:t>
      </w:r>
      <w:r>
        <w:rPr>
          <w:rFonts w:ascii="宋体" w:hAnsi="宋体" w:cs="宋体" w:eastAsia="宋体" w:hint="default"/>
          <w:w w:val="100"/>
        </w:rPr>
        <w:t> </w:t>
      </w:r>
      <w:r>
        <w:rPr/>
        <w:t>元</w:t>
      </w:r>
      <w:r>
        <w:rPr>
          <w:rFonts w:ascii="宋体" w:hAnsi="宋体" w:cs="宋体" w:eastAsia="宋体" w:hint="default"/>
        </w:rPr>
        <w:t>)</w:t>
      </w:r>
      <w:r>
        <w:rPr/>
        <w:t>的房屋建筑物，用于取得银行借款抵押。详情参见附注七、</w:t>
      </w:r>
      <w:r>
        <w:rPr>
          <w:rFonts w:ascii="宋体" w:hAnsi="宋体" w:cs="宋体" w:eastAsia="宋体" w:hint="default"/>
        </w:rPr>
        <w:t>45</w:t>
      </w:r>
      <w:r>
        <w:rPr/>
        <w:t>。</w:t>
      </w:r>
    </w:p>
    <w:p>
      <w:pPr>
        <w:spacing w:line="240" w:lineRule="auto" w:before="7"/>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320" w:bottom="1380" w:left="380" w:right="300"/>
        </w:sectPr>
      </w:pPr>
    </w:p>
    <w:p>
      <w:pPr>
        <w:pStyle w:val="Heading3"/>
        <w:spacing w:line="240" w:lineRule="auto" w:before="36"/>
        <w:ind w:left="1418" w:right="-19"/>
        <w:jc w:val="left"/>
        <w:rPr>
          <w:b w:val="0"/>
          <w:bCs w:val="0"/>
        </w:rPr>
      </w:pPr>
      <w:r>
        <w:rPr>
          <w:rFonts w:ascii="宋体" w:hAnsi="宋体" w:cs="宋体" w:eastAsia="宋体" w:hint="default"/>
        </w:rPr>
        <w:t>20</w:t>
      </w:r>
      <w:r>
        <w:rPr/>
        <w:t>、</w:t>
      </w:r>
      <w:r>
        <w:rPr>
          <w:spacing w:val="-25"/>
        </w:rPr>
        <w:t> </w:t>
      </w:r>
      <w:r>
        <w:rPr/>
        <w:t>在建工程</w:t>
      </w:r>
      <w:r>
        <w:rPr>
          <w:b w:val="0"/>
          <w:bCs w:val="0"/>
        </w:rPr>
      </w:r>
    </w:p>
    <w:p>
      <w:pPr>
        <w:pStyle w:val="Heading3"/>
        <w:spacing w:line="240" w:lineRule="auto" w:before="58"/>
        <w:ind w:left="1418" w:right="-19"/>
        <w:jc w:val="left"/>
        <w:rPr>
          <w:b w:val="0"/>
          <w:bCs w:val="0"/>
        </w:rPr>
      </w:pPr>
      <w:r>
        <w:rPr>
          <w:rFonts w:ascii="宋体" w:hAnsi="宋体" w:cs="宋体" w:eastAsia="宋体" w:hint="default"/>
        </w:rPr>
        <w:t>(1).</w:t>
      </w:r>
      <w:r>
        <w:rPr>
          <w:rFonts w:ascii="宋体" w:hAnsi="宋体" w:cs="宋体" w:eastAsia="宋体" w:hint="default"/>
          <w:spacing w:val="60"/>
        </w:rPr>
        <w:t> </w:t>
      </w:r>
      <w:r>
        <w:rPr/>
        <w:t>在建工程情况</w:t>
      </w:r>
      <w:r>
        <w:rPr>
          <w:b w:val="0"/>
          <w:bCs w:val="0"/>
        </w:rPr>
      </w:r>
    </w:p>
    <w:p>
      <w:pPr>
        <w:pStyle w:val="BodyText"/>
        <w:spacing w:line="240" w:lineRule="auto" w:before="56"/>
        <w:ind w:left="1418" w:right="-19"/>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p>
      <w:pPr>
        <w:pStyle w:val="BodyText"/>
        <w:spacing w:line="240" w:lineRule="auto"/>
        <w:ind w:left="1418" w:right="0"/>
        <w:jc w:val="left"/>
      </w:pPr>
      <w:r>
        <w:rPr/>
        <w:t>单位：元币种：人民币</w:t>
      </w:r>
    </w:p>
    <w:p>
      <w:pPr>
        <w:spacing w:after="0" w:line="240" w:lineRule="auto"/>
        <w:jc w:val="left"/>
        <w:sectPr>
          <w:type w:val="continuous"/>
          <w:pgSz w:w="11910" w:h="16840"/>
          <w:pgMar w:top="1320" w:bottom="1380" w:left="380" w:right="300"/>
          <w:cols w:num="2" w:equalWidth="0">
            <w:col w:w="3274" w:space="3459"/>
            <w:col w:w="4497"/>
          </w:cols>
        </w:sectPr>
      </w:pPr>
    </w:p>
    <w:p>
      <w:pPr>
        <w:spacing w:line="240" w:lineRule="auto" w:before="4"/>
        <w:rPr>
          <w:rFonts w:ascii="宋体" w:hAnsi="宋体" w:cs="宋体" w:eastAsia="宋体" w:hint="default"/>
          <w:sz w:val="2"/>
          <w:szCs w:val="2"/>
        </w:rPr>
      </w:pPr>
    </w:p>
    <w:tbl>
      <w:tblPr>
        <w:tblW w:w="0" w:type="auto"/>
        <w:jc w:val="left"/>
        <w:tblInd w:w="1382" w:type="dxa"/>
        <w:tblLayout w:type="fixed"/>
        <w:tblCellMar>
          <w:top w:w="0" w:type="dxa"/>
          <w:left w:w="0" w:type="dxa"/>
          <w:bottom w:w="0" w:type="dxa"/>
          <w:right w:w="0" w:type="dxa"/>
        </w:tblCellMar>
        <w:tblLook w:val="01E0"/>
      </w:tblPr>
      <w:tblGrid>
        <w:gridCol w:w="1747"/>
        <w:gridCol w:w="1323"/>
        <w:gridCol w:w="1051"/>
        <w:gridCol w:w="1289"/>
        <w:gridCol w:w="1217"/>
        <w:gridCol w:w="1052"/>
        <w:gridCol w:w="1217"/>
      </w:tblGrid>
      <w:tr>
        <w:trPr>
          <w:trHeight w:val="283" w:hRule="exact"/>
        </w:trPr>
        <w:tc>
          <w:tcPr>
            <w:tcW w:w="1747" w:type="dxa"/>
            <w:vMerge w:val="restart"/>
            <w:tcBorders>
              <w:top w:val="single" w:sz="4" w:space="0" w:color="000000"/>
              <w:left w:val="single" w:sz="4" w:space="0" w:color="000000"/>
              <w:right w:val="single" w:sz="4" w:space="0" w:color="000000"/>
            </w:tcBorders>
          </w:tcPr>
          <w:p>
            <w:pPr>
              <w:pStyle w:val="TableParagraph"/>
              <w:spacing w:line="240" w:lineRule="auto" w:before="107"/>
              <w:ind w:left="4"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663"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4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81" w:hRule="exact"/>
        </w:trPr>
        <w:tc>
          <w:tcPr>
            <w:tcW w:w="1747" w:type="dxa"/>
            <w:vMerge/>
            <w:tcBorders>
              <w:left w:val="single" w:sz="4" w:space="0" w:color="000000"/>
              <w:bottom w:val="single" w:sz="4" w:space="0" w:color="000000"/>
              <w:right w:val="single" w:sz="4" w:space="0" w:color="000000"/>
            </w:tcBorders>
          </w:tcPr>
          <w:p>
            <w:pP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减值准备</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账面价值</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减值准备</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账面价值</w:t>
            </w:r>
          </w:p>
        </w:tc>
      </w:tr>
      <w:tr>
        <w:trPr>
          <w:trHeight w:val="554" w:hRule="exact"/>
        </w:trPr>
        <w:tc>
          <w:tcPr>
            <w:tcW w:w="174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用友软件园项目二</w:t>
            </w:r>
          </w:p>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期工程</w:t>
            </w:r>
          </w:p>
        </w:tc>
        <w:tc>
          <w:tcPr>
            <w:tcW w:w="1323"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487,258,935</w:t>
            </w:r>
          </w:p>
        </w:tc>
        <w:tc>
          <w:tcPr>
            <w:tcW w:w="1052"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487,258,935</w:t>
            </w:r>
          </w:p>
        </w:tc>
      </w:tr>
      <w:tr>
        <w:trPr>
          <w:trHeight w:val="557" w:hRule="exact"/>
        </w:trPr>
        <w:tc>
          <w:tcPr>
            <w:tcW w:w="17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用友</w:t>
            </w:r>
            <w:r>
              <w:rPr>
                <w:rFonts w:ascii="宋体" w:hAnsi="宋体" w:cs="宋体" w:eastAsia="宋体" w:hint="default"/>
                <w:sz w:val="21"/>
                <w:szCs w:val="21"/>
              </w:rPr>
              <w:t>(</w:t>
            </w:r>
            <w:r>
              <w:rPr>
                <w:rFonts w:ascii="宋体" w:hAnsi="宋体" w:cs="宋体" w:eastAsia="宋体" w:hint="default"/>
                <w:sz w:val="21"/>
                <w:szCs w:val="21"/>
              </w:rPr>
              <w:t>南昌</w:t>
            </w:r>
            <w:r>
              <w:rPr>
                <w:rFonts w:ascii="宋体" w:hAnsi="宋体" w:cs="宋体" w:eastAsia="宋体" w:hint="default"/>
                <w:sz w:val="21"/>
                <w:szCs w:val="21"/>
              </w:rPr>
              <w:t>)</w:t>
            </w:r>
            <w:r>
              <w:rPr>
                <w:rFonts w:ascii="宋体" w:hAnsi="宋体" w:cs="宋体" w:eastAsia="宋体" w:hint="default"/>
                <w:sz w:val="21"/>
                <w:szCs w:val="21"/>
              </w:rPr>
              <w:t>工程二</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w w:val="100"/>
                <w:sz w:val="21"/>
                <w:szCs w:val="21"/>
              </w:rPr>
              <w:t>期</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center"/>
              <w:rPr>
                <w:rFonts w:ascii="宋体" w:hAnsi="宋体" w:cs="宋体" w:eastAsia="宋体" w:hint="default"/>
                <w:sz w:val="21"/>
                <w:szCs w:val="21"/>
              </w:rPr>
            </w:pPr>
            <w:r>
              <w:rPr>
                <w:rFonts w:ascii="宋体"/>
                <w:sz w:val="21"/>
              </w:rPr>
              <w:t>145,631,283</w:t>
            </w:r>
          </w:p>
        </w:tc>
        <w:tc>
          <w:tcPr>
            <w:tcW w:w="1051"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72"/>
              <w:jc w:val="center"/>
              <w:rPr>
                <w:rFonts w:ascii="宋体" w:hAnsi="宋体" w:cs="宋体" w:eastAsia="宋体" w:hint="default"/>
                <w:sz w:val="21"/>
                <w:szCs w:val="21"/>
              </w:rPr>
            </w:pPr>
            <w:r>
              <w:rPr>
                <w:rFonts w:ascii="宋体"/>
                <w:sz w:val="21"/>
              </w:rPr>
              <w:t>145,631,283</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center"/>
              <w:rPr>
                <w:rFonts w:ascii="宋体" w:hAnsi="宋体" w:cs="宋体" w:eastAsia="宋体" w:hint="default"/>
                <w:sz w:val="21"/>
                <w:szCs w:val="21"/>
              </w:rPr>
            </w:pPr>
            <w:r>
              <w:rPr>
                <w:rFonts w:ascii="宋体"/>
                <w:sz w:val="21"/>
              </w:rPr>
              <w:t>34,710,871</w:t>
            </w:r>
          </w:p>
        </w:tc>
        <w:tc>
          <w:tcPr>
            <w:tcW w:w="1052"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center"/>
              <w:rPr>
                <w:rFonts w:ascii="宋体" w:hAnsi="宋体" w:cs="宋体" w:eastAsia="宋体" w:hint="default"/>
                <w:sz w:val="21"/>
                <w:szCs w:val="21"/>
              </w:rPr>
            </w:pPr>
            <w:r>
              <w:rPr>
                <w:rFonts w:ascii="宋体"/>
                <w:sz w:val="21"/>
              </w:rPr>
              <w:t>34,710,871</w:t>
            </w:r>
          </w:p>
        </w:tc>
      </w:tr>
      <w:tr>
        <w:trPr>
          <w:trHeight w:val="281" w:hRule="exact"/>
        </w:trPr>
        <w:tc>
          <w:tcPr>
            <w:tcW w:w="17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三亚软件园一期</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center"/>
              <w:rPr>
                <w:rFonts w:ascii="宋体" w:hAnsi="宋体" w:cs="宋体" w:eastAsia="宋体" w:hint="default"/>
                <w:sz w:val="21"/>
                <w:szCs w:val="21"/>
              </w:rPr>
            </w:pPr>
            <w:r>
              <w:rPr>
                <w:rFonts w:ascii="宋体"/>
                <w:sz w:val="21"/>
              </w:rPr>
              <w:t>176,539,341</w:t>
            </w:r>
          </w:p>
        </w:tc>
        <w:tc>
          <w:tcPr>
            <w:tcW w:w="1051"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2"/>
              <w:jc w:val="center"/>
              <w:rPr>
                <w:rFonts w:ascii="宋体" w:hAnsi="宋体" w:cs="宋体" w:eastAsia="宋体" w:hint="default"/>
                <w:sz w:val="21"/>
                <w:szCs w:val="21"/>
              </w:rPr>
            </w:pPr>
            <w:r>
              <w:rPr>
                <w:rFonts w:ascii="宋体"/>
                <w:sz w:val="21"/>
              </w:rPr>
              <w:t>176,539,341</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sz w:val="21"/>
              </w:rPr>
              <w:t>91,585,927</w:t>
            </w:r>
          </w:p>
        </w:tc>
        <w:tc>
          <w:tcPr>
            <w:tcW w:w="1052"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sz w:val="21"/>
              </w:rPr>
              <w:t>91,585,927</w:t>
            </w:r>
          </w:p>
        </w:tc>
      </w:tr>
      <w:tr>
        <w:trPr>
          <w:trHeight w:val="283" w:hRule="exact"/>
        </w:trPr>
        <w:tc>
          <w:tcPr>
            <w:tcW w:w="17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center"/>
              <w:rPr>
                <w:rFonts w:ascii="宋体" w:hAnsi="宋体" w:cs="宋体" w:eastAsia="宋体" w:hint="default"/>
                <w:sz w:val="21"/>
                <w:szCs w:val="21"/>
              </w:rPr>
            </w:pPr>
            <w:r>
              <w:rPr>
                <w:rFonts w:ascii="宋体"/>
                <w:sz w:val="21"/>
              </w:rPr>
              <w:t>322,170,624</w:t>
            </w:r>
          </w:p>
        </w:tc>
        <w:tc>
          <w:tcPr>
            <w:tcW w:w="1051"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2"/>
              <w:jc w:val="center"/>
              <w:rPr>
                <w:rFonts w:ascii="宋体" w:hAnsi="宋体" w:cs="宋体" w:eastAsia="宋体" w:hint="default"/>
                <w:sz w:val="21"/>
                <w:szCs w:val="21"/>
              </w:rPr>
            </w:pPr>
            <w:r>
              <w:rPr>
                <w:rFonts w:ascii="宋体"/>
                <w:sz w:val="21"/>
              </w:rPr>
              <w:t>322,170,624</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613,555,733</w:t>
            </w:r>
          </w:p>
        </w:tc>
        <w:tc>
          <w:tcPr>
            <w:tcW w:w="1052"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613,555,733</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type w:val="continuous"/>
          <w:pgSz w:w="11910" w:h="16840"/>
          <w:pgMar w:top="1320" w:bottom="1380" w:left="380" w:right="300"/>
        </w:sectPr>
      </w:pPr>
    </w:p>
    <w:p>
      <w:pPr>
        <w:pStyle w:val="Heading3"/>
        <w:spacing w:line="240" w:lineRule="auto" w:before="36"/>
        <w:ind w:left="1418" w:right="-18"/>
        <w:jc w:val="left"/>
        <w:rPr>
          <w:b w:val="0"/>
          <w:bCs w:val="0"/>
        </w:rPr>
      </w:pPr>
      <w:r>
        <w:rPr>
          <w:rFonts w:ascii="宋体" w:hAnsi="宋体" w:cs="宋体" w:eastAsia="宋体" w:hint="default"/>
        </w:rPr>
        <w:t>(2).</w:t>
      </w:r>
      <w:r>
        <w:rPr>
          <w:rFonts w:ascii="宋体" w:hAnsi="宋体" w:cs="宋体" w:eastAsia="宋体" w:hint="default"/>
          <w:spacing w:val="57"/>
        </w:rPr>
        <w:t> </w:t>
      </w:r>
      <w:r>
        <w:rPr/>
        <w:t>重要在建工程项目本期变动情况</w:t>
      </w:r>
      <w:r>
        <w:rPr>
          <w:b w:val="0"/>
          <w:bCs w:val="0"/>
        </w:rPr>
      </w:r>
    </w:p>
    <w:p>
      <w:pPr>
        <w:pStyle w:val="BodyText"/>
        <w:spacing w:line="240" w:lineRule="auto" w:before="58"/>
        <w:ind w:left="1418"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left="1418" w:right="0"/>
        <w:jc w:val="left"/>
      </w:pPr>
      <w:r>
        <w:rPr/>
        <w:t>单位：元币种：人民币</w:t>
      </w:r>
    </w:p>
    <w:p>
      <w:pPr>
        <w:spacing w:after="0" w:line="240" w:lineRule="auto"/>
        <w:jc w:val="left"/>
        <w:sectPr>
          <w:type w:val="continuous"/>
          <w:pgSz w:w="11910" w:h="16840"/>
          <w:pgMar w:top="1320" w:bottom="1380" w:left="380" w:right="300"/>
          <w:cols w:num="2" w:equalWidth="0">
            <w:col w:w="4959" w:space="1774"/>
            <w:col w:w="4497"/>
          </w:cols>
        </w:sectPr>
      </w:pPr>
    </w:p>
    <w:p>
      <w:pPr>
        <w:spacing w:line="240" w:lineRule="auto" w:before="7"/>
        <w:rPr>
          <w:rFonts w:ascii="宋体" w:hAnsi="宋体" w:cs="宋体" w:eastAsia="宋体" w:hint="default"/>
          <w:sz w:val="2"/>
          <w:szCs w:val="2"/>
        </w:rPr>
      </w:pPr>
    </w:p>
    <w:tbl>
      <w:tblPr>
        <w:tblW w:w="0" w:type="auto"/>
        <w:jc w:val="left"/>
        <w:tblInd w:w="100" w:type="dxa"/>
        <w:tblLayout w:type="fixed"/>
        <w:tblCellMar>
          <w:top w:w="0" w:type="dxa"/>
          <w:left w:w="0" w:type="dxa"/>
          <w:bottom w:w="0" w:type="dxa"/>
          <w:right w:w="0" w:type="dxa"/>
        </w:tblCellMar>
        <w:tblLook w:val="01E0"/>
      </w:tblPr>
      <w:tblGrid>
        <w:gridCol w:w="951"/>
        <w:gridCol w:w="1344"/>
        <w:gridCol w:w="1059"/>
        <w:gridCol w:w="1135"/>
        <w:gridCol w:w="1133"/>
        <w:gridCol w:w="348"/>
        <w:gridCol w:w="1061"/>
        <w:gridCol w:w="490"/>
        <w:gridCol w:w="466"/>
        <w:gridCol w:w="1061"/>
        <w:gridCol w:w="970"/>
        <w:gridCol w:w="422"/>
        <w:gridCol w:w="569"/>
      </w:tblGrid>
      <w:tr>
        <w:trPr>
          <w:trHeight w:val="2460" w:hRule="exact"/>
        </w:trPr>
        <w:tc>
          <w:tcPr>
            <w:tcW w:w="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3"/>
              <w:ind w:left="311" w:right="204" w:hanging="212"/>
              <w:jc w:val="left"/>
              <w:rPr>
                <w:rFonts w:ascii="宋体" w:hAnsi="宋体" w:cs="宋体" w:eastAsia="宋体" w:hint="default"/>
                <w:sz w:val="21"/>
                <w:szCs w:val="21"/>
              </w:rPr>
            </w:pPr>
            <w:r>
              <w:rPr>
                <w:rFonts w:ascii="宋体" w:hAnsi="宋体" w:cs="宋体" w:eastAsia="宋体" w:hint="default"/>
                <w:sz w:val="21"/>
                <w:szCs w:val="21"/>
              </w:rPr>
              <w:t>项目名</w:t>
            </w:r>
            <w:r>
              <w:rPr>
                <w:rFonts w:ascii="宋体" w:hAnsi="宋体" w:cs="宋体" w:eastAsia="宋体" w:hint="default"/>
                <w:spacing w:val="-102"/>
                <w:sz w:val="21"/>
                <w:szCs w:val="21"/>
              </w:rPr>
              <w:t> </w:t>
            </w:r>
            <w:r>
              <w:rPr>
                <w:rFonts w:ascii="宋体" w:hAnsi="宋体" w:cs="宋体" w:eastAsia="宋体" w:hint="default"/>
                <w:sz w:val="21"/>
                <w:szCs w:val="21"/>
              </w:rPr>
              <w:t>称</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297" w:right="0"/>
              <w:jc w:val="left"/>
              <w:rPr>
                <w:rFonts w:ascii="宋体" w:hAnsi="宋体" w:cs="宋体" w:eastAsia="宋体" w:hint="default"/>
                <w:sz w:val="21"/>
                <w:szCs w:val="21"/>
              </w:rPr>
            </w:pPr>
            <w:r>
              <w:rPr>
                <w:rFonts w:ascii="宋体" w:hAnsi="宋体" w:cs="宋体" w:eastAsia="宋体" w:hint="default"/>
                <w:sz w:val="21"/>
                <w:szCs w:val="21"/>
              </w:rPr>
              <w:t>预算数</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3"/>
              <w:ind w:left="261" w:right="363"/>
              <w:jc w:val="left"/>
              <w:rPr>
                <w:rFonts w:ascii="宋体" w:hAnsi="宋体" w:cs="宋体" w:eastAsia="宋体" w:hint="default"/>
                <w:sz w:val="21"/>
                <w:szCs w:val="21"/>
              </w:rPr>
            </w:pPr>
            <w:r>
              <w:rPr>
                <w:rFonts w:ascii="宋体" w:hAnsi="宋体" w:cs="宋体" w:eastAsia="宋体" w:hint="default"/>
                <w:sz w:val="21"/>
                <w:szCs w:val="21"/>
              </w:rPr>
              <w:t>期初</w:t>
            </w:r>
            <w:r>
              <w:rPr>
                <w:rFonts w:ascii="宋体" w:hAnsi="宋体" w:cs="宋体" w:eastAsia="宋体" w:hint="default"/>
                <w:spacing w:val="-103"/>
                <w:sz w:val="21"/>
                <w:szCs w:val="21"/>
              </w:rPr>
              <w:t> </w:t>
            </w:r>
            <w:r>
              <w:rPr>
                <w:rFonts w:ascii="宋体" w:hAnsi="宋体" w:cs="宋体" w:eastAsia="宋体" w:hint="default"/>
                <w:sz w:val="21"/>
                <w:szCs w:val="21"/>
              </w:rPr>
              <w:t>余额</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3"/>
              <w:ind w:left="299" w:right="192" w:hanging="212"/>
              <w:jc w:val="left"/>
              <w:rPr>
                <w:rFonts w:ascii="宋体" w:hAnsi="宋体" w:cs="宋体" w:eastAsia="宋体" w:hint="default"/>
                <w:sz w:val="21"/>
                <w:szCs w:val="21"/>
              </w:rPr>
            </w:pPr>
            <w:r>
              <w:rPr>
                <w:rFonts w:ascii="宋体" w:hAnsi="宋体" w:cs="宋体" w:eastAsia="宋体" w:hint="default"/>
                <w:sz w:val="21"/>
                <w:szCs w:val="21"/>
              </w:rPr>
              <w:t>本期增加</w:t>
            </w:r>
            <w:r>
              <w:rPr>
                <w:rFonts w:ascii="宋体" w:hAnsi="宋体" w:cs="宋体" w:eastAsia="宋体" w:hint="default"/>
                <w:w w:val="100"/>
                <w:sz w:val="21"/>
                <w:szCs w:val="21"/>
              </w:rPr>
              <w:t> </w:t>
            </w:r>
            <w:r>
              <w:rPr>
                <w:rFonts w:ascii="宋体" w:hAnsi="宋体" w:cs="宋体" w:eastAsia="宋体" w:hint="default"/>
                <w:sz w:val="21"/>
                <w:szCs w:val="21"/>
              </w:rPr>
              <w:t>金额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9"/>
                <w:szCs w:val="19"/>
              </w:rPr>
            </w:pPr>
          </w:p>
          <w:p>
            <w:pPr>
              <w:pStyle w:val="TableParagraph"/>
              <w:spacing w:line="237" w:lineRule="auto"/>
              <w:ind w:left="103" w:right="175"/>
              <w:jc w:val="center"/>
              <w:rPr>
                <w:rFonts w:ascii="宋体" w:hAnsi="宋体" w:cs="宋体" w:eastAsia="宋体" w:hint="default"/>
                <w:sz w:val="21"/>
                <w:szCs w:val="21"/>
              </w:rPr>
            </w:pPr>
            <w:r>
              <w:rPr>
                <w:rFonts w:ascii="宋体" w:hAnsi="宋体" w:cs="宋体" w:eastAsia="宋体" w:hint="default"/>
                <w:sz w:val="21"/>
                <w:szCs w:val="21"/>
              </w:rPr>
              <w:t>本期转入</w:t>
            </w:r>
            <w:r>
              <w:rPr>
                <w:rFonts w:ascii="宋体" w:hAnsi="宋体" w:cs="宋体" w:eastAsia="宋体" w:hint="default"/>
                <w:w w:val="100"/>
                <w:sz w:val="21"/>
                <w:szCs w:val="21"/>
              </w:rPr>
              <w:t> </w:t>
            </w:r>
            <w:r>
              <w:rPr>
                <w:rFonts w:ascii="宋体" w:hAnsi="宋体" w:cs="宋体" w:eastAsia="宋体" w:hint="default"/>
                <w:sz w:val="21"/>
                <w:szCs w:val="21"/>
              </w:rPr>
              <w:t>固定资产</w:t>
            </w:r>
            <w:r>
              <w:rPr>
                <w:rFonts w:ascii="宋体" w:hAnsi="宋体" w:cs="宋体" w:eastAsia="宋体" w:hint="default"/>
                <w:w w:val="100"/>
                <w:sz w:val="21"/>
                <w:szCs w:val="21"/>
              </w:rPr>
              <w:t> </w:t>
            </w:r>
            <w:r>
              <w:rPr>
                <w:rFonts w:ascii="宋体" w:hAnsi="宋体" w:cs="宋体" w:eastAsia="宋体" w:hint="default"/>
                <w:sz w:val="21"/>
                <w:szCs w:val="21"/>
              </w:rPr>
              <w:t>金额</w:t>
            </w:r>
          </w:p>
        </w:tc>
        <w:tc>
          <w:tcPr>
            <w:tcW w:w="348"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05"/>
              <w:ind w:left="26" w:right="99"/>
              <w:jc w:val="both"/>
              <w:rPr>
                <w:rFonts w:ascii="宋体" w:hAnsi="宋体" w:cs="宋体" w:eastAsia="宋体" w:hint="default"/>
                <w:sz w:val="21"/>
                <w:szCs w:val="21"/>
              </w:rPr>
            </w:pPr>
            <w:r>
              <w:rPr>
                <w:rFonts w:ascii="宋体" w:hAnsi="宋体" w:cs="宋体" w:eastAsia="宋体" w:hint="default"/>
                <w:sz w:val="21"/>
                <w:szCs w:val="21"/>
              </w:rPr>
              <w:t>本</w:t>
            </w:r>
            <w:r>
              <w:rPr>
                <w:rFonts w:ascii="宋体" w:hAnsi="宋体" w:cs="宋体" w:eastAsia="宋体" w:hint="default"/>
                <w:w w:val="100"/>
                <w:sz w:val="21"/>
                <w:szCs w:val="21"/>
              </w:rPr>
              <w:t> </w:t>
            </w:r>
            <w:r>
              <w:rPr>
                <w:rFonts w:ascii="宋体" w:hAnsi="宋体" w:cs="宋体" w:eastAsia="宋体" w:hint="default"/>
                <w:sz w:val="21"/>
                <w:szCs w:val="21"/>
              </w:rPr>
              <w:t>期</w:t>
            </w:r>
            <w:r>
              <w:rPr>
                <w:rFonts w:ascii="宋体" w:hAnsi="宋体" w:cs="宋体" w:eastAsia="宋体" w:hint="default"/>
                <w:w w:val="100"/>
                <w:sz w:val="21"/>
                <w:szCs w:val="21"/>
              </w:rPr>
              <w:t> </w:t>
            </w:r>
            <w:r>
              <w:rPr>
                <w:rFonts w:ascii="宋体" w:hAnsi="宋体" w:cs="宋体" w:eastAsia="宋体" w:hint="default"/>
                <w:sz w:val="21"/>
                <w:szCs w:val="21"/>
              </w:rPr>
              <w:t>其</w:t>
            </w:r>
            <w:r>
              <w:rPr>
                <w:rFonts w:ascii="宋体" w:hAnsi="宋体" w:cs="宋体" w:eastAsia="宋体" w:hint="default"/>
                <w:w w:val="100"/>
                <w:sz w:val="21"/>
                <w:szCs w:val="21"/>
              </w:rPr>
              <w:t> </w:t>
            </w:r>
            <w:r>
              <w:rPr>
                <w:rFonts w:ascii="宋体" w:hAnsi="宋体" w:cs="宋体" w:eastAsia="宋体" w:hint="default"/>
                <w:sz w:val="21"/>
                <w:szCs w:val="21"/>
              </w:rPr>
              <w:t>他</w:t>
            </w:r>
            <w:r>
              <w:rPr>
                <w:rFonts w:ascii="宋体" w:hAnsi="宋体" w:cs="宋体" w:eastAsia="宋体" w:hint="default"/>
                <w:w w:val="100"/>
                <w:sz w:val="21"/>
                <w:szCs w:val="21"/>
              </w:rPr>
              <w:t> </w:t>
            </w:r>
            <w:r>
              <w:rPr>
                <w:rFonts w:ascii="宋体" w:hAnsi="宋体" w:cs="宋体" w:eastAsia="宋体" w:hint="default"/>
                <w:sz w:val="21"/>
                <w:szCs w:val="21"/>
              </w:rPr>
              <w:t>减</w:t>
            </w:r>
            <w:r>
              <w:rPr>
                <w:rFonts w:ascii="宋体" w:hAnsi="宋体" w:cs="宋体" w:eastAsia="宋体" w:hint="default"/>
                <w:w w:val="100"/>
                <w:sz w:val="21"/>
                <w:szCs w:val="21"/>
              </w:rPr>
              <w:t> </w:t>
            </w:r>
            <w:r>
              <w:rPr>
                <w:rFonts w:ascii="宋体" w:hAnsi="宋体" w:cs="宋体" w:eastAsia="宋体" w:hint="default"/>
                <w:sz w:val="21"/>
                <w:szCs w:val="21"/>
              </w:rPr>
              <w:t>少</w:t>
            </w:r>
            <w:r>
              <w:rPr>
                <w:rFonts w:ascii="宋体" w:hAnsi="宋体" w:cs="宋体" w:eastAsia="宋体" w:hint="default"/>
                <w:w w:val="100"/>
                <w:sz w:val="21"/>
                <w:szCs w:val="21"/>
              </w:rPr>
              <w:t> </w:t>
            </w:r>
            <w:r>
              <w:rPr>
                <w:rFonts w:ascii="宋体" w:hAnsi="宋体" w:cs="宋体" w:eastAsia="宋体" w:hint="default"/>
                <w:sz w:val="21"/>
                <w:szCs w:val="21"/>
              </w:rPr>
              <w:t>金</w:t>
            </w:r>
            <w:r>
              <w:rPr>
                <w:rFonts w:ascii="宋体" w:hAnsi="宋体" w:cs="宋体" w:eastAsia="宋体" w:hint="default"/>
                <w:w w:val="100"/>
                <w:sz w:val="21"/>
                <w:szCs w:val="21"/>
              </w:rPr>
              <w:t> </w:t>
            </w:r>
            <w:r>
              <w:rPr>
                <w:rFonts w:ascii="宋体" w:hAnsi="宋体" w:cs="宋体" w:eastAsia="宋体" w:hint="default"/>
                <w:sz w:val="21"/>
                <w:szCs w:val="21"/>
              </w:rPr>
              <w:t>额</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3"/>
              <w:ind w:left="314" w:right="312"/>
              <w:jc w:val="left"/>
              <w:rPr>
                <w:rFonts w:ascii="宋体" w:hAnsi="宋体" w:cs="宋体" w:eastAsia="宋体" w:hint="default"/>
                <w:sz w:val="21"/>
                <w:szCs w:val="21"/>
              </w:rPr>
            </w:pPr>
            <w:r>
              <w:rPr>
                <w:rFonts w:ascii="宋体" w:hAnsi="宋体" w:cs="宋体" w:eastAsia="宋体" w:hint="default"/>
                <w:sz w:val="21"/>
                <w:szCs w:val="21"/>
              </w:rPr>
              <w:t>期末</w:t>
            </w:r>
            <w:r>
              <w:rPr>
                <w:rFonts w:ascii="宋体" w:hAnsi="宋体" w:cs="宋体" w:eastAsia="宋体" w:hint="default"/>
                <w:spacing w:val="-103"/>
                <w:sz w:val="21"/>
                <w:szCs w:val="21"/>
              </w:rPr>
              <w:t> </w:t>
            </w:r>
            <w:r>
              <w:rPr>
                <w:rFonts w:ascii="宋体" w:hAnsi="宋体" w:cs="宋体" w:eastAsia="宋体" w:hint="default"/>
                <w:sz w:val="21"/>
                <w:szCs w:val="21"/>
              </w:rPr>
              <w:t>余额</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37" w:lineRule="auto"/>
              <w:ind w:left="26" w:right="29"/>
              <w:jc w:val="center"/>
              <w:rPr>
                <w:rFonts w:ascii="宋体" w:hAnsi="宋体" w:cs="宋体" w:eastAsia="宋体" w:hint="default"/>
                <w:sz w:val="21"/>
                <w:szCs w:val="21"/>
              </w:rPr>
            </w:pPr>
            <w:r>
              <w:rPr>
                <w:rFonts w:ascii="宋体" w:hAnsi="宋体" w:cs="宋体" w:eastAsia="宋体" w:hint="default"/>
                <w:sz w:val="21"/>
                <w:szCs w:val="21"/>
              </w:rPr>
              <w:t>工程</w:t>
            </w:r>
            <w:r>
              <w:rPr>
                <w:rFonts w:ascii="宋体" w:hAnsi="宋体" w:cs="宋体" w:eastAsia="宋体" w:hint="default"/>
                <w:w w:val="100"/>
                <w:sz w:val="21"/>
                <w:szCs w:val="21"/>
              </w:rPr>
              <w:t> </w:t>
            </w:r>
            <w:r>
              <w:rPr>
                <w:rFonts w:ascii="宋体" w:hAnsi="宋体" w:cs="宋体" w:eastAsia="宋体" w:hint="default"/>
                <w:sz w:val="21"/>
                <w:szCs w:val="21"/>
              </w:rPr>
              <w:t>累计</w:t>
            </w:r>
            <w:r>
              <w:rPr>
                <w:rFonts w:ascii="宋体" w:hAnsi="宋体" w:cs="宋体" w:eastAsia="宋体" w:hint="default"/>
                <w:w w:val="100"/>
                <w:sz w:val="21"/>
                <w:szCs w:val="21"/>
              </w:rPr>
              <w:t> </w:t>
            </w:r>
            <w:r>
              <w:rPr>
                <w:rFonts w:ascii="宋体" w:hAnsi="宋体" w:cs="宋体" w:eastAsia="宋体" w:hint="default"/>
                <w:sz w:val="21"/>
                <w:szCs w:val="21"/>
              </w:rPr>
              <w:t>投入</w:t>
            </w:r>
            <w:r>
              <w:rPr>
                <w:rFonts w:ascii="宋体" w:hAnsi="宋体" w:cs="宋体" w:eastAsia="宋体" w:hint="default"/>
                <w:w w:val="100"/>
                <w:sz w:val="21"/>
                <w:szCs w:val="21"/>
              </w:rPr>
              <w:t> </w:t>
            </w:r>
            <w:r>
              <w:rPr>
                <w:rFonts w:ascii="宋体" w:hAnsi="宋体" w:cs="宋体" w:eastAsia="宋体" w:hint="default"/>
                <w:sz w:val="21"/>
                <w:szCs w:val="21"/>
              </w:rPr>
              <w:t>占预</w:t>
            </w:r>
            <w:r>
              <w:rPr>
                <w:rFonts w:ascii="宋体" w:hAnsi="宋体" w:cs="宋体" w:eastAsia="宋体" w:hint="default"/>
                <w:w w:val="100"/>
                <w:sz w:val="21"/>
                <w:szCs w:val="21"/>
              </w:rPr>
              <w:t> </w:t>
            </w:r>
            <w:r>
              <w:rPr>
                <w:rFonts w:ascii="宋体" w:hAnsi="宋体" w:cs="宋体" w:eastAsia="宋体" w:hint="default"/>
                <w:sz w:val="21"/>
                <w:szCs w:val="21"/>
              </w:rPr>
              <w:t>算比</w:t>
            </w:r>
            <w:r>
              <w:rPr>
                <w:rFonts w:ascii="宋体" w:hAnsi="宋体" w:cs="宋体" w:eastAsia="宋体" w:hint="default"/>
                <w:w w:val="100"/>
                <w:sz w:val="21"/>
                <w:szCs w:val="21"/>
              </w:rPr>
              <w:t> </w:t>
            </w:r>
            <w:r>
              <w:rPr>
                <w:rFonts w:ascii="宋体" w:hAnsi="宋体" w:cs="宋体" w:eastAsia="宋体" w:hint="default"/>
                <w:sz w:val="21"/>
                <w:szCs w:val="21"/>
              </w:rPr>
              <w:t>例</w:t>
            </w:r>
            <w:r>
              <w:rPr>
                <w:rFonts w:ascii="宋体" w:hAnsi="宋体" w:cs="宋体" w:eastAsia="宋体" w:hint="default"/>
                <w:w w:val="100"/>
                <w:sz w:val="21"/>
                <w:szCs w:val="21"/>
              </w:rPr>
              <w:t> </w:t>
            </w:r>
            <w:r>
              <w:rPr>
                <w:rFonts w:ascii="宋体" w:hAnsi="宋体" w:cs="宋体" w:eastAsia="宋体" w:hint="default"/>
                <w:sz w:val="21"/>
                <w:szCs w:val="21"/>
              </w:rPr>
              <w:t>(%)</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29"/>
                <w:szCs w:val="29"/>
              </w:rPr>
            </w:pPr>
          </w:p>
          <w:p>
            <w:pPr>
              <w:pStyle w:val="TableParagraph"/>
              <w:spacing w:line="237" w:lineRule="auto"/>
              <w:ind w:left="122" w:right="120"/>
              <w:jc w:val="both"/>
              <w:rPr>
                <w:rFonts w:ascii="宋体" w:hAnsi="宋体" w:cs="宋体" w:eastAsia="宋体" w:hint="default"/>
                <w:sz w:val="21"/>
                <w:szCs w:val="21"/>
              </w:rPr>
            </w:pPr>
            <w:r>
              <w:rPr>
                <w:rFonts w:ascii="宋体" w:hAnsi="宋体" w:cs="宋体" w:eastAsia="宋体" w:hint="default"/>
                <w:sz w:val="21"/>
                <w:szCs w:val="21"/>
              </w:rPr>
              <w:t>工</w:t>
            </w:r>
            <w:r>
              <w:rPr>
                <w:rFonts w:ascii="宋体" w:hAnsi="宋体" w:cs="宋体" w:eastAsia="宋体" w:hint="default"/>
                <w:w w:val="100"/>
                <w:sz w:val="21"/>
                <w:szCs w:val="21"/>
              </w:rPr>
              <w:t> </w:t>
            </w:r>
            <w:r>
              <w:rPr>
                <w:rFonts w:ascii="宋体" w:hAnsi="宋体" w:cs="宋体" w:eastAsia="宋体" w:hint="default"/>
                <w:sz w:val="21"/>
                <w:szCs w:val="21"/>
              </w:rPr>
              <w:t>程</w:t>
            </w:r>
            <w:r>
              <w:rPr>
                <w:rFonts w:ascii="宋体" w:hAnsi="宋体" w:cs="宋体" w:eastAsia="宋体" w:hint="default"/>
                <w:w w:val="100"/>
                <w:sz w:val="21"/>
                <w:szCs w:val="21"/>
              </w:rPr>
              <w:t> </w:t>
            </w:r>
            <w:r>
              <w:rPr>
                <w:rFonts w:ascii="宋体" w:hAnsi="宋体" w:cs="宋体" w:eastAsia="宋体" w:hint="default"/>
                <w:sz w:val="21"/>
                <w:szCs w:val="21"/>
              </w:rPr>
              <w:t>进</w:t>
            </w:r>
            <w:r>
              <w:rPr>
                <w:rFonts w:ascii="宋体" w:hAnsi="宋体" w:cs="宋体" w:eastAsia="宋体" w:hint="default"/>
                <w:w w:val="100"/>
                <w:sz w:val="21"/>
                <w:szCs w:val="21"/>
              </w:rPr>
              <w:t> </w:t>
            </w:r>
            <w:r>
              <w:rPr>
                <w:rFonts w:ascii="宋体" w:hAnsi="宋体" w:cs="宋体" w:eastAsia="宋体" w:hint="default"/>
                <w:sz w:val="21"/>
                <w:szCs w:val="21"/>
              </w:rPr>
              <w:t>度</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9"/>
                <w:szCs w:val="19"/>
              </w:rPr>
            </w:pPr>
          </w:p>
          <w:p>
            <w:pPr>
              <w:pStyle w:val="TableParagraph"/>
              <w:spacing w:line="237" w:lineRule="auto"/>
              <w:ind w:left="105" w:right="101"/>
              <w:jc w:val="center"/>
              <w:rPr>
                <w:rFonts w:ascii="宋体" w:hAnsi="宋体" w:cs="宋体" w:eastAsia="宋体" w:hint="default"/>
                <w:sz w:val="21"/>
                <w:szCs w:val="21"/>
              </w:rPr>
            </w:pPr>
            <w:r>
              <w:rPr>
                <w:rFonts w:ascii="宋体" w:hAnsi="宋体" w:cs="宋体" w:eastAsia="宋体" w:hint="default"/>
                <w:sz w:val="21"/>
                <w:szCs w:val="21"/>
              </w:rPr>
              <w:t>利息资本</w:t>
            </w:r>
            <w:r>
              <w:rPr>
                <w:rFonts w:ascii="宋体" w:hAnsi="宋体" w:cs="宋体" w:eastAsia="宋体" w:hint="default"/>
                <w:w w:val="100"/>
                <w:sz w:val="21"/>
                <w:szCs w:val="21"/>
              </w:rPr>
              <w:t> </w:t>
            </w:r>
            <w:r>
              <w:rPr>
                <w:rFonts w:ascii="宋体" w:hAnsi="宋体" w:cs="宋体" w:eastAsia="宋体" w:hint="default"/>
                <w:sz w:val="21"/>
                <w:szCs w:val="21"/>
              </w:rPr>
              <w:t>化累计金</w:t>
            </w:r>
            <w:r>
              <w:rPr>
                <w:rFonts w:ascii="宋体" w:hAnsi="宋体" w:cs="宋体" w:eastAsia="宋体" w:hint="default"/>
                <w:w w:val="100"/>
                <w:sz w:val="21"/>
                <w:szCs w:val="21"/>
              </w:rPr>
              <w:t> </w:t>
            </w:r>
            <w:r>
              <w:rPr>
                <w:rFonts w:ascii="宋体" w:hAnsi="宋体" w:cs="宋体" w:eastAsia="宋体" w:hint="default"/>
                <w:sz w:val="21"/>
                <w:szCs w:val="21"/>
              </w:rPr>
              <w:t>额</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9"/>
                <w:szCs w:val="19"/>
              </w:rPr>
            </w:pPr>
          </w:p>
          <w:p>
            <w:pPr>
              <w:pStyle w:val="TableParagraph"/>
              <w:spacing w:line="237" w:lineRule="auto"/>
              <w:ind w:left="57" w:right="57"/>
              <w:jc w:val="both"/>
              <w:rPr>
                <w:rFonts w:ascii="宋体" w:hAnsi="宋体" w:cs="宋体" w:eastAsia="宋体" w:hint="default"/>
                <w:sz w:val="21"/>
                <w:szCs w:val="21"/>
              </w:rPr>
            </w:pPr>
            <w:r>
              <w:rPr>
                <w:rFonts w:ascii="宋体" w:hAnsi="宋体" w:cs="宋体" w:eastAsia="宋体" w:hint="default"/>
                <w:sz w:val="21"/>
                <w:szCs w:val="21"/>
              </w:rPr>
              <w:t>其中：本</w:t>
            </w:r>
            <w:r>
              <w:rPr>
                <w:rFonts w:ascii="宋体" w:hAnsi="宋体" w:cs="宋体" w:eastAsia="宋体" w:hint="default"/>
                <w:w w:val="100"/>
                <w:sz w:val="21"/>
                <w:szCs w:val="21"/>
              </w:rPr>
              <w:t> </w:t>
            </w:r>
            <w:r>
              <w:rPr>
                <w:rFonts w:ascii="宋体" w:hAnsi="宋体" w:cs="宋体" w:eastAsia="宋体" w:hint="default"/>
                <w:sz w:val="21"/>
                <w:szCs w:val="21"/>
              </w:rPr>
              <w:t>期利息资</w:t>
            </w:r>
            <w:r>
              <w:rPr>
                <w:rFonts w:ascii="宋体" w:hAnsi="宋体" w:cs="宋体" w:eastAsia="宋体" w:hint="default"/>
                <w:w w:val="100"/>
                <w:sz w:val="21"/>
                <w:szCs w:val="21"/>
              </w:rPr>
              <w:t> </w:t>
            </w:r>
            <w:r>
              <w:rPr>
                <w:rFonts w:ascii="宋体" w:hAnsi="宋体" w:cs="宋体" w:eastAsia="宋体" w:hint="default"/>
                <w:sz w:val="21"/>
                <w:szCs w:val="21"/>
              </w:rPr>
              <w:t>本化金额</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0" w:right="0"/>
              <w:jc w:val="both"/>
              <w:rPr>
                <w:rFonts w:ascii="宋体" w:hAnsi="宋体" w:cs="宋体" w:eastAsia="宋体" w:hint="default"/>
                <w:sz w:val="21"/>
                <w:szCs w:val="21"/>
              </w:rPr>
            </w:pPr>
            <w:r>
              <w:rPr>
                <w:rFonts w:ascii="宋体" w:hAnsi="宋体" w:cs="宋体" w:eastAsia="宋体" w:hint="default"/>
                <w:w w:val="100"/>
                <w:sz w:val="21"/>
                <w:szCs w:val="21"/>
              </w:rPr>
              <w:t>本</w:t>
            </w:r>
          </w:p>
          <w:p>
            <w:pPr>
              <w:pStyle w:val="TableParagraph"/>
              <w:spacing w:line="237" w:lineRule="auto"/>
              <w:ind w:left="48" w:right="47" w:firstLine="52"/>
              <w:jc w:val="both"/>
              <w:rPr>
                <w:rFonts w:ascii="宋体" w:hAnsi="宋体" w:cs="宋体" w:eastAsia="宋体" w:hint="default"/>
                <w:sz w:val="21"/>
                <w:szCs w:val="21"/>
              </w:rPr>
            </w:pPr>
            <w:r>
              <w:rPr>
                <w:rFonts w:ascii="宋体" w:hAnsi="宋体" w:cs="宋体" w:eastAsia="宋体" w:hint="default"/>
                <w:sz w:val="21"/>
                <w:szCs w:val="21"/>
              </w:rPr>
              <w:t>期</w:t>
            </w:r>
            <w:r>
              <w:rPr>
                <w:rFonts w:ascii="宋体" w:hAnsi="宋体" w:cs="宋体" w:eastAsia="宋体" w:hint="default"/>
                <w:w w:val="100"/>
                <w:sz w:val="21"/>
                <w:szCs w:val="21"/>
              </w:rPr>
              <w:t> </w:t>
            </w:r>
            <w:r>
              <w:rPr>
                <w:rFonts w:ascii="宋体" w:hAnsi="宋体" w:cs="宋体" w:eastAsia="宋体" w:hint="default"/>
                <w:sz w:val="21"/>
                <w:szCs w:val="21"/>
              </w:rPr>
              <w:t>利</w:t>
            </w:r>
            <w:r>
              <w:rPr>
                <w:rFonts w:ascii="宋体" w:hAnsi="宋体" w:cs="宋体" w:eastAsia="宋体" w:hint="default"/>
                <w:w w:val="100"/>
                <w:sz w:val="21"/>
                <w:szCs w:val="21"/>
              </w:rPr>
              <w:t> </w:t>
            </w:r>
            <w:r>
              <w:rPr>
                <w:rFonts w:ascii="宋体" w:hAnsi="宋体" w:cs="宋体" w:eastAsia="宋体" w:hint="default"/>
                <w:sz w:val="21"/>
                <w:szCs w:val="21"/>
              </w:rPr>
              <w:t>息</w:t>
            </w:r>
            <w:r>
              <w:rPr>
                <w:rFonts w:ascii="宋体" w:hAnsi="宋体" w:cs="宋体" w:eastAsia="宋体" w:hint="default"/>
                <w:w w:val="100"/>
                <w:sz w:val="21"/>
                <w:szCs w:val="21"/>
              </w:rPr>
              <w:t> </w:t>
            </w:r>
            <w:r>
              <w:rPr>
                <w:rFonts w:ascii="宋体" w:hAnsi="宋体" w:cs="宋体" w:eastAsia="宋体" w:hint="default"/>
                <w:sz w:val="21"/>
                <w:szCs w:val="21"/>
              </w:rPr>
              <w:t>资</w:t>
            </w:r>
            <w:r>
              <w:rPr>
                <w:rFonts w:ascii="宋体" w:hAnsi="宋体" w:cs="宋体" w:eastAsia="宋体" w:hint="default"/>
                <w:w w:val="100"/>
                <w:sz w:val="21"/>
                <w:szCs w:val="21"/>
              </w:rPr>
              <w:t> </w:t>
            </w:r>
            <w:r>
              <w:rPr>
                <w:rFonts w:ascii="宋体" w:hAnsi="宋体" w:cs="宋体" w:eastAsia="宋体" w:hint="default"/>
                <w:sz w:val="21"/>
                <w:szCs w:val="21"/>
              </w:rPr>
              <w:t>本</w:t>
            </w:r>
            <w:r>
              <w:rPr>
                <w:rFonts w:ascii="宋体" w:hAnsi="宋体" w:cs="宋体" w:eastAsia="宋体" w:hint="default"/>
                <w:w w:val="100"/>
                <w:sz w:val="21"/>
                <w:szCs w:val="21"/>
              </w:rPr>
              <w:t> </w:t>
            </w:r>
            <w:r>
              <w:rPr>
                <w:rFonts w:ascii="宋体" w:hAnsi="宋体" w:cs="宋体" w:eastAsia="宋体" w:hint="default"/>
                <w:sz w:val="21"/>
                <w:szCs w:val="21"/>
              </w:rPr>
              <w:t>化</w:t>
            </w:r>
            <w:r>
              <w:rPr>
                <w:rFonts w:ascii="宋体" w:hAnsi="宋体" w:cs="宋体" w:eastAsia="宋体" w:hint="default"/>
                <w:w w:val="100"/>
                <w:sz w:val="21"/>
                <w:szCs w:val="21"/>
              </w:rPr>
              <w:t> </w:t>
            </w:r>
            <w:r>
              <w:rPr>
                <w:rFonts w:ascii="宋体" w:hAnsi="宋体" w:cs="宋体" w:eastAsia="宋体" w:hint="default"/>
                <w:sz w:val="21"/>
                <w:szCs w:val="21"/>
              </w:rPr>
              <w:t>率</w:t>
            </w:r>
            <w:r>
              <w:rPr>
                <w:rFonts w:ascii="宋体" w:hAnsi="宋体" w:cs="宋体" w:eastAsia="宋体" w:hint="default"/>
                <w:w w:val="100"/>
                <w:sz w:val="21"/>
                <w:szCs w:val="21"/>
              </w:rPr>
              <w:t> </w:t>
            </w:r>
            <w:r>
              <w:rPr>
                <w:rFonts w:ascii="宋体" w:hAnsi="宋体" w:cs="宋体" w:eastAsia="宋体" w:hint="default"/>
                <w:sz w:val="21"/>
                <w:szCs w:val="21"/>
              </w:rPr>
              <w:t>(%)</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3"/>
              <w:ind w:left="67" w:right="69"/>
              <w:jc w:val="left"/>
              <w:rPr>
                <w:rFonts w:ascii="宋体" w:hAnsi="宋体" w:cs="宋体" w:eastAsia="宋体" w:hint="default"/>
                <w:sz w:val="21"/>
                <w:szCs w:val="21"/>
              </w:rPr>
            </w:pPr>
            <w:r>
              <w:rPr>
                <w:rFonts w:ascii="宋体" w:hAnsi="宋体" w:cs="宋体" w:eastAsia="宋体" w:hint="default"/>
                <w:sz w:val="21"/>
                <w:szCs w:val="21"/>
              </w:rPr>
              <w:t>资金</w:t>
            </w:r>
            <w:r>
              <w:rPr>
                <w:rFonts w:ascii="宋体" w:hAnsi="宋体" w:cs="宋体" w:eastAsia="宋体" w:hint="default"/>
                <w:spacing w:val="-103"/>
                <w:sz w:val="21"/>
                <w:szCs w:val="21"/>
              </w:rPr>
              <w:t> </w:t>
            </w:r>
            <w:r>
              <w:rPr>
                <w:rFonts w:ascii="宋体" w:hAnsi="宋体" w:cs="宋体" w:eastAsia="宋体" w:hint="default"/>
                <w:sz w:val="21"/>
                <w:szCs w:val="21"/>
              </w:rPr>
              <w:t>来源</w:t>
            </w:r>
          </w:p>
        </w:tc>
      </w:tr>
    </w:tbl>
    <w:p>
      <w:pPr>
        <w:spacing w:after="0" w:line="240" w:lineRule="auto"/>
        <w:jc w:val="left"/>
        <w:rPr>
          <w:rFonts w:ascii="宋体" w:hAnsi="宋体" w:cs="宋体" w:eastAsia="宋体" w:hint="default"/>
          <w:sz w:val="21"/>
          <w:szCs w:val="21"/>
        </w:rPr>
        <w:sectPr>
          <w:type w:val="continuous"/>
          <w:pgSz w:w="11910" w:h="16840"/>
          <w:pgMar w:top="1320" w:bottom="1380" w:left="380" w:right="300"/>
        </w:sectPr>
      </w:pPr>
    </w:p>
    <w:p>
      <w:pPr>
        <w:spacing w:line="240" w:lineRule="auto" w:before="6"/>
        <w:rPr>
          <w:rFonts w:ascii="宋体" w:hAnsi="宋体" w:cs="宋体" w:eastAsia="宋体" w:hint="default"/>
          <w:sz w:val="14"/>
          <w:szCs w:val="14"/>
        </w:rPr>
      </w:pPr>
    </w:p>
    <w:tbl>
      <w:tblPr>
        <w:tblW w:w="0" w:type="auto"/>
        <w:jc w:val="left"/>
        <w:tblInd w:w="100" w:type="dxa"/>
        <w:tblLayout w:type="fixed"/>
        <w:tblCellMar>
          <w:top w:w="0" w:type="dxa"/>
          <w:left w:w="0" w:type="dxa"/>
          <w:bottom w:w="0" w:type="dxa"/>
          <w:right w:w="0" w:type="dxa"/>
        </w:tblCellMar>
        <w:tblLook w:val="01E0"/>
      </w:tblPr>
      <w:tblGrid>
        <w:gridCol w:w="951"/>
        <w:gridCol w:w="1344"/>
        <w:gridCol w:w="1059"/>
        <w:gridCol w:w="1135"/>
        <w:gridCol w:w="1133"/>
        <w:gridCol w:w="348"/>
        <w:gridCol w:w="1061"/>
        <w:gridCol w:w="490"/>
        <w:gridCol w:w="466"/>
        <w:gridCol w:w="1061"/>
        <w:gridCol w:w="970"/>
        <w:gridCol w:w="422"/>
        <w:gridCol w:w="569"/>
      </w:tblGrid>
      <w:tr>
        <w:trPr>
          <w:trHeight w:val="946" w:hRule="exact"/>
        </w:trPr>
        <w:tc>
          <w:tcPr>
            <w:tcW w:w="95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26" w:right="0"/>
              <w:jc w:val="left"/>
              <w:rPr>
                <w:rFonts w:ascii="宋体" w:hAnsi="宋体" w:cs="宋体" w:eastAsia="宋体" w:hint="default"/>
                <w:sz w:val="18"/>
                <w:szCs w:val="18"/>
              </w:rPr>
            </w:pPr>
            <w:r>
              <w:rPr>
                <w:rFonts w:ascii="宋体" w:hAnsi="宋体" w:cs="宋体" w:eastAsia="宋体" w:hint="default"/>
                <w:sz w:val="18"/>
                <w:szCs w:val="18"/>
              </w:rPr>
              <w:t>用友软件</w:t>
            </w:r>
          </w:p>
          <w:p>
            <w:pPr>
              <w:pStyle w:val="TableParagraph"/>
              <w:spacing w:line="232" w:lineRule="exact" w:before="23"/>
              <w:ind w:left="26" w:right="192"/>
              <w:jc w:val="left"/>
              <w:rPr>
                <w:rFonts w:ascii="宋体" w:hAnsi="宋体" w:cs="宋体" w:eastAsia="宋体" w:hint="default"/>
                <w:sz w:val="18"/>
                <w:szCs w:val="18"/>
              </w:rPr>
            </w:pPr>
            <w:r>
              <w:rPr>
                <w:rFonts w:ascii="宋体" w:hAnsi="宋体" w:cs="宋体" w:eastAsia="宋体" w:hint="default"/>
                <w:sz w:val="18"/>
                <w:szCs w:val="18"/>
              </w:rPr>
              <w:t>园项目二 期工程</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29"/>
              <w:jc w:val="right"/>
              <w:rPr>
                <w:rFonts w:ascii="宋体" w:hAnsi="宋体" w:cs="宋体" w:eastAsia="宋体" w:hint="default"/>
                <w:sz w:val="18"/>
                <w:szCs w:val="18"/>
              </w:rPr>
            </w:pPr>
            <w:r>
              <w:rPr>
                <w:rFonts w:ascii="宋体"/>
                <w:spacing w:val="-1"/>
                <w:sz w:val="18"/>
              </w:rPr>
              <w:t>1,465,000,000</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4" w:right="0"/>
              <w:jc w:val="center"/>
              <w:rPr>
                <w:rFonts w:ascii="宋体" w:hAnsi="宋体" w:cs="宋体" w:eastAsia="宋体" w:hint="default"/>
                <w:sz w:val="18"/>
                <w:szCs w:val="18"/>
              </w:rPr>
            </w:pPr>
            <w:r>
              <w:rPr>
                <w:rFonts w:ascii="宋体"/>
                <w:sz w:val="18"/>
              </w:rPr>
              <w:t>487,258,935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98"/>
              <w:jc w:val="right"/>
              <w:rPr>
                <w:rFonts w:ascii="宋体" w:hAnsi="宋体" w:cs="宋体" w:eastAsia="宋体" w:hint="default"/>
                <w:sz w:val="18"/>
                <w:szCs w:val="18"/>
              </w:rPr>
            </w:pPr>
            <w:r>
              <w:rPr>
                <w:rFonts w:ascii="宋体"/>
                <w:spacing w:val="-1"/>
                <w:sz w:val="18"/>
              </w:rPr>
              <w:t>112,596,273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67"/>
              <w:jc w:val="center"/>
              <w:rPr>
                <w:rFonts w:ascii="宋体" w:hAnsi="宋体" w:cs="宋体" w:eastAsia="宋体" w:hint="default"/>
                <w:sz w:val="18"/>
                <w:szCs w:val="18"/>
              </w:rPr>
            </w:pPr>
            <w:r>
              <w:rPr>
                <w:rFonts w:ascii="宋体"/>
                <w:sz w:val="18"/>
              </w:rPr>
              <w:t>599,855,208</w:t>
            </w:r>
          </w:p>
        </w:tc>
        <w:tc>
          <w:tcPr>
            <w:tcW w:w="348"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4"/>
              <w:jc w:val="right"/>
              <w:rPr>
                <w:rFonts w:ascii="宋体" w:hAnsi="宋体" w:cs="宋体" w:eastAsia="宋体" w:hint="default"/>
                <w:sz w:val="18"/>
                <w:szCs w:val="18"/>
              </w:rPr>
            </w:pPr>
            <w:r>
              <w:rPr>
                <w:rFonts w:ascii="宋体"/>
                <w:sz w:val="18"/>
              </w:rPr>
              <w:t>100</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3"/>
              <w:jc w:val="right"/>
              <w:rPr>
                <w:rFonts w:ascii="宋体" w:hAnsi="宋体" w:cs="宋体" w:eastAsia="宋体" w:hint="default"/>
                <w:sz w:val="18"/>
                <w:szCs w:val="18"/>
              </w:rPr>
            </w:pPr>
            <w:r>
              <w:rPr>
                <w:rFonts w:ascii="宋体"/>
                <w:sz w:val="18"/>
              </w:rPr>
              <w:t>100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98" w:right="0"/>
              <w:jc w:val="center"/>
              <w:rPr>
                <w:rFonts w:ascii="宋体" w:hAnsi="宋体" w:cs="宋体" w:eastAsia="宋体" w:hint="default"/>
                <w:sz w:val="18"/>
                <w:szCs w:val="18"/>
              </w:rPr>
            </w:pPr>
            <w:r>
              <w:rPr>
                <w:rFonts w:ascii="宋体"/>
                <w:sz w:val="18"/>
              </w:rPr>
              <w:t>74,267,305</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6"/>
              <w:jc w:val="right"/>
              <w:rPr>
                <w:rFonts w:ascii="宋体" w:hAnsi="宋体" w:cs="宋体" w:eastAsia="宋体" w:hint="default"/>
                <w:sz w:val="18"/>
                <w:szCs w:val="18"/>
              </w:rPr>
            </w:pPr>
            <w:r>
              <w:rPr>
                <w:rFonts w:ascii="宋体"/>
                <w:spacing w:val="-1"/>
                <w:sz w:val="18"/>
              </w:rPr>
              <w:t>8,181,468</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6" w:right="0"/>
              <w:jc w:val="left"/>
              <w:rPr>
                <w:rFonts w:ascii="宋体" w:hAnsi="宋体" w:cs="宋体" w:eastAsia="宋体" w:hint="default"/>
                <w:sz w:val="18"/>
                <w:szCs w:val="18"/>
              </w:rPr>
            </w:pPr>
            <w:r>
              <w:rPr>
                <w:rFonts w:ascii="宋体"/>
                <w:sz w:val="18"/>
              </w:rPr>
              <w:t>6.66</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24" w:right="0" w:firstLine="91"/>
              <w:jc w:val="left"/>
              <w:rPr>
                <w:rFonts w:ascii="宋体" w:hAnsi="宋体" w:cs="宋体" w:eastAsia="宋体" w:hint="default"/>
                <w:sz w:val="18"/>
                <w:szCs w:val="18"/>
              </w:rPr>
            </w:pPr>
            <w:r>
              <w:rPr>
                <w:rFonts w:ascii="宋体" w:hAnsi="宋体" w:cs="宋体" w:eastAsia="宋体" w:hint="default"/>
                <w:sz w:val="18"/>
                <w:szCs w:val="18"/>
              </w:rPr>
              <w:t>自筹</w:t>
            </w:r>
          </w:p>
          <w:p>
            <w:pPr>
              <w:pStyle w:val="TableParagraph"/>
              <w:spacing w:line="232" w:lineRule="exact" w:before="23"/>
              <w:ind w:left="24" w:right="83"/>
              <w:jc w:val="left"/>
              <w:rPr>
                <w:rFonts w:ascii="宋体" w:hAnsi="宋体" w:cs="宋体" w:eastAsia="宋体" w:hint="default"/>
                <w:sz w:val="18"/>
                <w:szCs w:val="18"/>
              </w:rPr>
            </w:pPr>
            <w:r>
              <w:rPr>
                <w:rFonts w:ascii="宋体" w:hAnsi="宋体" w:cs="宋体" w:eastAsia="宋体" w:hint="default"/>
                <w:sz w:val="18"/>
                <w:szCs w:val="18"/>
              </w:rPr>
              <w:t>资金</w:t>
            </w:r>
            <w:r>
              <w:rPr>
                <w:rFonts w:ascii="宋体" w:hAnsi="宋体" w:cs="宋体" w:eastAsia="宋体" w:hint="default"/>
                <w:sz w:val="18"/>
                <w:szCs w:val="18"/>
              </w:rPr>
              <w:t>/ </w:t>
            </w:r>
            <w:r>
              <w:rPr>
                <w:rFonts w:ascii="宋体" w:hAnsi="宋体" w:cs="宋体" w:eastAsia="宋体" w:hint="default"/>
                <w:sz w:val="18"/>
                <w:szCs w:val="18"/>
              </w:rPr>
              <w:t>银行 贷款</w:t>
            </w:r>
          </w:p>
        </w:tc>
      </w:tr>
      <w:tr>
        <w:trPr>
          <w:trHeight w:val="943" w:hRule="exact"/>
        </w:trPr>
        <w:tc>
          <w:tcPr>
            <w:tcW w:w="95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6" w:right="0"/>
              <w:jc w:val="left"/>
              <w:rPr>
                <w:rFonts w:ascii="宋体" w:hAnsi="宋体" w:cs="宋体" w:eastAsia="宋体" w:hint="default"/>
                <w:sz w:val="18"/>
                <w:szCs w:val="18"/>
              </w:rPr>
            </w:pPr>
            <w:r>
              <w:rPr>
                <w:rFonts w:ascii="宋体" w:hAnsi="宋体" w:cs="宋体" w:eastAsia="宋体" w:hint="default"/>
                <w:sz w:val="18"/>
                <w:szCs w:val="18"/>
              </w:rPr>
              <w:t>用友</w:t>
            </w:r>
            <w:r>
              <w:rPr>
                <w:rFonts w:ascii="宋体" w:hAnsi="宋体" w:cs="宋体" w:eastAsia="宋体" w:hint="default"/>
                <w:sz w:val="18"/>
                <w:szCs w:val="18"/>
              </w:rPr>
              <w:t>(</w:t>
            </w:r>
            <w:r>
              <w:rPr>
                <w:rFonts w:ascii="宋体" w:hAnsi="宋体" w:cs="宋体" w:eastAsia="宋体" w:hint="default"/>
                <w:sz w:val="18"/>
                <w:szCs w:val="18"/>
              </w:rPr>
              <w:t>南</w:t>
            </w:r>
          </w:p>
          <w:p>
            <w:pPr>
              <w:pStyle w:val="TableParagraph"/>
              <w:spacing w:line="232" w:lineRule="exact" w:before="23"/>
              <w:ind w:left="26" w:right="281"/>
              <w:jc w:val="left"/>
              <w:rPr>
                <w:rFonts w:ascii="宋体" w:hAnsi="宋体" w:cs="宋体" w:eastAsia="宋体" w:hint="default"/>
                <w:sz w:val="18"/>
                <w:szCs w:val="18"/>
              </w:rPr>
            </w:pPr>
            <w:r>
              <w:rPr>
                <w:rFonts w:ascii="宋体" w:hAnsi="宋体" w:cs="宋体" w:eastAsia="宋体" w:hint="default"/>
                <w:sz w:val="18"/>
                <w:szCs w:val="18"/>
              </w:rPr>
              <w:t>昌</w:t>
            </w:r>
            <w:r>
              <w:rPr>
                <w:rFonts w:ascii="宋体" w:hAnsi="宋体" w:cs="宋体" w:eastAsia="宋体" w:hint="default"/>
                <w:sz w:val="18"/>
                <w:szCs w:val="18"/>
              </w:rPr>
              <w:t>)</w:t>
            </w:r>
            <w:r>
              <w:rPr>
                <w:rFonts w:ascii="宋体" w:hAnsi="宋体" w:cs="宋体" w:eastAsia="宋体" w:hint="default"/>
                <w:sz w:val="18"/>
                <w:szCs w:val="18"/>
              </w:rPr>
              <w:t>工程 一期</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29"/>
              <w:jc w:val="right"/>
              <w:rPr>
                <w:rFonts w:ascii="宋体" w:hAnsi="宋体" w:cs="宋体" w:eastAsia="宋体" w:hint="default"/>
                <w:sz w:val="18"/>
                <w:szCs w:val="18"/>
              </w:rPr>
            </w:pPr>
            <w:r>
              <w:rPr>
                <w:rFonts w:ascii="宋体"/>
                <w:spacing w:val="-1"/>
                <w:sz w:val="18"/>
              </w:rPr>
              <w:t>412,000,000</w:t>
            </w:r>
          </w:p>
        </w:tc>
        <w:tc>
          <w:tcPr>
            <w:tcW w:w="1059"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-6,970,657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 w:right="0"/>
              <w:jc w:val="center"/>
              <w:rPr>
                <w:rFonts w:ascii="宋体" w:hAnsi="宋体" w:cs="宋体" w:eastAsia="宋体" w:hint="default"/>
                <w:sz w:val="18"/>
                <w:szCs w:val="18"/>
              </w:rPr>
            </w:pPr>
            <w:r>
              <w:rPr>
                <w:rFonts w:ascii="宋体"/>
                <w:sz w:val="18"/>
              </w:rPr>
              <w:t>-6,970,657</w:t>
            </w:r>
          </w:p>
        </w:tc>
        <w:tc>
          <w:tcPr>
            <w:tcW w:w="348"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z w:val="18"/>
              </w:rPr>
              <w:t>100</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100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8" w:right="0"/>
              <w:jc w:val="center"/>
              <w:rPr>
                <w:rFonts w:ascii="宋体" w:hAnsi="宋体" w:cs="宋体" w:eastAsia="宋体" w:hint="default"/>
                <w:sz w:val="18"/>
                <w:szCs w:val="18"/>
              </w:rPr>
            </w:pPr>
            <w:r>
              <w:rPr>
                <w:rFonts w:ascii="宋体"/>
                <w:sz w:val="18"/>
              </w:rPr>
              <w:t>16,813,405</w:t>
            </w:r>
          </w:p>
        </w:tc>
        <w:tc>
          <w:tcPr>
            <w:tcW w:w="97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4" w:right="0" w:firstLine="91"/>
              <w:jc w:val="left"/>
              <w:rPr>
                <w:rFonts w:ascii="宋体" w:hAnsi="宋体" w:cs="宋体" w:eastAsia="宋体" w:hint="default"/>
                <w:sz w:val="18"/>
                <w:szCs w:val="18"/>
              </w:rPr>
            </w:pPr>
            <w:r>
              <w:rPr>
                <w:rFonts w:ascii="宋体" w:hAnsi="宋体" w:cs="宋体" w:eastAsia="宋体" w:hint="default"/>
                <w:sz w:val="18"/>
                <w:szCs w:val="18"/>
              </w:rPr>
              <w:t>自筹</w:t>
            </w:r>
          </w:p>
          <w:p>
            <w:pPr>
              <w:pStyle w:val="TableParagraph"/>
              <w:spacing w:line="237" w:lineRule="auto"/>
              <w:ind w:left="24" w:right="83"/>
              <w:jc w:val="left"/>
              <w:rPr>
                <w:rFonts w:ascii="宋体" w:hAnsi="宋体" w:cs="宋体" w:eastAsia="宋体" w:hint="default"/>
                <w:sz w:val="18"/>
                <w:szCs w:val="18"/>
              </w:rPr>
            </w:pPr>
            <w:r>
              <w:rPr>
                <w:rFonts w:ascii="宋体" w:hAnsi="宋体" w:cs="宋体" w:eastAsia="宋体" w:hint="default"/>
                <w:sz w:val="18"/>
                <w:szCs w:val="18"/>
              </w:rPr>
              <w:t>资金</w:t>
            </w:r>
            <w:r>
              <w:rPr>
                <w:rFonts w:ascii="宋体" w:hAnsi="宋体" w:cs="宋体" w:eastAsia="宋体" w:hint="default"/>
                <w:sz w:val="18"/>
                <w:szCs w:val="18"/>
              </w:rPr>
              <w:t>/ </w:t>
            </w:r>
            <w:r>
              <w:rPr>
                <w:rFonts w:ascii="宋体" w:hAnsi="宋体" w:cs="宋体" w:eastAsia="宋体" w:hint="default"/>
                <w:sz w:val="18"/>
                <w:szCs w:val="18"/>
              </w:rPr>
              <w:t>银行 贷款</w:t>
            </w:r>
          </w:p>
        </w:tc>
      </w:tr>
      <w:tr>
        <w:trPr>
          <w:trHeight w:val="943" w:hRule="exact"/>
        </w:trPr>
        <w:tc>
          <w:tcPr>
            <w:tcW w:w="95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6" w:right="0"/>
              <w:jc w:val="left"/>
              <w:rPr>
                <w:rFonts w:ascii="宋体" w:hAnsi="宋体" w:cs="宋体" w:eastAsia="宋体" w:hint="default"/>
                <w:sz w:val="18"/>
                <w:szCs w:val="18"/>
              </w:rPr>
            </w:pPr>
            <w:r>
              <w:rPr>
                <w:rFonts w:ascii="宋体" w:hAnsi="宋体" w:cs="宋体" w:eastAsia="宋体" w:hint="default"/>
                <w:sz w:val="18"/>
                <w:szCs w:val="18"/>
              </w:rPr>
              <w:t>用友</w:t>
            </w:r>
            <w:r>
              <w:rPr>
                <w:rFonts w:ascii="宋体" w:hAnsi="宋体" w:cs="宋体" w:eastAsia="宋体" w:hint="default"/>
                <w:sz w:val="18"/>
                <w:szCs w:val="18"/>
              </w:rPr>
              <w:t>(</w:t>
            </w:r>
            <w:r>
              <w:rPr>
                <w:rFonts w:ascii="宋体" w:hAnsi="宋体" w:cs="宋体" w:eastAsia="宋体" w:hint="default"/>
                <w:sz w:val="18"/>
                <w:szCs w:val="18"/>
              </w:rPr>
              <w:t>南</w:t>
            </w:r>
          </w:p>
          <w:p>
            <w:pPr>
              <w:pStyle w:val="TableParagraph"/>
              <w:spacing w:line="240" w:lineRule="auto"/>
              <w:ind w:left="26" w:right="281"/>
              <w:jc w:val="left"/>
              <w:rPr>
                <w:rFonts w:ascii="宋体" w:hAnsi="宋体" w:cs="宋体" w:eastAsia="宋体" w:hint="default"/>
                <w:sz w:val="18"/>
                <w:szCs w:val="18"/>
              </w:rPr>
            </w:pPr>
            <w:r>
              <w:rPr>
                <w:rFonts w:ascii="宋体" w:hAnsi="宋体" w:cs="宋体" w:eastAsia="宋体" w:hint="default"/>
                <w:sz w:val="18"/>
                <w:szCs w:val="18"/>
              </w:rPr>
              <w:t>昌</w:t>
            </w:r>
            <w:r>
              <w:rPr>
                <w:rFonts w:ascii="宋体" w:hAnsi="宋体" w:cs="宋体" w:eastAsia="宋体" w:hint="default"/>
                <w:sz w:val="18"/>
                <w:szCs w:val="18"/>
              </w:rPr>
              <w:t>)</w:t>
            </w:r>
            <w:r>
              <w:rPr>
                <w:rFonts w:ascii="宋体" w:hAnsi="宋体" w:cs="宋体" w:eastAsia="宋体" w:hint="default"/>
                <w:sz w:val="18"/>
                <w:szCs w:val="18"/>
              </w:rPr>
              <w:t>工程 二期</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29"/>
              <w:jc w:val="right"/>
              <w:rPr>
                <w:rFonts w:ascii="宋体" w:hAnsi="宋体" w:cs="宋体" w:eastAsia="宋体" w:hint="default"/>
                <w:sz w:val="18"/>
                <w:szCs w:val="18"/>
              </w:rPr>
            </w:pPr>
            <w:r>
              <w:rPr>
                <w:rFonts w:ascii="宋体"/>
                <w:spacing w:val="-1"/>
                <w:sz w:val="18"/>
              </w:rPr>
              <w:t>300,000,000</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5" w:right="0"/>
              <w:jc w:val="center"/>
              <w:rPr>
                <w:rFonts w:ascii="宋体" w:hAnsi="宋体" w:cs="宋体" w:eastAsia="宋体" w:hint="default"/>
                <w:sz w:val="18"/>
                <w:szCs w:val="18"/>
              </w:rPr>
            </w:pPr>
            <w:r>
              <w:rPr>
                <w:rFonts w:ascii="宋体"/>
                <w:sz w:val="18"/>
              </w:rPr>
              <w:t>34,710,871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110,920,412</w:t>
            </w:r>
          </w:p>
        </w:tc>
        <w:tc>
          <w:tcPr>
            <w:tcW w:w="1133" w:type="dxa"/>
            <w:tcBorders>
              <w:top w:val="single" w:sz="4" w:space="0" w:color="000000"/>
              <w:left w:val="single" w:sz="4" w:space="0" w:color="000000"/>
              <w:bottom w:val="single" w:sz="4" w:space="0" w:color="000000"/>
              <w:right w:val="single" w:sz="4" w:space="0" w:color="000000"/>
            </w:tcBorders>
          </w:tcPr>
          <w:p>
            <w:pPr/>
          </w:p>
        </w:tc>
        <w:tc>
          <w:tcPr>
            <w:tcW w:w="348"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7" w:right="0"/>
              <w:jc w:val="center"/>
              <w:rPr>
                <w:rFonts w:ascii="宋体" w:hAnsi="宋体" w:cs="宋体" w:eastAsia="宋体" w:hint="default"/>
                <w:sz w:val="18"/>
                <w:szCs w:val="18"/>
              </w:rPr>
            </w:pPr>
            <w:r>
              <w:rPr>
                <w:rFonts w:ascii="宋体"/>
                <w:sz w:val="18"/>
              </w:rPr>
              <w:t>145,631,283</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z w:val="18"/>
              </w:rPr>
              <w:t>49</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49</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8" w:right="0"/>
              <w:jc w:val="center"/>
              <w:rPr>
                <w:rFonts w:ascii="宋体" w:hAnsi="宋体" w:cs="宋体" w:eastAsia="宋体" w:hint="default"/>
                <w:sz w:val="18"/>
                <w:szCs w:val="18"/>
              </w:rPr>
            </w:pPr>
            <w:r>
              <w:rPr>
                <w:rFonts w:ascii="宋体"/>
                <w:sz w:val="18"/>
              </w:rPr>
              <w:t>22,371,181</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6"/>
              <w:jc w:val="right"/>
              <w:rPr>
                <w:rFonts w:ascii="宋体" w:hAnsi="宋体" w:cs="宋体" w:eastAsia="宋体" w:hint="default"/>
                <w:sz w:val="18"/>
                <w:szCs w:val="18"/>
              </w:rPr>
            </w:pPr>
            <w:r>
              <w:rPr>
                <w:rFonts w:ascii="宋体"/>
                <w:spacing w:val="-1"/>
                <w:sz w:val="18"/>
              </w:rPr>
              <w:t>13,478,125</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 w:right="0"/>
              <w:jc w:val="left"/>
              <w:rPr>
                <w:rFonts w:ascii="宋体" w:hAnsi="宋体" w:cs="宋体" w:eastAsia="宋体" w:hint="default"/>
                <w:sz w:val="18"/>
                <w:szCs w:val="18"/>
              </w:rPr>
            </w:pPr>
            <w:r>
              <w:rPr>
                <w:rFonts w:ascii="宋体"/>
                <w:sz w:val="18"/>
              </w:rPr>
              <w:t>4.77</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4" w:right="0"/>
              <w:jc w:val="left"/>
              <w:rPr>
                <w:rFonts w:ascii="宋体" w:hAnsi="宋体" w:cs="宋体" w:eastAsia="宋体" w:hint="default"/>
                <w:sz w:val="18"/>
                <w:szCs w:val="18"/>
              </w:rPr>
            </w:pPr>
            <w:r>
              <w:rPr>
                <w:rFonts w:ascii="宋体" w:hAnsi="宋体" w:cs="宋体" w:eastAsia="宋体" w:hint="default"/>
                <w:sz w:val="18"/>
                <w:szCs w:val="18"/>
              </w:rPr>
              <w:t>自筹</w:t>
            </w:r>
          </w:p>
          <w:p>
            <w:pPr>
              <w:pStyle w:val="TableParagraph"/>
              <w:spacing w:line="237" w:lineRule="auto"/>
              <w:ind w:left="24" w:right="83"/>
              <w:jc w:val="left"/>
              <w:rPr>
                <w:rFonts w:ascii="宋体" w:hAnsi="宋体" w:cs="宋体" w:eastAsia="宋体" w:hint="default"/>
                <w:sz w:val="18"/>
                <w:szCs w:val="18"/>
              </w:rPr>
            </w:pPr>
            <w:r>
              <w:rPr>
                <w:rFonts w:ascii="宋体" w:hAnsi="宋体" w:cs="宋体" w:eastAsia="宋体" w:hint="default"/>
                <w:sz w:val="18"/>
                <w:szCs w:val="18"/>
              </w:rPr>
              <w:t>资金</w:t>
            </w:r>
            <w:r>
              <w:rPr>
                <w:rFonts w:ascii="宋体" w:hAnsi="宋体" w:cs="宋体" w:eastAsia="宋体" w:hint="default"/>
                <w:sz w:val="18"/>
                <w:szCs w:val="18"/>
              </w:rPr>
              <w:t>/ </w:t>
            </w:r>
            <w:r>
              <w:rPr>
                <w:rFonts w:ascii="宋体" w:hAnsi="宋体" w:cs="宋体" w:eastAsia="宋体" w:hint="default"/>
                <w:sz w:val="18"/>
                <w:szCs w:val="18"/>
              </w:rPr>
              <w:t>银行 贷款</w:t>
            </w:r>
          </w:p>
        </w:tc>
      </w:tr>
      <w:tr>
        <w:trPr>
          <w:trHeight w:val="478" w:hRule="exact"/>
        </w:trPr>
        <w:tc>
          <w:tcPr>
            <w:tcW w:w="95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 w:right="0"/>
              <w:jc w:val="left"/>
              <w:rPr>
                <w:rFonts w:ascii="宋体" w:hAnsi="宋体" w:cs="宋体" w:eastAsia="宋体" w:hint="default"/>
                <w:sz w:val="18"/>
                <w:szCs w:val="18"/>
              </w:rPr>
            </w:pPr>
            <w:r>
              <w:rPr>
                <w:rFonts w:ascii="宋体" w:hAnsi="宋体" w:cs="宋体" w:eastAsia="宋体" w:hint="default"/>
                <w:sz w:val="18"/>
                <w:szCs w:val="18"/>
              </w:rPr>
              <w:t>三亚软件</w:t>
            </w: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园一期</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29"/>
              <w:jc w:val="right"/>
              <w:rPr>
                <w:rFonts w:ascii="宋体" w:hAnsi="宋体" w:cs="宋体" w:eastAsia="宋体" w:hint="default"/>
                <w:sz w:val="18"/>
                <w:szCs w:val="18"/>
              </w:rPr>
            </w:pPr>
            <w:r>
              <w:rPr>
                <w:rFonts w:ascii="宋体"/>
                <w:spacing w:val="-1"/>
                <w:sz w:val="18"/>
              </w:rPr>
              <w:t>300,000,000</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5" w:right="0"/>
              <w:jc w:val="center"/>
              <w:rPr>
                <w:rFonts w:ascii="宋体" w:hAnsi="宋体" w:cs="宋体" w:eastAsia="宋体" w:hint="default"/>
                <w:sz w:val="18"/>
                <w:szCs w:val="18"/>
              </w:rPr>
            </w:pPr>
            <w:r>
              <w:rPr>
                <w:rFonts w:ascii="宋体"/>
                <w:sz w:val="18"/>
              </w:rPr>
              <w:t>91,585,927</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84,953,414</w:t>
            </w:r>
          </w:p>
        </w:tc>
        <w:tc>
          <w:tcPr>
            <w:tcW w:w="1133" w:type="dxa"/>
            <w:tcBorders>
              <w:top w:val="single" w:sz="4" w:space="0" w:color="000000"/>
              <w:left w:val="single" w:sz="4" w:space="0" w:color="000000"/>
              <w:bottom w:val="single" w:sz="4" w:space="0" w:color="000000"/>
              <w:right w:val="single" w:sz="4" w:space="0" w:color="000000"/>
            </w:tcBorders>
          </w:tcPr>
          <w:p>
            <w:pPr/>
          </w:p>
        </w:tc>
        <w:tc>
          <w:tcPr>
            <w:tcW w:w="348"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7" w:right="0"/>
              <w:jc w:val="center"/>
              <w:rPr>
                <w:rFonts w:ascii="宋体" w:hAnsi="宋体" w:cs="宋体" w:eastAsia="宋体" w:hint="default"/>
                <w:sz w:val="18"/>
                <w:szCs w:val="18"/>
              </w:rPr>
            </w:pPr>
            <w:r>
              <w:rPr>
                <w:rFonts w:ascii="宋体"/>
                <w:sz w:val="18"/>
              </w:rPr>
              <w:t>176,539,341</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z w:val="18"/>
              </w:rPr>
              <w:t>58</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58</w:t>
            </w:r>
          </w:p>
        </w:tc>
        <w:tc>
          <w:tcPr>
            <w:tcW w:w="1061"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15" w:right="0"/>
              <w:jc w:val="left"/>
              <w:rPr>
                <w:rFonts w:ascii="宋体" w:hAnsi="宋体" w:cs="宋体" w:eastAsia="宋体" w:hint="default"/>
                <w:sz w:val="18"/>
                <w:szCs w:val="18"/>
              </w:rPr>
            </w:pPr>
            <w:r>
              <w:rPr>
                <w:rFonts w:ascii="宋体" w:hAnsi="宋体" w:cs="宋体" w:eastAsia="宋体" w:hint="default"/>
                <w:sz w:val="18"/>
                <w:szCs w:val="18"/>
              </w:rPr>
              <w:t>自筹</w:t>
            </w: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资金</w:t>
            </w:r>
          </w:p>
        </w:tc>
      </w:tr>
      <w:tr>
        <w:trPr>
          <w:trHeight w:val="243" w:hRule="exact"/>
        </w:trPr>
        <w:tc>
          <w:tcPr>
            <w:tcW w:w="95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37"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29"/>
              <w:jc w:val="right"/>
              <w:rPr>
                <w:rFonts w:ascii="宋体" w:hAnsi="宋体" w:cs="宋体" w:eastAsia="宋体" w:hint="default"/>
                <w:sz w:val="18"/>
                <w:szCs w:val="18"/>
              </w:rPr>
            </w:pPr>
            <w:r>
              <w:rPr>
                <w:rFonts w:ascii="宋体"/>
                <w:spacing w:val="-1"/>
                <w:sz w:val="18"/>
              </w:rPr>
              <w:t>2,477,000,000</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4" w:right="0"/>
              <w:jc w:val="center"/>
              <w:rPr>
                <w:rFonts w:ascii="宋体" w:hAnsi="宋体" w:cs="宋体" w:eastAsia="宋体" w:hint="default"/>
                <w:sz w:val="18"/>
                <w:szCs w:val="18"/>
              </w:rPr>
            </w:pPr>
            <w:r>
              <w:rPr>
                <w:rFonts w:ascii="宋体"/>
                <w:sz w:val="18"/>
              </w:rPr>
              <w:t>613,555,733</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98"/>
              <w:jc w:val="right"/>
              <w:rPr>
                <w:rFonts w:ascii="宋体" w:hAnsi="宋体" w:cs="宋体" w:eastAsia="宋体" w:hint="default"/>
                <w:sz w:val="18"/>
                <w:szCs w:val="18"/>
              </w:rPr>
            </w:pPr>
            <w:r>
              <w:rPr>
                <w:rFonts w:ascii="宋体"/>
                <w:spacing w:val="-1"/>
                <w:sz w:val="18"/>
              </w:rPr>
              <w:t>301,499,442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62"/>
              <w:jc w:val="center"/>
              <w:rPr>
                <w:rFonts w:ascii="宋体" w:hAnsi="宋体" w:cs="宋体" w:eastAsia="宋体" w:hint="default"/>
                <w:sz w:val="18"/>
                <w:szCs w:val="18"/>
              </w:rPr>
            </w:pPr>
            <w:r>
              <w:rPr>
                <w:rFonts w:ascii="宋体"/>
                <w:sz w:val="18"/>
              </w:rPr>
              <w:t>592,884,551</w:t>
            </w:r>
          </w:p>
        </w:tc>
        <w:tc>
          <w:tcPr>
            <w:tcW w:w="348"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7" w:right="0"/>
              <w:jc w:val="center"/>
              <w:rPr>
                <w:rFonts w:ascii="宋体" w:hAnsi="宋体" w:cs="宋体" w:eastAsia="宋体" w:hint="default"/>
                <w:sz w:val="18"/>
                <w:szCs w:val="18"/>
              </w:rPr>
            </w:pPr>
            <w:r>
              <w:rPr>
                <w:rFonts w:ascii="宋体"/>
                <w:sz w:val="18"/>
              </w:rPr>
              <w:t>322,170,624</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sz w:val="18"/>
              </w:rPr>
              <w:t>/</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96" w:right="0"/>
              <w:jc w:val="left"/>
              <w:rPr>
                <w:rFonts w:ascii="宋体" w:hAnsi="宋体" w:cs="宋体" w:eastAsia="宋体" w:hint="default"/>
                <w:sz w:val="18"/>
                <w:szCs w:val="18"/>
              </w:rPr>
            </w:pPr>
            <w:r>
              <w:rPr>
                <w:rFonts w:ascii="宋体"/>
                <w:sz w:val="18"/>
              </w:rPr>
              <w:t>/</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6" w:right="0"/>
              <w:jc w:val="center"/>
              <w:rPr>
                <w:rFonts w:ascii="宋体" w:hAnsi="宋体" w:cs="宋体" w:eastAsia="宋体" w:hint="default"/>
                <w:sz w:val="18"/>
                <w:szCs w:val="18"/>
              </w:rPr>
            </w:pPr>
            <w:r>
              <w:rPr>
                <w:rFonts w:ascii="宋体"/>
                <w:sz w:val="18"/>
              </w:rPr>
              <w:t>113,451,891</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26"/>
              <w:jc w:val="right"/>
              <w:rPr>
                <w:rFonts w:ascii="宋体" w:hAnsi="宋体" w:cs="宋体" w:eastAsia="宋体" w:hint="default"/>
                <w:sz w:val="18"/>
                <w:szCs w:val="18"/>
              </w:rPr>
            </w:pPr>
            <w:r>
              <w:rPr>
                <w:rFonts w:ascii="宋体"/>
                <w:spacing w:val="-1"/>
                <w:sz w:val="18"/>
              </w:rPr>
              <w:t>21,659,593</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74" w:right="0"/>
              <w:jc w:val="left"/>
              <w:rPr>
                <w:rFonts w:ascii="宋体" w:hAnsi="宋体" w:cs="宋体" w:eastAsia="宋体" w:hint="default"/>
                <w:sz w:val="18"/>
                <w:szCs w:val="18"/>
              </w:rPr>
            </w:pPr>
            <w:r>
              <w:rPr>
                <w:rFonts w:ascii="宋体"/>
                <w:sz w:val="18"/>
              </w:rPr>
              <w:t>/</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44" w:right="0"/>
              <w:jc w:val="left"/>
              <w:rPr>
                <w:rFonts w:ascii="宋体" w:hAnsi="宋体" w:cs="宋体" w:eastAsia="宋体" w:hint="default"/>
                <w:sz w:val="18"/>
                <w:szCs w:val="18"/>
              </w:rPr>
            </w:pPr>
            <w:r>
              <w:rPr>
                <w:rFonts w:ascii="宋体"/>
                <w:sz w:val="18"/>
              </w:rPr>
              <w:t>/</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pStyle w:val="Heading3"/>
        <w:spacing w:line="240" w:lineRule="auto" w:before="36"/>
        <w:ind w:left="1418" w:right="0"/>
        <w:jc w:val="left"/>
        <w:rPr>
          <w:b w:val="0"/>
          <w:bCs w:val="0"/>
        </w:rPr>
      </w:pPr>
      <w:r>
        <w:rPr>
          <w:rFonts w:ascii="宋体" w:hAnsi="宋体" w:cs="宋体" w:eastAsia="宋体" w:hint="default"/>
        </w:rPr>
        <w:t>(3).</w:t>
      </w:r>
      <w:r>
        <w:rPr>
          <w:rFonts w:ascii="宋体" w:hAnsi="宋体" w:cs="宋体" w:eastAsia="宋体" w:hint="default"/>
          <w:spacing w:val="57"/>
        </w:rPr>
        <w:t> </w:t>
      </w:r>
      <w:r>
        <w:rPr/>
        <w:t>本期计提在建工程减值准备情况：</w:t>
      </w:r>
      <w:r>
        <w:rPr>
          <w:b w:val="0"/>
          <w:bCs w:val="0"/>
        </w:rPr>
      </w:r>
    </w:p>
    <w:p>
      <w:pPr>
        <w:pStyle w:val="BodyText"/>
        <w:spacing w:line="272" w:lineRule="exact" w:before="86"/>
        <w:ind w:left="1418" w:right="8214"/>
        <w:jc w:val="left"/>
      </w:pPr>
      <w:r>
        <w:rPr/>
        <w:t>□适用</w:t>
      </w:r>
      <w:r>
        <w:rPr>
          <w:spacing w:val="-1"/>
        </w:rPr>
        <w:t> </w:t>
      </w:r>
      <w:r>
        <w:rPr/>
        <w:t>√不适用</w:t>
      </w:r>
      <w:r>
        <w:rPr>
          <w:w w:val="100"/>
        </w:rPr>
        <w:t> </w:t>
      </w:r>
      <w:r>
        <w:rPr/>
        <w:t>其他说明</w:t>
      </w:r>
    </w:p>
    <w:p>
      <w:pPr>
        <w:pStyle w:val="BodyText"/>
        <w:spacing w:line="247" w:lineRule="exact"/>
        <w:ind w:left="1418" w:right="0"/>
        <w:jc w:val="left"/>
      </w:pPr>
      <w:r>
        <w:rPr/>
        <w:t>√适用</w:t>
      </w:r>
      <w:r>
        <w:rPr>
          <w:spacing w:val="-1"/>
        </w:rPr>
        <w:t> </w:t>
      </w:r>
      <w:r>
        <w:rPr/>
        <w:t>□不适用</w:t>
      </w:r>
    </w:p>
    <w:p>
      <w:pPr>
        <w:pStyle w:val="BodyText"/>
        <w:spacing w:line="273" w:lineRule="exact"/>
        <w:ind w:left="1418" w:right="0"/>
        <w:jc w:val="left"/>
      </w:pPr>
      <w:r>
        <w:rPr/>
        <w:t>于</w:t>
      </w:r>
      <w:r>
        <w:rPr>
          <w:spacing w:val="-53"/>
        </w:rPr>
        <w:t> </w:t>
      </w:r>
      <w:r>
        <w:rPr>
          <w:rFonts w:ascii="宋体" w:hAnsi="宋体" w:cs="宋体" w:eastAsia="宋体" w:hint="default"/>
        </w:rPr>
        <w:t>2017</w:t>
      </w:r>
      <w:r>
        <w:rPr>
          <w:rFonts w:ascii="宋体" w:hAnsi="宋体" w:cs="宋体" w:eastAsia="宋体" w:hint="default"/>
          <w:spacing w:val="-53"/>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日，在建工程无计提减值准备的情况</w:t>
      </w:r>
      <w:r>
        <w:rPr>
          <w:rFonts w:ascii="宋体" w:hAnsi="宋体" w:cs="宋体" w:eastAsia="宋体" w:hint="default"/>
        </w:rPr>
        <w:t>(2016</w:t>
      </w:r>
      <w:r>
        <w:rPr>
          <w:rFonts w:ascii="宋体" w:hAnsi="宋体" w:cs="宋体" w:eastAsia="宋体" w:hint="default"/>
          <w:spacing w:val="-55"/>
        </w:rPr>
        <w:t> </w:t>
      </w:r>
      <w:r>
        <w:rPr/>
        <w:t>年</w:t>
      </w:r>
      <w:r>
        <w:rPr>
          <w:spacing w:val="-53"/>
        </w:rPr>
        <w:t> </w:t>
      </w:r>
      <w:r>
        <w:rPr>
          <w:rFonts w:ascii="宋体" w:hAnsi="宋体" w:cs="宋体" w:eastAsia="宋体" w:hint="default"/>
        </w:rPr>
        <w:t>12</w:t>
      </w:r>
      <w:r>
        <w:rPr>
          <w:rFonts w:ascii="宋体" w:hAnsi="宋体" w:cs="宋体" w:eastAsia="宋体" w:hint="default"/>
          <w:spacing w:val="-53"/>
        </w:rPr>
        <w:t> </w:t>
      </w:r>
      <w:r>
        <w:rPr/>
        <w:t>月</w:t>
      </w:r>
      <w:r>
        <w:rPr>
          <w:spacing w:val="-53"/>
        </w:rPr>
        <w:t> </w:t>
      </w:r>
      <w:r>
        <w:rPr>
          <w:rFonts w:ascii="宋体" w:hAnsi="宋体" w:cs="宋体" w:eastAsia="宋体" w:hint="default"/>
        </w:rPr>
        <w:t>31</w:t>
      </w:r>
      <w:r>
        <w:rPr>
          <w:rFonts w:ascii="宋体" w:hAnsi="宋体" w:cs="宋体" w:eastAsia="宋体" w:hint="default"/>
          <w:spacing w:val="-53"/>
        </w:rPr>
        <w:t> </w:t>
      </w:r>
      <w:r>
        <w:rPr/>
        <w:t>日：无</w:t>
      </w:r>
      <w:r>
        <w:rPr>
          <w:rFonts w:ascii="宋体" w:hAnsi="宋体" w:cs="宋体" w:eastAsia="宋体" w:hint="default"/>
        </w:rPr>
        <w:t>)</w:t>
      </w:r>
      <w:r>
        <w:rPr/>
        <w:t>。</w:t>
      </w:r>
    </w:p>
    <w:p>
      <w:pPr>
        <w:spacing w:line="240" w:lineRule="auto" w:before="8"/>
        <w:rPr>
          <w:rFonts w:ascii="宋体" w:hAnsi="宋体" w:cs="宋体" w:eastAsia="宋体" w:hint="default"/>
          <w:sz w:val="20"/>
          <w:szCs w:val="20"/>
        </w:rPr>
      </w:pPr>
    </w:p>
    <w:p>
      <w:pPr>
        <w:pStyle w:val="BodyText"/>
        <w:spacing w:line="240" w:lineRule="auto"/>
        <w:ind w:left="1418" w:right="0"/>
        <w:jc w:val="left"/>
      </w:pPr>
      <w:r>
        <w:rPr/>
        <w:t>于</w:t>
      </w:r>
      <w:r>
        <w:rPr>
          <w:spacing w:val="-53"/>
        </w:rPr>
        <w:t> </w:t>
      </w:r>
      <w:r>
        <w:rPr>
          <w:rFonts w:ascii="宋体" w:hAnsi="宋体" w:cs="宋体" w:eastAsia="宋体" w:hint="default"/>
        </w:rPr>
        <w:t>2017</w:t>
      </w:r>
      <w:r>
        <w:rPr>
          <w:rFonts w:ascii="宋体" w:hAnsi="宋体" w:cs="宋体" w:eastAsia="宋体" w:hint="default"/>
          <w:spacing w:val="-53"/>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日，本集团所有权受限的在建工程参见附注七、</w:t>
      </w:r>
      <w:r>
        <w:rPr>
          <w:rFonts w:ascii="宋体" w:hAnsi="宋体" w:cs="宋体" w:eastAsia="宋体" w:hint="default"/>
        </w:rPr>
        <w:t>45</w:t>
      </w:r>
      <w:r>
        <w:rPr>
          <w:rFonts w:ascii="宋体" w:hAnsi="宋体" w:cs="宋体" w:eastAsia="宋体" w:hint="default"/>
          <w:spacing w:val="-55"/>
        </w:rPr>
        <w:t> </w:t>
      </w:r>
      <w:r>
        <w:rPr/>
        <w:t>和附注七、</w:t>
      </w:r>
      <w:r>
        <w:rPr>
          <w:rFonts w:ascii="宋体" w:hAnsi="宋体" w:cs="宋体" w:eastAsia="宋体" w:hint="default"/>
        </w:rPr>
        <w:t>76</w:t>
      </w:r>
      <w:r>
        <w:rPr/>
        <w:t>。</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pStyle w:val="Heading3"/>
        <w:spacing w:line="240" w:lineRule="auto"/>
        <w:ind w:left="1418" w:right="0"/>
        <w:jc w:val="left"/>
        <w:rPr>
          <w:b w:val="0"/>
          <w:bCs w:val="0"/>
        </w:rPr>
      </w:pPr>
      <w:r>
        <w:rPr>
          <w:rFonts w:ascii="宋体" w:hAnsi="宋体" w:cs="宋体" w:eastAsia="宋体" w:hint="default"/>
        </w:rPr>
        <w:t>21</w:t>
      </w:r>
      <w:r>
        <w:rPr/>
        <w:t>、</w:t>
      </w:r>
      <w:r>
        <w:rPr>
          <w:spacing w:val="-25"/>
        </w:rPr>
        <w:t> </w:t>
      </w:r>
      <w:r>
        <w:rPr/>
        <w:t>工程物资</w:t>
      </w:r>
      <w:r>
        <w:rPr>
          <w:b w:val="0"/>
          <w:bCs w:val="0"/>
        </w:rPr>
      </w:r>
    </w:p>
    <w:p>
      <w:pPr>
        <w:pStyle w:val="BodyText"/>
        <w:spacing w:line="240" w:lineRule="auto" w:before="56"/>
        <w:ind w:left="1418" w:right="0"/>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pStyle w:val="Heading3"/>
        <w:spacing w:line="240" w:lineRule="auto"/>
        <w:ind w:left="1418" w:right="0"/>
        <w:jc w:val="left"/>
        <w:rPr>
          <w:b w:val="0"/>
          <w:bCs w:val="0"/>
        </w:rPr>
      </w:pPr>
      <w:r>
        <w:rPr>
          <w:rFonts w:ascii="宋体" w:hAnsi="宋体" w:cs="宋体" w:eastAsia="宋体" w:hint="default"/>
        </w:rPr>
        <w:t>22</w:t>
      </w:r>
      <w:r>
        <w:rPr/>
        <w:t>、</w:t>
      </w:r>
      <w:r>
        <w:rPr>
          <w:spacing w:val="-24"/>
        </w:rPr>
        <w:t> </w:t>
      </w:r>
      <w:r>
        <w:rPr/>
        <w:t>固定资产清理</w:t>
      </w:r>
      <w:r>
        <w:rPr>
          <w:b w:val="0"/>
          <w:bCs w:val="0"/>
        </w:rPr>
      </w:r>
    </w:p>
    <w:p>
      <w:pPr>
        <w:pStyle w:val="BodyText"/>
        <w:spacing w:line="240" w:lineRule="auto" w:before="56"/>
        <w:ind w:left="1418" w:right="0"/>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5"/>
          <w:szCs w:val="25"/>
        </w:rPr>
      </w:pPr>
    </w:p>
    <w:p>
      <w:pPr>
        <w:pStyle w:val="Heading3"/>
        <w:spacing w:line="240" w:lineRule="auto"/>
        <w:ind w:left="1418" w:right="0"/>
        <w:jc w:val="left"/>
        <w:rPr>
          <w:b w:val="0"/>
          <w:bCs w:val="0"/>
        </w:rPr>
      </w:pPr>
      <w:r>
        <w:rPr>
          <w:rFonts w:ascii="宋体" w:hAnsi="宋体" w:cs="宋体" w:eastAsia="宋体" w:hint="default"/>
        </w:rPr>
        <w:t>23</w:t>
      </w:r>
      <w:r>
        <w:rPr/>
        <w:t>、</w:t>
      </w:r>
      <w:r>
        <w:rPr>
          <w:spacing w:val="-24"/>
        </w:rPr>
        <w:t> </w:t>
      </w:r>
      <w:r>
        <w:rPr/>
        <w:t>生产性生物资产</w:t>
      </w:r>
      <w:r>
        <w:rPr>
          <w:b w:val="0"/>
          <w:bCs w:val="0"/>
        </w:rPr>
      </w:r>
    </w:p>
    <w:p>
      <w:pPr>
        <w:pStyle w:val="Heading3"/>
        <w:spacing w:line="240" w:lineRule="auto" w:before="58"/>
        <w:ind w:left="1418" w:right="0"/>
        <w:jc w:val="left"/>
        <w:rPr>
          <w:b w:val="0"/>
          <w:bCs w:val="0"/>
        </w:rPr>
      </w:pPr>
      <w:r>
        <w:rPr>
          <w:rFonts w:ascii="宋体" w:hAnsi="宋体" w:cs="宋体" w:eastAsia="宋体" w:hint="default"/>
        </w:rPr>
        <w:t>(1).</w:t>
      </w:r>
      <w:r>
        <w:rPr>
          <w:rFonts w:ascii="宋体" w:hAnsi="宋体" w:cs="宋体" w:eastAsia="宋体" w:hint="default"/>
          <w:spacing w:val="73"/>
        </w:rPr>
        <w:t> </w:t>
      </w:r>
      <w:r>
        <w:rPr/>
        <w:t>采用成本计量模式的生产性生物资产</w:t>
      </w:r>
      <w:r>
        <w:rPr>
          <w:b w:val="0"/>
          <w:bCs w:val="0"/>
        </w:rPr>
      </w:r>
    </w:p>
    <w:p>
      <w:pPr>
        <w:pStyle w:val="BodyText"/>
        <w:spacing w:line="240" w:lineRule="auto" w:before="57"/>
        <w:ind w:left="1418" w:right="0"/>
        <w:jc w:val="left"/>
      </w:pPr>
      <w:r>
        <w:rPr/>
        <w:t>□适用</w:t>
      </w:r>
      <w:r>
        <w:rPr>
          <w:spacing w:val="-1"/>
        </w:rPr>
        <w:t> </w:t>
      </w:r>
      <w:r>
        <w:rPr/>
        <w:t>√不适用</w:t>
      </w:r>
    </w:p>
    <w:p>
      <w:pPr>
        <w:pStyle w:val="Heading3"/>
        <w:spacing w:line="240" w:lineRule="auto" w:before="58"/>
        <w:ind w:left="1418" w:right="0"/>
        <w:jc w:val="left"/>
        <w:rPr>
          <w:b w:val="0"/>
          <w:bCs w:val="0"/>
        </w:rPr>
      </w:pPr>
      <w:r>
        <w:rPr>
          <w:rFonts w:ascii="宋体" w:hAnsi="宋体" w:cs="宋体" w:eastAsia="宋体" w:hint="default"/>
        </w:rPr>
        <w:t>(2).</w:t>
      </w:r>
      <w:r>
        <w:rPr>
          <w:rFonts w:ascii="宋体" w:hAnsi="宋体" w:cs="宋体" w:eastAsia="宋体" w:hint="default"/>
          <w:spacing w:val="73"/>
        </w:rPr>
        <w:t> </w:t>
      </w:r>
      <w:r>
        <w:rPr/>
        <w:t>采用公允价值计量模式的生产性生物资产</w:t>
      </w:r>
      <w:r>
        <w:rPr>
          <w:b w:val="0"/>
          <w:bCs w:val="0"/>
        </w:rPr>
      </w:r>
    </w:p>
    <w:p>
      <w:pPr>
        <w:pStyle w:val="BodyText"/>
        <w:spacing w:line="240" w:lineRule="auto" w:before="56"/>
        <w:ind w:left="1418" w:right="8214"/>
        <w:jc w:val="left"/>
      </w:pPr>
      <w:r>
        <w:rPr/>
        <w:t>□适用</w:t>
      </w:r>
      <w:r>
        <w:rPr>
          <w:spacing w:val="-1"/>
        </w:rPr>
        <w:t> </w:t>
      </w:r>
      <w:r>
        <w:rPr/>
        <w:t>√不适用</w:t>
      </w:r>
      <w:r>
        <w:rPr>
          <w:w w:val="100"/>
        </w:rPr>
        <w:t> </w:t>
      </w:r>
      <w:r>
        <w:rPr/>
        <w:t>其他说明</w:t>
      </w:r>
    </w:p>
    <w:p>
      <w:pPr>
        <w:pStyle w:val="BodyText"/>
        <w:spacing w:line="271" w:lineRule="exact"/>
        <w:ind w:left="1418" w:right="0"/>
        <w:jc w:val="left"/>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left="1418" w:right="0"/>
        <w:jc w:val="left"/>
        <w:rPr>
          <w:b w:val="0"/>
          <w:bCs w:val="0"/>
        </w:rPr>
      </w:pPr>
      <w:r>
        <w:rPr>
          <w:rFonts w:ascii="宋体" w:hAnsi="宋体" w:cs="宋体" w:eastAsia="宋体" w:hint="default"/>
        </w:rPr>
        <w:t>24</w:t>
      </w:r>
      <w:r>
        <w:rPr/>
        <w:t>、</w:t>
      </w:r>
      <w:r>
        <w:rPr>
          <w:spacing w:val="-25"/>
        </w:rPr>
        <w:t> </w:t>
      </w:r>
      <w:r>
        <w:rPr/>
        <w:t>油气资产</w:t>
      </w:r>
      <w:r>
        <w:rPr>
          <w:b w:val="0"/>
          <w:bCs w:val="0"/>
        </w:rPr>
      </w:r>
    </w:p>
    <w:p>
      <w:pPr>
        <w:pStyle w:val="BodyText"/>
        <w:spacing w:line="240" w:lineRule="auto" w:before="58"/>
        <w:ind w:left="1418" w:right="0"/>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5"/>
          <w:szCs w:val="25"/>
        </w:rPr>
      </w:pPr>
    </w:p>
    <w:p>
      <w:pPr>
        <w:pStyle w:val="Heading3"/>
        <w:spacing w:line="240" w:lineRule="auto"/>
        <w:ind w:left="1418" w:right="0"/>
        <w:jc w:val="left"/>
        <w:rPr>
          <w:b w:val="0"/>
          <w:bCs w:val="0"/>
        </w:rPr>
      </w:pPr>
      <w:r>
        <w:rPr>
          <w:rFonts w:ascii="宋体" w:hAnsi="宋体" w:cs="宋体" w:eastAsia="宋体" w:hint="default"/>
        </w:rPr>
        <w:t>25</w:t>
      </w:r>
      <w:r>
        <w:rPr/>
        <w:t>、</w:t>
      </w:r>
      <w:r>
        <w:rPr>
          <w:spacing w:val="-25"/>
        </w:rPr>
        <w:t> </w:t>
      </w:r>
      <w:r>
        <w:rPr/>
        <w:t>无形资产</w:t>
      </w:r>
      <w:r>
        <w:rPr>
          <w:b w:val="0"/>
          <w:bCs w:val="0"/>
        </w:rPr>
      </w:r>
    </w:p>
    <w:p>
      <w:pPr>
        <w:pStyle w:val="Heading3"/>
        <w:spacing w:line="240" w:lineRule="auto" w:before="59"/>
        <w:ind w:left="1418" w:right="0"/>
        <w:jc w:val="left"/>
        <w:rPr>
          <w:b w:val="0"/>
          <w:bCs w:val="0"/>
        </w:rPr>
      </w:pPr>
      <w:r>
        <w:rPr>
          <w:rFonts w:ascii="宋体" w:hAnsi="宋体" w:cs="宋体" w:eastAsia="宋体" w:hint="default"/>
        </w:rPr>
        <w:t>(1).</w:t>
      </w:r>
      <w:r>
        <w:rPr>
          <w:rFonts w:ascii="宋体" w:hAnsi="宋体" w:cs="宋体" w:eastAsia="宋体" w:hint="default"/>
          <w:spacing w:val="75"/>
        </w:rPr>
        <w:t> </w:t>
      </w:r>
      <w:r>
        <w:rPr/>
        <w:t>无形资产情况</w:t>
      </w:r>
      <w:r>
        <w:rPr>
          <w:b w:val="0"/>
          <w:bCs w:val="0"/>
        </w:rPr>
      </w:r>
    </w:p>
    <w:p>
      <w:pPr>
        <w:pStyle w:val="BodyText"/>
        <w:tabs>
          <w:tab w:pos="2260" w:val="left" w:leader="none"/>
        </w:tabs>
        <w:spacing w:line="240" w:lineRule="auto" w:before="56"/>
        <w:ind w:left="1418" w:right="0"/>
        <w:jc w:val="left"/>
      </w:pPr>
      <w:r>
        <w:rPr>
          <w:spacing w:val="-1"/>
        </w:rPr>
        <w:t>√适用</w:t>
        <w:tab/>
      </w:r>
      <w:r>
        <w:rPr>
          <w:spacing w:val="-2"/>
        </w:rPr>
        <w:t>□不适用</w:t>
      </w:r>
    </w:p>
    <w:p>
      <w:pPr>
        <w:spacing w:after="0" w:line="240" w:lineRule="auto"/>
        <w:jc w:val="left"/>
        <w:sectPr>
          <w:pgSz w:w="11910" w:h="16840"/>
          <w:pgMar w:header="857" w:footer="1195" w:top="1320" w:bottom="1380" w:left="380" w:right="300"/>
        </w:sectPr>
      </w:pPr>
    </w:p>
    <w:p>
      <w:pPr>
        <w:spacing w:line="240" w:lineRule="auto" w:before="2"/>
        <w:rPr>
          <w:rFonts w:ascii="宋体" w:hAnsi="宋体" w:cs="宋体" w:eastAsia="宋体" w:hint="default"/>
          <w:sz w:val="9"/>
          <w:szCs w:val="9"/>
        </w:rPr>
      </w:pPr>
    </w:p>
    <w:p>
      <w:pPr>
        <w:pStyle w:val="BodyText"/>
        <w:spacing w:line="240" w:lineRule="auto" w:before="36"/>
        <w:ind w:left="0" w:right="230"/>
        <w:jc w:val="right"/>
      </w:pPr>
      <w:r>
        <w:rPr>
          <w:spacing w:val="-2"/>
        </w:rPr>
        <w:t>单位：元币种：人民币</w:t>
      </w: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982"/>
        <w:gridCol w:w="1371"/>
        <w:gridCol w:w="1359"/>
        <w:gridCol w:w="1370"/>
        <w:gridCol w:w="1378"/>
        <w:gridCol w:w="1589"/>
      </w:tblGrid>
      <w:tr>
        <w:trPr>
          <w:trHeight w:val="350"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1"/>
              <w:jc w:val="right"/>
              <w:rPr>
                <w:rFonts w:ascii="宋体" w:hAnsi="宋体" w:cs="宋体" w:eastAsia="宋体" w:hint="default"/>
                <w:sz w:val="21"/>
                <w:szCs w:val="21"/>
              </w:rPr>
            </w:pPr>
            <w:r>
              <w:rPr>
                <w:rFonts w:ascii="宋体" w:hAnsi="宋体" w:cs="宋体" w:eastAsia="宋体" w:hint="default"/>
                <w:spacing w:val="-1"/>
                <w:sz w:val="21"/>
                <w:szCs w:val="21"/>
              </w:rPr>
              <w:t>土地使用权</w:t>
            </w:r>
          </w:p>
        </w:tc>
        <w:tc>
          <w:tcPr>
            <w:tcW w:w="135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57" w:right="0"/>
              <w:jc w:val="left"/>
              <w:rPr>
                <w:rFonts w:ascii="宋体" w:hAnsi="宋体" w:cs="宋体" w:eastAsia="宋体" w:hint="default"/>
                <w:sz w:val="21"/>
                <w:szCs w:val="21"/>
              </w:rPr>
            </w:pPr>
            <w:r>
              <w:rPr>
                <w:rFonts w:ascii="宋体" w:hAnsi="宋体" w:cs="宋体" w:eastAsia="宋体" w:hint="default"/>
                <w:sz w:val="21"/>
                <w:szCs w:val="21"/>
              </w:rPr>
              <w:t>专利权</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3"/>
              <w:jc w:val="right"/>
              <w:rPr>
                <w:rFonts w:ascii="宋体" w:hAnsi="宋体" w:cs="宋体" w:eastAsia="宋体" w:hint="default"/>
                <w:sz w:val="21"/>
                <w:szCs w:val="21"/>
              </w:rPr>
            </w:pPr>
            <w:r>
              <w:rPr>
                <w:rFonts w:ascii="宋体" w:hAnsi="宋体" w:cs="宋体" w:eastAsia="宋体" w:hint="default"/>
                <w:spacing w:val="-1"/>
                <w:sz w:val="21"/>
                <w:szCs w:val="21"/>
              </w:rPr>
              <w:t>非专利技术</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
              <w:jc w:val="center"/>
              <w:rPr>
                <w:rFonts w:ascii="宋体" w:hAnsi="宋体" w:cs="宋体" w:eastAsia="宋体" w:hint="default"/>
                <w:sz w:val="21"/>
                <w:szCs w:val="21"/>
              </w:rPr>
            </w:pPr>
            <w:r>
              <w:rPr>
                <w:rFonts w:ascii="宋体" w:hAnsi="宋体" w:cs="宋体" w:eastAsia="宋体" w:hint="default"/>
                <w:sz w:val="21"/>
                <w:szCs w:val="21"/>
              </w:rPr>
              <w:t>其他</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r>
      <w:tr>
        <w:trPr>
          <w:trHeight w:val="350"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一、账面原值</w:t>
            </w: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
        </w:tc>
      </w:tr>
      <w:tr>
        <w:trPr>
          <w:trHeight w:val="348"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期初余额</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382,774,006</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560,544,302</w:t>
            </w: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943,318,308</w:t>
            </w:r>
          </w:p>
        </w:tc>
      </w:tr>
      <w:tr>
        <w:trPr>
          <w:trHeight w:val="557"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本期增加金</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额</w:t>
            </w: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138,913,212</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16,958,000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155,871,212</w:t>
            </w:r>
          </w:p>
        </w:tc>
      </w:tr>
      <w:tr>
        <w:trPr>
          <w:trHeight w:val="348"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34"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购置</w:t>
            </w: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12,062,198</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600,000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12,662,198</w:t>
            </w:r>
          </w:p>
        </w:tc>
      </w:tr>
      <w:tr>
        <w:trPr>
          <w:trHeight w:val="554"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内部研</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发</w:t>
            </w: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126,851,014</w:t>
            </w: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126,851,014</w:t>
            </w:r>
          </w:p>
        </w:tc>
      </w:tr>
      <w:tr>
        <w:trPr>
          <w:trHeight w:val="557"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企业合</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并增加</w:t>
            </w: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16,358,000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16,358,000</w:t>
            </w:r>
          </w:p>
        </w:tc>
      </w:tr>
      <w:tr>
        <w:trPr>
          <w:trHeight w:val="281" w:hRule="exact"/>
        </w:trPr>
        <w:tc>
          <w:tcPr>
            <w:tcW w:w="1982"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本期减少金额</w:t>
            </w: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34"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处置</w:t>
            </w: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982"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
        </w:tc>
      </w:tr>
      <w:tr>
        <w:trPr>
          <w:trHeight w:val="348"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期末余额</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382,774,006</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699,457,514</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16,958,000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1,099,189,520</w:t>
            </w:r>
          </w:p>
        </w:tc>
      </w:tr>
      <w:tr>
        <w:trPr>
          <w:trHeight w:val="350"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03" w:right="0"/>
              <w:jc w:val="left"/>
              <w:rPr>
                <w:rFonts w:ascii="宋体" w:hAnsi="宋体" w:cs="宋体" w:eastAsia="宋体" w:hint="default"/>
                <w:sz w:val="21"/>
                <w:szCs w:val="21"/>
              </w:rPr>
            </w:pPr>
            <w:r>
              <w:rPr>
                <w:rFonts w:ascii="宋体" w:hAnsi="宋体" w:cs="宋体" w:eastAsia="宋体" w:hint="default"/>
                <w:sz w:val="21"/>
                <w:szCs w:val="21"/>
              </w:rPr>
              <w:t>二、累计摊销</w:t>
            </w: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期初余额</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67,816,737</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238,893,581</w:t>
            </w: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306,710,318</w:t>
            </w:r>
          </w:p>
        </w:tc>
      </w:tr>
      <w:tr>
        <w:trPr>
          <w:trHeight w:val="554"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2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本期增加金</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额</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7,676,156</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84,715,702</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337,500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92,729,358</w:t>
            </w:r>
          </w:p>
        </w:tc>
      </w:tr>
      <w:tr>
        <w:trPr>
          <w:trHeight w:val="350"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88"/>
              <w:jc w:val="right"/>
              <w:rPr>
                <w:rFonts w:ascii="宋体" w:hAnsi="宋体" w:cs="宋体" w:eastAsia="宋体" w:hint="default"/>
                <w:sz w:val="21"/>
                <w:szCs w:val="21"/>
              </w:rPr>
            </w:pPr>
            <w:r>
              <w:rPr>
                <w:rFonts w:ascii="宋体" w:hAnsi="宋体" w:cs="宋体" w:eastAsia="宋体" w:hint="default"/>
                <w:spacing w:val="-1"/>
                <w:sz w:val="21"/>
                <w:szCs w:val="21"/>
              </w:rPr>
              <w:t>（</w:t>
            </w:r>
            <w:r>
              <w:rPr>
                <w:rFonts w:ascii="宋体" w:hAnsi="宋体" w:cs="宋体" w:eastAsia="宋体" w:hint="default"/>
                <w:spacing w:val="-1"/>
                <w:sz w:val="21"/>
                <w:szCs w:val="21"/>
              </w:rPr>
              <w:t>1</w:t>
            </w:r>
            <w:r>
              <w:rPr>
                <w:rFonts w:ascii="宋体" w:hAnsi="宋体" w:cs="宋体" w:eastAsia="宋体" w:hint="default"/>
                <w:spacing w:val="-1"/>
                <w:sz w:val="21"/>
                <w:szCs w:val="21"/>
              </w:rPr>
              <w:t>）计提</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7,676,156</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84,715,702</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337,500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92,729,358</w:t>
            </w:r>
          </w:p>
        </w:tc>
      </w:tr>
      <w:tr>
        <w:trPr>
          <w:trHeight w:val="284" w:hRule="exact"/>
        </w:trPr>
        <w:tc>
          <w:tcPr>
            <w:tcW w:w="1982"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52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本期减少金</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额</w:t>
            </w: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34"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处置</w:t>
            </w: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982"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2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期末余额</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75,492,893</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323,609,283</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337,500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399,439,676</w:t>
            </w:r>
          </w:p>
        </w:tc>
      </w:tr>
      <w:tr>
        <w:trPr>
          <w:trHeight w:val="350"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三、减值准备</w:t>
            </w: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期初余额</w:t>
            </w: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7,622,801</w:t>
            </w: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7,622,801</w:t>
            </w:r>
          </w:p>
        </w:tc>
      </w:tr>
      <w:tr>
        <w:trPr>
          <w:trHeight w:val="554"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52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本期增加金</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额</w:t>
            </w: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9,819,208</w:t>
            </w: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9,819,208</w:t>
            </w:r>
          </w:p>
        </w:tc>
      </w:tr>
      <w:tr>
        <w:trPr>
          <w:trHeight w:val="351"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288"/>
              <w:jc w:val="right"/>
              <w:rPr>
                <w:rFonts w:ascii="宋体" w:hAnsi="宋体" w:cs="宋体" w:eastAsia="宋体" w:hint="default"/>
                <w:sz w:val="21"/>
                <w:szCs w:val="21"/>
              </w:rPr>
            </w:pPr>
            <w:r>
              <w:rPr>
                <w:rFonts w:ascii="宋体" w:hAnsi="宋体" w:cs="宋体" w:eastAsia="宋体" w:hint="default"/>
                <w:spacing w:val="-1"/>
                <w:sz w:val="21"/>
                <w:szCs w:val="21"/>
              </w:rPr>
              <w:t>（</w:t>
            </w:r>
            <w:r>
              <w:rPr>
                <w:rFonts w:ascii="宋体" w:hAnsi="宋体" w:cs="宋体" w:eastAsia="宋体" w:hint="default"/>
                <w:spacing w:val="-1"/>
                <w:sz w:val="21"/>
                <w:szCs w:val="21"/>
              </w:rPr>
              <w:t>1</w:t>
            </w:r>
            <w:r>
              <w:rPr>
                <w:rFonts w:ascii="宋体" w:hAnsi="宋体" w:cs="宋体" w:eastAsia="宋体" w:hint="default"/>
                <w:spacing w:val="-1"/>
                <w:sz w:val="21"/>
                <w:szCs w:val="21"/>
              </w:rPr>
              <w:t>）计提</w:t>
            </w: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9,819,208</w:t>
            </w: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9,819,208</w:t>
            </w:r>
          </w:p>
        </w:tc>
      </w:tr>
      <w:tr>
        <w:trPr>
          <w:trHeight w:val="281" w:hRule="exact"/>
        </w:trPr>
        <w:tc>
          <w:tcPr>
            <w:tcW w:w="1982"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2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本期减少金</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额</w:t>
            </w: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734"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处置</w:t>
            </w: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982"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2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期末余额</w:t>
            </w: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17,442,009</w:t>
            </w: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17,442,009</w:t>
            </w:r>
          </w:p>
        </w:tc>
      </w:tr>
      <w:tr>
        <w:trPr>
          <w:trHeight w:val="350"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四、账面价值</w:t>
            </w:r>
          </w:p>
        </w:tc>
        <w:tc>
          <w:tcPr>
            <w:tcW w:w="1371" w:type="dxa"/>
            <w:tcBorders>
              <w:top w:val="single" w:sz="4" w:space="0" w:color="000000"/>
              <w:left w:val="single" w:sz="4" w:space="0" w:color="000000"/>
              <w:bottom w:val="single" w:sz="4" w:space="0" w:color="000000"/>
              <w:right w:val="single" w:sz="4" w:space="0" w:color="000000"/>
            </w:tcBorders>
          </w:tcPr>
          <w:p>
            <w:pP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
        </w:tc>
      </w:tr>
      <w:tr>
        <w:trPr>
          <w:trHeight w:val="348"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期末账面价值</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307,281,113</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358,406,222</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16,620,500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682,307,835</w:t>
            </w:r>
          </w:p>
        </w:tc>
      </w:tr>
      <w:tr>
        <w:trPr>
          <w:trHeight w:val="350" w:hRule="exact"/>
        </w:trPr>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0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期初账面价值</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314,957,269</w:t>
            </w:r>
          </w:p>
        </w:tc>
        <w:tc>
          <w:tcPr>
            <w:tcW w:w="135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314,027,920</w:t>
            </w:r>
          </w:p>
        </w:tc>
        <w:tc>
          <w:tcPr>
            <w:tcW w:w="137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628,985,189</w:t>
            </w:r>
          </w:p>
        </w:tc>
      </w:tr>
    </w:tbl>
    <w:p>
      <w:pPr>
        <w:spacing w:line="240" w:lineRule="auto" w:before="7"/>
        <w:rPr>
          <w:rFonts w:ascii="宋体" w:hAnsi="宋体" w:cs="宋体" w:eastAsia="宋体" w:hint="default"/>
          <w:sz w:val="15"/>
          <w:szCs w:val="15"/>
        </w:rPr>
      </w:pPr>
    </w:p>
    <w:p>
      <w:pPr>
        <w:pStyle w:val="BodyText"/>
        <w:spacing w:line="240" w:lineRule="auto" w:before="36"/>
        <w:ind w:right="99"/>
        <w:jc w:val="left"/>
        <w:rPr>
          <w:rFonts w:ascii="宋体" w:hAnsi="宋体" w:cs="宋体" w:eastAsia="宋体" w:hint="default"/>
        </w:rPr>
      </w:pPr>
      <w:r>
        <w:rPr>
          <w:spacing w:val="-2"/>
        </w:rPr>
        <w:t>本期末通过公司内部研发形成的无形资产占无形资产余额的比例</w:t>
      </w:r>
      <w:r>
        <w:rPr>
          <w:spacing w:val="2"/>
        </w:rPr>
        <w:t> </w:t>
      </w:r>
      <w:r>
        <w:rPr>
          <w:rFonts w:ascii="宋体" w:hAnsi="宋体" w:cs="宋体" w:eastAsia="宋体" w:hint="default"/>
          <w:spacing w:val="-1"/>
        </w:rPr>
        <w:t>46%</w:t>
      </w:r>
    </w:p>
    <w:p>
      <w:pPr>
        <w:spacing w:after="0" w:line="240" w:lineRule="auto"/>
        <w:jc w:val="left"/>
        <w:rPr>
          <w:rFonts w:ascii="宋体" w:hAnsi="宋体" w:cs="宋体" w:eastAsia="宋体" w:hint="default"/>
        </w:rPr>
        <w:sectPr>
          <w:footerReference w:type="default" r:id="rId70"/>
          <w:pgSz w:w="11910" w:h="16840"/>
          <w:pgMar w:footer="1195" w:header="857" w:top="1320" w:bottom="1380" w:left="1580" w:right="1040"/>
          <w:pgNumType w:start="137"/>
        </w:sectPr>
      </w:pPr>
    </w:p>
    <w:p>
      <w:pPr>
        <w:spacing w:line="240" w:lineRule="auto" w:before="2"/>
        <w:rPr>
          <w:rFonts w:ascii="宋体" w:hAnsi="宋体" w:cs="宋体" w:eastAsia="宋体" w:hint="default"/>
          <w:sz w:val="9"/>
          <w:szCs w:val="9"/>
        </w:rPr>
      </w:pPr>
    </w:p>
    <w:p>
      <w:pPr>
        <w:pStyle w:val="Heading3"/>
        <w:spacing w:line="240" w:lineRule="auto" w:before="36"/>
        <w:ind w:left="658" w:right="0"/>
        <w:jc w:val="both"/>
        <w:rPr>
          <w:b w:val="0"/>
          <w:bCs w:val="0"/>
        </w:rPr>
      </w:pPr>
      <w:r>
        <w:rPr>
          <w:rFonts w:ascii="宋体" w:hAnsi="宋体" w:cs="宋体" w:eastAsia="宋体" w:hint="default"/>
        </w:rPr>
        <w:t>(2).</w:t>
      </w:r>
      <w:r>
        <w:rPr>
          <w:rFonts w:ascii="宋体" w:hAnsi="宋体" w:cs="宋体" w:eastAsia="宋体" w:hint="default"/>
          <w:spacing w:val="73"/>
        </w:rPr>
        <w:t> </w:t>
      </w:r>
      <w:r>
        <w:rPr/>
        <w:t>未办妥产权证书的土地使用权情况：</w:t>
      </w:r>
      <w:r>
        <w:rPr>
          <w:b w:val="0"/>
          <w:bCs w:val="0"/>
        </w:rPr>
      </w:r>
    </w:p>
    <w:p>
      <w:pPr>
        <w:pStyle w:val="BodyText"/>
        <w:spacing w:line="240" w:lineRule="auto" w:before="58"/>
        <w:ind w:left="658" w:right="0"/>
        <w:jc w:val="both"/>
      </w:pPr>
      <w:r>
        <w:rPr/>
        <w:t>□适用</w:t>
      </w:r>
      <w:r>
        <w:rPr>
          <w:spacing w:val="-1"/>
        </w:rPr>
        <w:t> </w:t>
      </w:r>
      <w:r>
        <w:rPr/>
        <w:t>√不适用</w:t>
      </w:r>
    </w:p>
    <w:p>
      <w:pPr>
        <w:spacing w:line="240" w:lineRule="auto" w:before="8"/>
        <w:rPr>
          <w:rFonts w:ascii="宋体" w:hAnsi="宋体" w:cs="宋体" w:eastAsia="宋体" w:hint="default"/>
          <w:sz w:val="20"/>
          <w:szCs w:val="20"/>
        </w:rPr>
      </w:pPr>
    </w:p>
    <w:p>
      <w:pPr>
        <w:pStyle w:val="BodyText"/>
        <w:spacing w:line="273" w:lineRule="exact"/>
        <w:ind w:left="658" w:right="0"/>
        <w:jc w:val="both"/>
      </w:pPr>
      <w:r>
        <w:rPr/>
        <w:t>其他说明：</w:t>
      </w:r>
    </w:p>
    <w:p>
      <w:pPr>
        <w:pStyle w:val="BodyText"/>
        <w:spacing w:line="272" w:lineRule="exact"/>
        <w:ind w:left="658" w:right="0"/>
        <w:jc w:val="both"/>
      </w:pPr>
      <w:r>
        <w:rPr/>
        <w:t>√适用</w:t>
      </w:r>
      <w:r>
        <w:rPr>
          <w:spacing w:val="-1"/>
        </w:rPr>
        <w:t> </w:t>
      </w:r>
      <w:r>
        <w:rPr/>
        <w:t>□不适用</w:t>
      </w:r>
    </w:p>
    <w:p>
      <w:pPr>
        <w:pStyle w:val="BodyText"/>
        <w:spacing w:line="274" w:lineRule="exact"/>
        <w:ind w:left="658" w:right="0"/>
        <w:jc w:val="both"/>
      </w:pPr>
      <w:r>
        <w:rPr/>
        <w:t>于</w:t>
      </w:r>
      <w:r>
        <w:rPr>
          <w:spacing w:val="-53"/>
        </w:rPr>
        <w:t> </w:t>
      </w:r>
      <w:r>
        <w:rPr>
          <w:rFonts w:ascii="宋体" w:hAnsi="宋体" w:cs="宋体" w:eastAsia="宋体" w:hint="default"/>
        </w:rPr>
        <w:t>2017</w:t>
      </w:r>
      <w:r>
        <w:rPr>
          <w:rFonts w:ascii="宋体" w:hAnsi="宋体" w:cs="宋体" w:eastAsia="宋体" w:hint="default"/>
          <w:spacing w:val="-53"/>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日，本集团所有权受限的无形资产参见附注七、</w:t>
      </w:r>
      <w:r>
        <w:rPr>
          <w:rFonts w:ascii="宋体" w:hAnsi="宋体" w:cs="宋体" w:eastAsia="宋体" w:hint="default"/>
        </w:rPr>
        <w:t>45</w:t>
      </w:r>
      <w:r>
        <w:rPr>
          <w:rFonts w:ascii="宋体" w:hAnsi="宋体" w:cs="宋体" w:eastAsia="宋体" w:hint="default"/>
          <w:spacing w:val="-55"/>
        </w:rPr>
        <w:t> </w:t>
      </w:r>
      <w:r>
        <w:rPr/>
        <w:t>及附注七、</w:t>
      </w:r>
      <w:r>
        <w:rPr>
          <w:rFonts w:ascii="宋体" w:hAnsi="宋体" w:cs="宋体" w:eastAsia="宋体" w:hint="default"/>
        </w:rPr>
        <w:t>76</w:t>
      </w:r>
      <w:r>
        <w:rPr/>
        <w:t>。</w:t>
      </w:r>
    </w:p>
    <w:p>
      <w:pPr>
        <w:spacing w:line="240" w:lineRule="auto" w:before="11"/>
        <w:rPr>
          <w:rFonts w:ascii="宋体" w:hAnsi="宋体" w:cs="宋体" w:eastAsia="宋体" w:hint="default"/>
          <w:sz w:val="20"/>
          <w:szCs w:val="20"/>
        </w:rPr>
      </w:pPr>
    </w:p>
    <w:p>
      <w:pPr>
        <w:pStyle w:val="BodyText"/>
        <w:spacing w:line="237" w:lineRule="auto"/>
        <w:ind w:left="658" w:right="637"/>
        <w:jc w:val="both"/>
      </w:pPr>
      <w:r>
        <w:rPr/>
        <w:t>注</w:t>
      </w:r>
      <w:r>
        <w:rPr>
          <w:spacing w:val="-54"/>
        </w:rPr>
        <w:t> </w:t>
      </w:r>
      <w:r>
        <w:rPr>
          <w:rFonts w:ascii="宋体" w:hAnsi="宋体" w:cs="宋体" w:eastAsia="宋体" w:hint="default"/>
        </w:rPr>
        <w:t>1</w:t>
      </w:r>
      <w:r>
        <w:rPr/>
        <w:t>：</w:t>
      </w:r>
      <w:r>
        <w:rPr>
          <w:rFonts w:ascii="宋体" w:hAnsi="宋体" w:cs="宋体" w:eastAsia="宋体" w:hint="default"/>
        </w:rPr>
        <w:t>2017</w:t>
      </w:r>
      <w:r>
        <w:rPr>
          <w:rFonts w:ascii="宋体" w:hAnsi="宋体" w:cs="宋体" w:eastAsia="宋体" w:hint="default"/>
          <w:spacing w:val="-56"/>
        </w:rPr>
        <w:t> </w:t>
      </w:r>
      <w:r>
        <w:rPr/>
        <w:t>年度，随着公司业务发展需要，公司从外部购买的软件使用权，部分采购合同中明确</w:t>
      </w:r>
      <w:r>
        <w:rPr>
          <w:w w:val="100"/>
        </w:rPr>
        <w:t> </w:t>
      </w:r>
      <w:r>
        <w:rPr>
          <w:spacing w:val="-2"/>
        </w:rPr>
        <w:t>规定了使用期限，按照《企业会计准则》规定，无形资产使用寿命不应超过源自合同性权利或其</w:t>
      </w:r>
      <w:r>
        <w:rPr>
          <w:spacing w:val="-25"/>
        </w:rPr>
        <w:t> </w:t>
      </w:r>
      <w:r>
        <w:rPr>
          <w:spacing w:val="-25"/>
        </w:rPr>
      </w:r>
      <w:r>
        <w:rPr>
          <w:spacing w:val="-2"/>
        </w:rPr>
        <w:t>他法定权利的期限，故本集团对有明确使用期间的外购软件使用权按按合同规定年限进行摊销。</w:t>
      </w:r>
    </w:p>
    <w:p>
      <w:pPr>
        <w:spacing w:line="240" w:lineRule="auto" w:before="11"/>
        <w:rPr>
          <w:rFonts w:ascii="宋体" w:hAnsi="宋体" w:cs="宋体" w:eastAsia="宋体" w:hint="default"/>
          <w:sz w:val="20"/>
          <w:szCs w:val="20"/>
        </w:rPr>
      </w:pPr>
    </w:p>
    <w:p>
      <w:pPr>
        <w:pStyle w:val="BodyText"/>
        <w:spacing w:line="237" w:lineRule="auto"/>
        <w:ind w:left="658" w:right="637"/>
        <w:jc w:val="both"/>
      </w:pPr>
      <w:r>
        <w:rPr/>
        <w:t>注</w:t>
      </w:r>
      <w:r>
        <w:rPr>
          <w:spacing w:val="-54"/>
        </w:rPr>
        <w:t> </w:t>
      </w:r>
      <w:r>
        <w:rPr>
          <w:rFonts w:ascii="宋体" w:hAnsi="宋体" w:cs="宋体" w:eastAsia="宋体" w:hint="default"/>
        </w:rPr>
        <w:t>2</w:t>
      </w:r>
      <w:r>
        <w:rPr/>
        <w:t>：</w:t>
      </w:r>
      <w:r>
        <w:rPr>
          <w:rFonts w:ascii="宋体" w:hAnsi="宋体" w:cs="宋体" w:eastAsia="宋体" w:hint="default"/>
        </w:rPr>
        <w:t>2017</w:t>
      </w:r>
      <w:r>
        <w:rPr>
          <w:rFonts w:ascii="宋体" w:hAnsi="宋体" w:cs="宋体" w:eastAsia="宋体" w:hint="default"/>
          <w:spacing w:val="-56"/>
        </w:rPr>
        <w:t> </w:t>
      </w:r>
      <w:r>
        <w:rPr/>
        <w:t>年度，其他无形资产的增加主要为本年度收购民太安保险经纪有限公司和北京平强软</w:t>
      </w:r>
      <w:r>
        <w:rPr>
          <w:w w:val="100"/>
        </w:rPr>
        <w:t> </w:t>
      </w:r>
      <w:r>
        <w:rPr>
          <w:spacing w:val="-2"/>
        </w:rPr>
        <w:t>件有限公司融资租赁资产组业务所形成，包括客户关系、营销网络、非竞争性协议和已签合同，</w:t>
      </w:r>
      <w:r>
        <w:rPr>
          <w:spacing w:val="-25"/>
        </w:rPr>
        <w:t> </w:t>
      </w:r>
      <w:r>
        <w:rPr>
          <w:spacing w:val="-25"/>
        </w:rPr>
      </w:r>
      <w:r>
        <w:rPr>
          <w:spacing w:val="-2"/>
        </w:rPr>
        <w:t>该新增无形资产与原有无形资产不同。其中对于民太安保险经纪有限公司在购买日的无形资产价</w:t>
      </w:r>
      <w:r>
        <w:rPr>
          <w:spacing w:val="-25"/>
        </w:rPr>
        <w:t> </w:t>
      </w:r>
      <w:r>
        <w:rPr>
          <w:spacing w:val="-25"/>
        </w:rPr>
      </w:r>
      <w:r>
        <w:rPr/>
        <w:t>值根据截至报告日取得的信息进行核算，金额为人民币</w:t>
      </w:r>
      <w:r>
        <w:rPr>
          <w:spacing w:val="-56"/>
        </w:rPr>
        <w:t> </w:t>
      </w:r>
      <w:r>
        <w:rPr>
          <w:rFonts w:ascii="宋体" w:hAnsi="宋体" w:cs="宋体" w:eastAsia="宋体" w:hint="default"/>
        </w:rPr>
        <w:t>16,358,000</w:t>
      </w:r>
      <w:r>
        <w:rPr>
          <w:rFonts w:ascii="宋体" w:hAnsi="宋体" w:cs="宋体" w:eastAsia="宋体" w:hint="default"/>
          <w:spacing w:val="-56"/>
        </w:rPr>
        <w:t> </w:t>
      </w:r>
      <w:r>
        <w:rPr/>
        <w:t>元。</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57" w:footer="1195" w:top="1320" w:bottom="1380" w:left="1140" w:right="640"/>
        </w:sectPr>
      </w:pPr>
    </w:p>
    <w:p>
      <w:pPr>
        <w:pStyle w:val="Heading3"/>
        <w:spacing w:line="240" w:lineRule="auto" w:before="36"/>
        <w:ind w:left="658" w:right="-18"/>
        <w:jc w:val="left"/>
        <w:rPr>
          <w:b w:val="0"/>
          <w:bCs w:val="0"/>
        </w:rPr>
      </w:pPr>
      <w:r>
        <w:rPr>
          <w:rFonts w:ascii="宋体" w:hAnsi="宋体" w:cs="宋体" w:eastAsia="宋体" w:hint="default"/>
        </w:rPr>
        <w:t>26</w:t>
      </w:r>
      <w:r>
        <w:rPr/>
        <w:t>、</w:t>
      </w:r>
      <w:r>
        <w:rPr>
          <w:spacing w:val="-25"/>
        </w:rPr>
        <w:t> </w:t>
      </w:r>
      <w:r>
        <w:rPr/>
        <w:t>开发支出</w:t>
      </w:r>
      <w:r>
        <w:rPr>
          <w:b w:val="0"/>
          <w:bCs w:val="0"/>
        </w:rPr>
      </w:r>
    </w:p>
    <w:p>
      <w:pPr>
        <w:pStyle w:val="BodyText"/>
        <w:spacing w:line="240" w:lineRule="auto" w:before="58"/>
        <w:ind w:left="658"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left="658" w:right="0"/>
        <w:jc w:val="left"/>
      </w:pPr>
      <w:r>
        <w:rPr/>
        <w:t>单位：元币种：人民币</w:t>
      </w:r>
    </w:p>
    <w:p>
      <w:pPr>
        <w:spacing w:after="0" w:line="240" w:lineRule="auto"/>
        <w:jc w:val="left"/>
        <w:sectPr>
          <w:type w:val="continuous"/>
          <w:pgSz w:w="11910" w:h="16840"/>
          <w:pgMar w:top="1320" w:bottom="1380" w:left="1140" w:right="640"/>
          <w:cols w:num="2" w:equalWidth="0">
            <w:col w:w="2235" w:space="4498"/>
            <w:col w:w="3397"/>
          </w:cols>
        </w:sectPr>
      </w:pPr>
    </w:p>
    <w:p>
      <w:pPr>
        <w:spacing w:line="240" w:lineRule="auto" w:before="4"/>
        <w:rPr>
          <w:rFonts w:ascii="宋体" w:hAnsi="宋体" w:cs="宋体" w:eastAsia="宋体" w:hint="default"/>
          <w:sz w:val="2"/>
          <w:szCs w:val="2"/>
        </w:rPr>
      </w:pPr>
    </w:p>
    <w:tbl>
      <w:tblPr>
        <w:tblW w:w="0" w:type="auto"/>
        <w:jc w:val="left"/>
        <w:tblInd w:w="112" w:type="dxa"/>
        <w:tblLayout w:type="fixed"/>
        <w:tblCellMar>
          <w:top w:w="0" w:type="dxa"/>
          <w:left w:w="0" w:type="dxa"/>
          <w:bottom w:w="0" w:type="dxa"/>
          <w:right w:w="0" w:type="dxa"/>
        </w:tblCellMar>
        <w:tblLook w:val="01E0"/>
      </w:tblPr>
      <w:tblGrid>
        <w:gridCol w:w="1949"/>
        <w:gridCol w:w="1407"/>
        <w:gridCol w:w="1406"/>
        <w:gridCol w:w="478"/>
        <w:gridCol w:w="314"/>
        <w:gridCol w:w="1406"/>
        <w:gridCol w:w="1299"/>
        <w:gridCol w:w="228"/>
        <w:gridCol w:w="1404"/>
      </w:tblGrid>
      <w:tr>
        <w:trPr>
          <w:trHeight w:val="283" w:hRule="exact"/>
        </w:trPr>
        <w:tc>
          <w:tcPr>
            <w:tcW w:w="1949"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407" w:type="dxa"/>
            <w:vMerge w:val="restart"/>
            <w:tcBorders>
              <w:top w:val="single" w:sz="4" w:space="0" w:color="000000"/>
              <w:left w:val="single" w:sz="4" w:space="0" w:color="000000"/>
              <w:right w:val="single" w:sz="4" w:space="0" w:color="000000"/>
            </w:tcBorders>
          </w:tcPr>
          <w:p>
            <w:pPr>
              <w:pStyle w:val="TableParagraph"/>
              <w:spacing w:line="240" w:lineRule="auto" w:before="107"/>
              <w:ind w:left="484" w:right="488"/>
              <w:jc w:val="center"/>
              <w:rPr>
                <w:rFonts w:ascii="宋体" w:hAnsi="宋体" w:cs="宋体" w:eastAsia="宋体" w:hint="default"/>
                <w:sz w:val="21"/>
                <w:szCs w:val="21"/>
              </w:rPr>
            </w:pPr>
            <w:r>
              <w:rPr>
                <w:rFonts w:ascii="宋体" w:hAnsi="宋体" w:cs="宋体" w:eastAsia="宋体" w:hint="default"/>
                <w:sz w:val="21"/>
                <w:szCs w:val="21"/>
              </w:rPr>
              <w:t>期初</w:t>
            </w:r>
            <w:r>
              <w:rPr>
                <w:rFonts w:ascii="宋体" w:hAnsi="宋体" w:cs="宋体" w:eastAsia="宋体" w:hint="default"/>
                <w:w w:val="100"/>
                <w:sz w:val="21"/>
                <w:szCs w:val="21"/>
              </w:rPr>
              <w:t> </w:t>
            </w:r>
            <w:r>
              <w:rPr>
                <w:rFonts w:ascii="宋体" w:hAnsi="宋体" w:cs="宋体" w:eastAsia="宋体" w:hint="default"/>
                <w:sz w:val="21"/>
                <w:szCs w:val="21"/>
              </w:rPr>
              <w:t>余额</w:t>
            </w:r>
          </w:p>
        </w:tc>
        <w:tc>
          <w:tcPr>
            <w:tcW w:w="219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63" w:right="0"/>
              <w:jc w:val="left"/>
              <w:rPr>
                <w:rFonts w:ascii="宋体" w:hAnsi="宋体" w:cs="宋体" w:eastAsia="宋体" w:hint="default"/>
                <w:sz w:val="21"/>
                <w:szCs w:val="21"/>
              </w:rPr>
            </w:pPr>
            <w:r>
              <w:rPr>
                <w:rFonts w:ascii="宋体" w:hAnsi="宋体" w:cs="宋体" w:eastAsia="宋体" w:hint="default"/>
                <w:sz w:val="21"/>
                <w:szCs w:val="21"/>
              </w:rPr>
              <w:t>本期增加金额</w:t>
            </w:r>
          </w:p>
        </w:tc>
        <w:tc>
          <w:tcPr>
            <w:tcW w:w="2933" w:type="dxa"/>
            <w:gridSpan w:val="3"/>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772" w:right="0"/>
              <w:jc w:val="left"/>
              <w:rPr>
                <w:rFonts w:ascii="宋体" w:hAnsi="宋体" w:cs="宋体" w:eastAsia="宋体" w:hint="default"/>
                <w:sz w:val="21"/>
                <w:szCs w:val="21"/>
              </w:rPr>
            </w:pPr>
            <w:r>
              <w:rPr>
                <w:rFonts w:ascii="宋体" w:hAnsi="宋体" w:cs="宋体" w:eastAsia="宋体" w:hint="default"/>
                <w:sz w:val="21"/>
                <w:szCs w:val="21"/>
              </w:rPr>
              <w:t>本期减少金额</w:t>
            </w:r>
          </w:p>
        </w:tc>
        <w:tc>
          <w:tcPr>
            <w:tcW w:w="1404" w:type="dxa"/>
            <w:vMerge w:val="restart"/>
            <w:tcBorders>
              <w:top w:val="single" w:sz="4" w:space="0" w:color="000000"/>
              <w:left w:val="single" w:sz="4" w:space="0" w:color="000000"/>
              <w:right w:val="single" w:sz="4" w:space="0" w:color="000000"/>
            </w:tcBorders>
          </w:tcPr>
          <w:p>
            <w:pPr>
              <w:pStyle w:val="TableParagraph"/>
              <w:spacing w:line="240" w:lineRule="auto" w:before="107"/>
              <w:ind w:left="487" w:right="482"/>
              <w:jc w:val="center"/>
              <w:rPr>
                <w:rFonts w:ascii="宋体" w:hAnsi="宋体" w:cs="宋体" w:eastAsia="宋体" w:hint="default"/>
                <w:sz w:val="21"/>
                <w:szCs w:val="21"/>
              </w:rPr>
            </w:pPr>
            <w:r>
              <w:rPr>
                <w:rFonts w:ascii="宋体" w:hAnsi="宋体" w:cs="宋体" w:eastAsia="宋体" w:hint="default"/>
                <w:sz w:val="21"/>
                <w:szCs w:val="21"/>
              </w:rPr>
              <w:t>期末</w:t>
            </w:r>
            <w:r>
              <w:rPr>
                <w:rFonts w:ascii="宋体" w:hAnsi="宋体" w:cs="宋体" w:eastAsia="宋体" w:hint="default"/>
                <w:w w:val="100"/>
                <w:sz w:val="21"/>
                <w:szCs w:val="21"/>
              </w:rPr>
              <w:t> </w:t>
            </w:r>
            <w:r>
              <w:rPr>
                <w:rFonts w:ascii="宋体" w:hAnsi="宋体" w:cs="宋体" w:eastAsia="宋体" w:hint="default"/>
                <w:sz w:val="21"/>
                <w:szCs w:val="21"/>
              </w:rPr>
              <w:t>余额</w:t>
            </w:r>
          </w:p>
        </w:tc>
      </w:tr>
      <w:tr>
        <w:trPr>
          <w:trHeight w:val="554" w:hRule="exact"/>
        </w:trPr>
        <w:tc>
          <w:tcPr>
            <w:tcW w:w="1949" w:type="dxa"/>
            <w:vMerge/>
            <w:tcBorders>
              <w:left w:val="single" w:sz="4" w:space="0" w:color="000000"/>
              <w:bottom w:val="single" w:sz="4" w:space="0" w:color="000000"/>
              <w:right w:val="single" w:sz="4" w:space="0" w:color="000000"/>
            </w:tcBorders>
          </w:tcPr>
          <w:p>
            <w:pPr/>
          </w:p>
        </w:tc>
        <w:tc>
          <w:tcPr>
            <w:tcW w:w="1407" w:type="dxa"/>
            <w:vMerge/>
            <w:tcBorders>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 w:right="0"/>
              <w:jc w:val="center"/>
              <w:rPr>
                <w:rFonts w:ascii="宋体" w:hAnsi="宋体" w:cs="宋体" w:eastAsia="宋体" w:hint="default"/>
                <w:sz w:val="21"/>
                <w:szCs w:val="21"/>
              </w:rPr>
            </w:pPr>
            <w:r>
              <w:rPr>
                <w:rFonts w:ascii="宋体" w:hAnsi="宋体" w:cs="宋体" w:eastAsia="宋体" w:hint="default"/>
                <w:sz w:val="21"/>
                <w:szCs w:val="21"/>
              </w:rPr>
              <w:t>内部开发支</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w w:val="100"/>
                <w:sz w:val="21"/>
                <w:szCs w:val="21"/>
              </w:rPr>
              <w:t>出</w:t>
            </w:r>
          </w:p>
        </w:tc>
        <w:tc>
          <w:tcPr>
            <w:tcW w:w="47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27" w:right="0"/>
              <w:jc w:val="left"/>
              <w:rPr>
                <w:rFonts w:ascii="宋体" w:hAnsi="宋体" w:cs="宋体" w:eastAsia="宋体" w:hint="default"/>
                <w:sz w:val="21"/>
                <w:szCs w:val="21"/>
              </w:rPr>
            </w:pPr>
            <w:r>
              <w:rPr>
                <w:rFonts w:ascii="宋体" w:hAnsi="宋体" w:cs="宋体" w:eastAsia="宋体" w:hint="default"/>
                <w:w w:val="100"/>
                <w:sz w:val="21"/>
                <w:szCs w:val="21"/>
              </w:rPr>
              <w:t>其</w:t>
            </w:r>
          </w:p>
          <w:p>
            <w:pPr>
              <w:pStyle w:val="TableParagraph"/>
              <w:spacing w:line="274" w:lineRule="exact"/>
              <w:ind w:left="127" w:right="0"/>
              <w:jc w:val="left"/>
              <w:rPr>
                <w:rFonts w:ascii="宋体" w:hAnsi="宋体" w:cs="宋体" w:eastAsia="宋体" w:hint="default"/>
                <w:sz w:val="21"/>
                <w:szCs w:val="21"/>
              </w:rPr>
            </w:pPr>
            <w:r>
              <w:rPr>
                <w:rFonts w:ascii="宋体" w:hAnsi="宋体" w:cs="宋体" w:eastAsia="宋体" w:hint="default"/>
                <w:w w:val="100"/>
                <w:sz w:val="21"/>
                <w:szCs w:val="21"/>
              </w:rPr>
              <w:t>他</w:t>
            </w: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 w:right="0"/>
              <w:jc w:val="center"/>
              <w:rPr>
                <w:rFonts w:ascii="宋体" w:hAnsi="宋体" w:cs="宋体" w:eastAsia="宋体" w:hint="default"/>
                <w:sz w:val="21"/>
                <w:szCs w:val="21"/>
              </w:rPr>
            </w:pPr>
            <w:r>
              <w:rPr>
                <w:rFonts w:ascii="宋体" w:hAnsi="宋体" w:cs="宋体" w:eastAsia="宋体" w:hint="default"/>
                <w:sz w:val="21"/>
                <w:szCs w:val="21"/>
              </w:rPr>
              <w:t>确认为无形</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资产</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转入当期损</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w w:val="100"/>
                <w:sz w:val="21"/>
                <w:szCs w:val="21"/>
              </w:rPr>
              <w:t>益</w:t>
            </w: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vMerge/>
            <w:tcBorders>
              <w:left w:val="single" w:sz="4" w:space="0" w:color="000000"/>
              <w:bottom w:val="single" w:sz="4" w:space="0" w:color="000000"/>
              <w:right w:val="single" w:sz="4" w:space="0" w:color="000000"/>
            </w:tcBorders>
          </w:tcPr>
          <w:p>
            <w:pPr/>
          </w:p>
        </w:tc>
      </w:tr>
      <w:tr>
        <w:trPr>
          <w:trHeight w:val="555" w:hRule="exact"/>
        </w:trPr>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建筑企业互联网开</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放平台</w:t>
            </w:r>
            <w:r>
              <w:rPr>
                <w:rFonts w:ascii="宋体" w:hAnsi="宋体" w:cs="宋体" w:eastAsia="宋体" w:hint="default"/>
                <w:spacing w:val="-52"/>
                <w:sz w:val="21"/>
                <w:szCs w:val="21"/>
              </w:rPr>
              <w:t> </w:t>
            </w:r>
            <w:r>
              <w:rPr>
                <w:rFonts w:ascii="宋体" w:hAnsi="宋体" w:cs="宋体" w:eastAsia="宋体" w:hint="default"/>
                <w:sz w:val="21"/>
                <w:szCs w:val="21"/>
              </w:rPr>
              <w:t>iCOP</w:t>
            </w:r>
            <w:r>
              <w:rPr>
                <w:rFonts w:ascii="宋体" w:hAnsi="宋体" w:cs="宋体" w:eastAsia="宋体" w:hint="default"/>
                <w:spacing w:val="-52"/>
                <w:sz w:val="21"/>
                <w:szCs w:val="21"/>
              </w:rPr>
              <w:t> </w:t>
            </w:r>
            <w:r>
              <w:rPr>
                <w:rFonts w:ascii="宋体" w:hAnsi="宋体" w:cs="宋体" w:eastAsia="宋体" w:hint="default"/>
                <w:spacing w:val="-3"/>
                <w:sz w:val="21"/>
                <w:szCs w:val="21"/>
              </w:rPr>
              <w:t>产品</w:t>
            </w:r>
            <w:r>
              <w:rPr>
                <w:rFonts w:ascii="宋体" w:hAnsi="宋体" w:cs="宋体" w:eastAsia="宋体" w:hint="default"/>
                <w:sz w:val="21"/>
                <w:szCs w:val="21"/>
              </w:rPr>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32,670,660</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35,525,043</w:t>
            </w:r>
          </w:p>
        </w:tc>
        <w:tc>
          <w:tcPr>
            <w:tcW w:w="478" w:type="dxa"/>
            <w:tcBorders>
              <w:top w:val="single" w:sz="4" w:space="0" w:color="000000"/>
              <w:left w:val="single" w:sz="4" w:space="0" w:color="000000"/>
              <w:bottom w:val="single" w:sz="4" w:space="0" w:color="000000"/>
              <w:right w:val="single" w:sz="4" w:space="0" w:color="000000"/>
            </w:tcBorders>
          </w:tcPr>
          <w:p>
            <w:pP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68,195,703</w:t>
            </w:r>
          </w:p>
        </w:tc>
      </w:tr>
      <w:tr>
        <w:trPr>
          <w:trHeight w:val="283" w:hRule="exact"/>
        </w:trPr>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畅捷</w:t>
            </w:r>
            <w:r>
              <w:rPr>
                <w:rFonts w:ascii="宋体" w:hAnsi="宋体" w:cs="宋体" w:eastAsia="宋体" w:hint="default"/>
                <w:spacing w:val="-52"/>
                <w:sz w:val="21"/>
                <w:szCs w:val="21"/>
              </w:rPr>
              <w:t> </w:t>
            </w:r>
            <w:r>
              <w:rPr>
                <w:rFonts w:ascii="宋体" w:hAnsi="宋体" w:cs="宋体" w:eastAsia="宋体" w:hint="default"/>
                <w:sz w:val="21"/>
                <w:szCs w:val="21"/>
              </w:rPr>
              <w:t>Cloud</w:t>
            </w:r>
            <w:r>
              <w:rPr>
                <w:rFonts w:ascii="宋体" w:hAnsi="宋体" w:cs="宋体" w:eastAsia="宋体" w:hint="default"/>
                <w:spacing w:val="-54"/>
                <w:sz w:val="21"/>
                <w:szCs w:val="21"/>
              </w:rPr>
              <w:t> </w:t>
            </w:r>
            <w:r>
              <w:rPr>
                <w:rFonts w:ascii="宋体" w:hAnsi="宋体" w:cs="宋体" w:eastAsia="宋体" w:hint="default"/>
                <w:sz w:val="21"/>
                <w:szCs w:val="21"/>
              </w:rPr>
              <w:t>进销存</w:t>
            </w:r>
          </w:p>
        </w:tc>
        <w:tc>
          <w:tcPr>
            <w:tcW w:w="1407"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17,565,679</w:t>
            </w:r>
          </w:p>
        </w:tc>
        <w:tc>
          <w:tcPr>
            <w:tcW w:w="478" w:type="dxa"/>
            <w:tcBorders>
              <w:top w:val="single" w:sz="4" w:space="0" w:color="000000"/>
              <w:left w:val="single" w:sz="4" w:space="0" w:color="000000"/>
              <w:bottom w:val="single" w:sz="4" w:space="0" w:color="000000"/>
              <w:right w:val="single" w:sz="4" w:space="0" w:color="000000"/>
            </w:tcBorders>
          </w:tcPr>
          <w:p>
            <w:pP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17,565,679</w:t>
            </w:r>
          </w:p>
        </w:tc>
      </w:tr>
      <w:tr>
        <w:trPr>
          <w:trHeight w:val="554" w:hRule="exact"/>
        </w:trPr>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医院信息化平台系</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统</w:t>
            </w:r>
            <w:r>
              <w:rPr>
                <w:rFonts w:ascii="宋体" w:hAnsi="宋体" w:cs="宋体" w:eastAsia="宋体" w:hint="default"/>
                <w:sz w:val="21"/>
                <w:szCs w:val="21"/>
              </w:rPr>
              <w:t>(MIP)</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9,859,909</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7,219,855</w:t>
            </w:r>
          </w:p>
        </w:tc>
        <w:tc>
          <w:tcPr>
            <w:tcW w:w="478" w:type="dxa"/>
            <w:tcBorders>
              <w:top w:val="single" w:sz="4" w:space="0" w:color="000000"/>
              <w:left w:val="single" w:sz="4" w:space="0" w:color="000000"/>
              <w:bottom w:val="single" w:sz="4" w:space="0" w:color="000000"/>
              <w:right w:val="single" w:sz="4" w:space="0" w:color="000000"/>
            </w:tcBorders>
          </w:tcPr>
          <w:p>
            <w:pP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17,079,764</w:t>
            </w:r>
          </w:p>
        </w:tc>
      </w:tr>
      <w:tr>
        <w:trPr>
          <w:trHeight w:val="554" w:hRule="exact"/>
        </w:trPr>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互联网技术与运维</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平台项目</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15,106,248</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546,939</w:t>
            </w:r>
          </w:p>
        </w:tc>
        <w:tc>
          <w:tcPr>
            <w:tcW w:w="478" w:type="dxa"/>
            <w:tcBorders>
              <w:top w:val="single" w:sz="4" w:space="0" w:color="000000"/>
              <w:left w:val="single" w:sz="4" w:space="0" w:color="000000"/>
              <w:bottom w:val="single" w:sz="4" w:space="0" w:color="000000"/>
              <w:right w:val="single" w:sz="4" w:space="0" w:color="000000"/>
            </w:tcBorders>
          </w:tcPr>
          <w:p>
            <w:pP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3" w:right="0"/>
              <w:jc w:val="center"/>
              <w:rPr>
                <w:rFonts w:ascii="宋体" w:hAnsi="宋体" w:cs="宋体" w:eastAsia="宋体" w:hint="default"/>
                <w:sz w:val="21"/>
                <w:szCs w:val="21"/>
              </w:rPr>
            </w:pPr>
            <w:r>
              <w:rPr>
                <w:rFonts w:ascii="宋体"/>
                <w:sz w:val="21"/>
              </w:rPr>
              <w:t>15,653,187</w:t>
            </w: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链融云平台及应用</w:t>
            </w:r>
          </w:p>
        </w:tc>
        <w:tc>
          <w:tcPr>
            <w:tcW w:w="1407"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16,432,996</w:t>
            </w:r>
          </w:p>
        </w:tc>
        <w:tc>
          <w:tcPr>
            <w:tcW w:w="478" w:type="dxa"/>
            <w:tcBorders>
              <w:top w:val="single" w:sz="4" w:space="0" w:color="000000"/>
              <w:left w:val="single" w:sz="4" w:space="0" w:color="000000"/>
              <w:bottom w:val="single" w:sz="4" w:space="0" w:color="000000"/>
              <w:right w:val="single" w:sz="4" w:space="0" w:color="000000"/>
            </w:tcBorders>
          </w:tcPr>
          <w:p>
            <w:pP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16,432,996</w:t>
            </w:r>
          </w:p>
        </w:tc>
      </w:tr>
      <w:tr>
        <w:trPr>
          <w:trHeight w:val="283" w:hRule="exact"/>
        </w:trPr>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AI</w:t>
            </w:r>
            <w:r>
              <w:rPr>
                <w:rFonts w:ascii="宋体" w:hAnsi="宋体" w:cs="宋体" w:eastAsia="宋体" w:hint="default"/>
                <w:spacing w:val="-54"/>
                <w:sz w:val="21"/>
                <w:szCs w:val="21"/>
              </w:rPr>
              <w:t> </w:t>
            </w:r>
            <w:r>
              <w:rPr>
                <w:rFonts w:ascii="宋体" w:hAnsi="宋体" w:cs="宋体" w:eastAsia="宋体" w:hint="default"/>
                <w:sz w:val="21"/>
                <w:szCs w:val="21"/>
              </w:rPr>
              <w:t>财务管理系统</w:t>
            </w:r>
          </w:p>
        </w:tc>
        <w:tc>
          <w:tcPr>
            <w:tcW w:w="1407"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6,999,575</w:t>
            </w:r>
          </w:p>
        </w:tc>
        <w:tc>
          <w:tcPr>
            <w:tcW w:w="478" w:type="dxa"/>
            <w:tcBorders>
              <w:top w:val="single" w:sz="4" w:space="0" w:color="000000"/>
              <w:left w:val="single" w:sz="4" w:space="0" w:color="000000"/>
              <w:bottom w:val="single" w:sz="4" w:space="0" w:color="000000"/>
              <w:right w:val="single" w:sz="4" w:space="0" w:color="000000"/>
            </w:tcBorders>
          </w:tcPr>
          <w:p>
            <w:pP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6,999,575</w:t>
            </w:r>
          </w:p>
        </w:tc>
      </w:tr>
      <w:tr>
        <w:trPr>
          <w:trHeight w:val="281" w:hRule="exact"/>
        </w:trPr>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实践教学云平台</w:t>
            </w:r>
          </w:p>
        </w:tc>
        <w:tc>
          <w:tcPr>
            <w:tcW w:w="1407"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7,007,095</w:t>
            </w:r>
          </w:p>
        </w:tc>
        <w:tc>
          <w:tcPr>
            <w:tcW w:w="478" w:type="dxa"/>
            <w:tcBorders>
              <w:top w:val="single" w:sz="4" w:space="0" w:color="000000"/>
              <w:left w:val="single" w:sz="4" w:space="0" w:color="000000"/>
              <w:bottom w:val="single" w:sz="4" w:space="0" w:color="000000"/>
              <w:right w:val="single" w:sz="4" w:space="0" w:color="000000"/>
            </w:tcBorders>
          </w:tcPr>
          <w:p>
            <w:pP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7,007,095</w:t>
            </w:r>
          </w:p>
        </w:tc>
      </w:tr>
      <w:tr>
        <w:trPr>
          <w:trHeight w:val="283" w:hRule="exact"/>
        </w:trPr>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数字财政</w:t>
            </w:r>
          </w:p>
        </w:tc>
        <w:tc>
          <w:tcPr>
            <w:tcW w:w="1407"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5,127,687</w:t>
            </w:r>
          </w:p>
        </w:tc>
        <w:tc>
          <w:tcPr>
            <w:tcW w:w="478" w:type="dxa"/>
            <w:tcBorders>
              <w:top w:val="single" w:sz="4" w:space="0" w:color="000000"/>
              <w:left w:val="single" w:sz="4" w:space="0" w:color="000000"/>
              <w:bottom w:val="single" w:sz="4" w:space="0" w:color="000000"/>
              <w:right w:val="single" w:sz="4" w:space="0" w:color="000000"/>
            </w:tcBorders>
          </w:tcPr>
          <w:p>
            <w:pP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5,127,687</w:t>
            </w:r>
          </w:p>
        </w:tc>
      </w:tr>
      <w:tr>
        <w:trPr>
          <w:trHeight w:val="281" w:hRule="exact"/>
        </w:trPr>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新一代云财务</w:t>
            </w:r>
          </w:p>
        </w:tc>
        <w:tc>
          <w:tcPr>
            <w:tcW w:w="1407"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4,588,498</w:t>
            </w:r>
          </w:p>
        </w:tc>
        <w:tc>
          <w:tcPr>
            <w:tcW w:w="478" w:type="dxa"/>
            <w:tcBorders>
              <w:top w:val="single" w:sz="4" w:space="0" w:color="000000"/>
              <w:left w:val="single" w:sz="4" w:space="0" w:color="000000"/>
              <w:bottom w:val="single" w:sz="4" w:space="0" w:color="000000"/>
              <w:right w:val="single" w:sz="4" w:space="0" w:color="000000"/>
            </w:tcBorders>
          </w:tcPr>
          <w:p>
            <w:pP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4,588,498</w:t>
            </w:r>
          </w:p>
        </w:tc>
      </w:tr>
      <w:tr>
        <w:trPr>
          <w:trHeight w:val="283" w:hRule="exact"/>
        </w:trPr>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人口信息平台</w:t>
            </w:r>
          </w:p>
        </w:tc>
        <w:tc>
          <w:tcPr>
            <w:tcW w:w="1407"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3,932,582</w:t>
            </w:r>
          </w:p>
        </w:tc>
        <w:tc>
          <w:tcPr>
            <w:tcW w:w="478" w:type="dxa"/>
            <w:tcBorders>
              <w:top w:val="single" w:sz="4" w:space="0" w:color="000000"/>
              <w:left w:val="single" w:sz="4" w:space="0" w:color="000000"/>
              <w:bottom w:val="single" w:sz="4" w:space="0" w:color="000000"/>
              <w:right w:val="single" w:sz="4" w:space="0" w:color="000000"/>
            </w:tcBorders>
          </w:tcPr>
          <w:p>
            <w:pP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3,932,582</w:t>
            </w:r>
          </w:p>
        </w:tc>
      </w:tr>
      <w:tr>
        <w:trPr>
          <w:trHeight w:val="555" w:hRule="exact"/>
        </w:trPr>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经销商互联增值服</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务平台</w:t>
            </w:r>
            <w:r>
              <w:rPr>
                <w:rFonts w:ascii="宋体" w:hAnsi="宋体" w:cs="宋体" w:eastAsia="宋体" w:hint="default"/>
                <w:spacing w:val="-53"/>
                <w:sz w:val="21"/>
                <w:szCs w:val="21"/>
              </w:rPr>
              <w:t> </w:t>
            </w:r>
            <w:r>
              <w:rPr>
                <w:rFonts w:ascii="宋体" w:hAnsi="宋体" w:cs="宋体" w:eastAsia="宋体" w:hint="default"/>
                <w:sz w:val="21"/>
                <w:szCs w:val="21"/>
              </w:rPr>
              <w:t>V1.0</w:t>
            </w:r>
          </w:p>
        </w:tc>
        <w:tc>
          <w:tcPr>
            <w:tcW w:w="1407"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3,584,557</w:t>
            </w:r>
          </w:p>
        </w:tc>
        <w:tc>
          <w:tcPr>
            <w:tcW w:w="478" w:type="dxa"/>
            <w:tcBorders>
              <w:top w:val="single" w:sz="4" w:space="0" w:color="000000"/>
              <w:left w:val="single" w:sz="4" w:space="0" w:color="000000"/>
              <w:bottom w:val="single" w:sz="4" w:space="0" w:color="000000"/>
              <w:right w:val="single" w:sz="4" w:space="0" w:color="000000"/>
            </w:tcBorders>
          </w:tcPr>
          <w:p>
            <w:pP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3,584,557</w:t>
            </w:r>
          </w:p>
        </w:tc>
      </w:tr>
      <w:tr>
        <w:trPr>
          <w:trHeight w:val="283" w:hRule="exact"/>
        </w:trPr>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餐饮云产品</w:t>
            </w:r>
          </w:p>
        </w:tc>
        <w:tc>
          <w:tcPr>
            <w:tcW w:w="1407"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2,822,618</w:t>
            </w:r>
          </w:p>
        </w:tc>
        <w:tc>
          <w:tcPr>
            <w:tcW w:w="478" w:type="dxa"/>
            <w:tcBorders>
              <w:top w:val="single" w:sz="4" w:space="0" w:color="000000"/>
              <w:left w:val="single" w:sz="4" w:space="0" w:color="000000"/>
              <w:bottom w:val="single" w:sz="4" w:space="0" w:color="000000"/>
              <w:right w:val="single" w:sz="4" w:space="0" w:color="000000"/>
            </w:tcBorders>
          </w:tcPr>
          <w:p>
            <w:pP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2,822,618</w:t>
            </w:r>
          </w:p>
        </w:tc>
      </w:tr>
      <w:tr>
        <w:trPr>
          <w:trHeight w:val="283" w:hRule="exact"/>
        </w:trPr>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企业用餐服务</w:t>
            </w:r>
          </w:p>
        </w:tc>
        <w:tc>
          <w:tcPr>
            <w:tcW w:w="1407"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2,804,434</w:t>
            </w:r>
          </w:p>
        </w:tc>
        <w:tc>
          <w:tcPr>
            <w:tcW w:w="478" w:type="dxa"/>
            <w:tcBorders>
              <w:top w:val="single" w:sz="4" w:space="0" w:color="000000"/>
              <w:left w:val="single" w:sz="4" w:space="0" w:color="000000"/>
              <w:bottom w:val="single" w:sz="4" w:space="0" w:color="000000"/>
              <w:right w:val="single" w:sz="4" w:space="0" w:color="000000"/>
            </w:tcBorders>
          </w:tcPr>
          <w:p>
            <w:pP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2,804,434</w:t>
            </w:r>
          </w:p>
        </w:tc>
      </w:tr>
      <w:tr>
        <w:trPr>
          <w:trHeight w:val="554" w:hRule="exact"/>
        </w:trPr>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 </w:t>
            </w:r>
            <w:r>
              <w:rPr>
                <w:rFonts w:ascii="宋体" w:hAnsi="宋体" w:cs="宋体" w:eastAsia="宋体" w:hint="default"/>
                <w:sz w:val="21"/>
                <w:szCs w:val="21"/>
              </w:rPr>
              <w:t>iUAP</w:t>
            </w:r>
            <w:r>
              <w:rPr>
                <w:rFonts w:ascii="宋体" w:hAnsi="宋体" w:cs="宋体" w:eastAsia="宋体" w:hint="default"/>
                <w:spacing w:val="2"/>
                <w:sz w:val="21"/>
                <w:szCs w:val="21"/>
              </w:rPr>
              <w:t> </w:t>
            </w:r>
            <w:r>
              <w:rPr>
                <w:rFonts w:ascii="宋体" w:hAnsi="宋体" w:cs="宋体" w:eastAsia="宋体" w:hint="default"/>
                <w:sz w:val="21"/>
                <w:szCs w:val="21"/>
              </w:rPr>
              <w:t>PaaS</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平台</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44,498,790</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2,431,589</w:t>
            </w:r>
          </w:p>
        </w:tc>
        <w:tc>
          <w:tcPr>
            <w:tcW w:w="478" w:type="dxa"/>
            <w:tcBorders>
              <w:top w:val="single" w:sz="4" w:space="0" w:color="000000"/>
              <w:left w:val="single" w:sz="4" w:space="0" w:color="000000"/>
              <w:bottom w:val="single" w:sz="4" w:space="0" w:color="000000"/>
              <w:right w:val="single" w:sz="4" w:space="0" w:color="000000"/>
            </w:tcBorders>
          </w:tcPr>
          <w:p>
            <w:pP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46,930,379</w:t>
            </w:r>
          </w:p>
        </w:tc>
        <w:tc>
          <w:tcPr>
            <w:tcW w:w="1299" w:type="dxa"/>
            <w:tcBorders>
              <w:top w:val="single" w:sz="4" w:space="0" w:color="000000"/>
              <w:left w:val="single" w:sz="4" w:space="0" w:color="000000"/>
              <w:bottom w:val="single" w:sz="4" w:space="0" w:color="000000"/>
              <w:right w:val="single" w:sz="4" w:space="0" w:color="000000"/>
            </w:tcBorders>
          </w:tcPr>
          <w:p>
            <w:pP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财务云</w:t>
            </w:r>
          </w:p>
        </w:tc>
        <w:tc>
          <w:tcPr>
            <w:tcW w:w="1407"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35,743,915</w:t>
            </w:r>
          </w:p>
        </w:tc>
        <w:tc>
          <w:tcPr>
            <w:tcW w:w="478" w:type="dxa"/>
            <w:tcBorders>
              <w:top w:val="single" w:sz="4" w:space="0" w:color="000000"/>
              <w:left w:val="single" w:sz="4" w:space="0" w:color="000000"/>
              <w:bottom w:val="single" w:sz="4" w:space="0" w:color="000000"/>
              <w:right w:val="single" w:sz="4" w:space="0" w:color="000000"/>
            </w:tcBorders>
          </w:tcPr>
          <w:p>
            <w:pP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35,743,915</w:t>
            </w:r>
          </w:p>
        </w:tc>
        <w:tc>
          <w:tcPr>
            <w:tcW w:w="1299" w:type="dxa"/>
            <w:tcBorders>
              <w:top w:val="single" w:sz="4" w:space="0" w:color="000000"/>
              <w:left w:val="single" w:sz="4" w:space="0" w:color="000000"/>
              <w:bottom w:val="single" w:sz="4" w:space="0" w:color="000000"/>
              <w:right w:val="single" w:sz="4" w:space="0" w:color="000000"/>
            </w:tcBorders>
          </w:tcPr>
          <w:p>
            <w:pP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友空间</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16,163,306</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10,055,513</w:t>
            </w:r>
          </w:p>
        </w:tc>
        <w:tc>
          <w:tcPr>
            <w:tcW w:w="478" w:type="dxa"/>
            <w:tcBorders>
              <w:top w:val="single" w:sz="4" w:space="0" w:color="000000"/>
              <w:left w:val="single" w:sz="4" w:space="0" w:color="000000"/>
              <w:bottom w:val="single" w:sz="4" w:space="0" w:color="000000"/>
              <w:right w:val="single" w:sz="4" w:space="0" w:color="000000"/>
            </w:tcBorders>
          </w:tcPr>
          <w:p>
            <w:pP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26,218,819</w:t>
            </w:r>
          </w:p>
        </w:tc>
        <w:tc>
          <w:tcPr>
            <w:tcW w:w="1299" w:type="dxa"/>
            <w:tcBorders>
              <w:top w:val="single" w:sz="4" w:space="0" w:color="000000"/>
              <w:left w:val="single" w:sz="4" w:space="0" w:color="000000"/>
              <w:bottom w:val="single" w:sz="4" w:space="0" w:color="000000"/>
              <w:right w:val="single" w:sz="4" w:space="0" w:color="000000"/>
            </w:tcBorders>
          </w:tcPr>
          <w:p>
            <w:pP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人力云</w:t>
            </w:r>
          </w:p>
        </w:tc>
        <w:tc>
          <w:tcPr>
            <w:tcW w:w="1407"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9,023,927</w:t>
            </w:r>
          </w:p>
        </w:tc>
        <w:tc>
          <w:tcPr>
            <w:tcW w:w="478" w:type="dxa"/>
            <w:tcBorders>
              <w:top w:val="single" w:sz="4" w:space="0" w:color="000000"/>
              <w:left w:val="single" w:sz="4" w:space="0" w:color="000000"/>
              <w:bottom w:val="single" w:sz="4" w:space="0" w:color="000000"/>
              <w:right w:val="single" w:sz="4" w:space="0" w:color="000000"/>
            </w:tcBorders>
          </w:tcPr>
          <w:p>
            <w:pP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9,023,927</w:t>
            </w:r>
          </w:p>
        </w:tc>
        <w:tc>
          <w:tcPr>
            <w:tcW w:w="1299" w:type="dxa"/>
            <w:tcBorders>
              <w:top w:val="single" w:sz="4" w:space="0" w:color="000000"/>
              <w:left w:val="single" w:sz="4" w:space="0" w:color="000000"/>
              <w:bottom w:val="single" w:sz="4" w:space="0" w:color="000000"/>
              <w:right w:val="single" w:sz="4" w:space="0" w:color="000000"/>
            </w:tcBorders>
          </w:tcPr>
          <w:p>
            <w:pP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医疗机构成本管理</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系统</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4,230,653</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2,304,456</w:t>
            </w:r>
          </w:p>
        </w:tc>
        <w:tc>
          <w:tcPr>
            <w:tcW w:w="478" w:type="dxa"/>
            <w:tcBorders>
              <w:top w:val="single" w:sz="4" w:space="0" w:color="000000"/>
              <w:left w:val="single" w:sz="4" w:space="0" w:color="000000"/>
              <w:bottom w:val="single" w:sz="4" w:space="0" w:color="000000"/>
              <w:right w:val="single" w:sz="4" w:space="0" w:color="000000"/>
            </w:tcBorders>
          </w:tcPr>
          <w:p>
            <w:pP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6,535,109</w:t>
            </w:r>
          </w:p>
        </w:tc>
        <w:tc>
          <w:tcPr>
            <w:tcW w:w="1299" w:type="dxa"/>
            <w:tcBorders>
              <w:top w:val="single" w:sz="4" w:space="0" w:color="000000"/>
              <w:left w:val="single" w:sz="4" w:space="0" w:color="000000"/>
              <w:bottom w:val="single" w:sz="4" w:space="0" w:color="000000"/>
              <w:right w:val="single" w:sz="4" w:space="0" w:color="000000"/>
            </w:tcBorders>
          </w:tcPr>
          <w:p>
            <w:pP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r>
      <w:tr>
        <w:trPr>
          <w:trHeight w:val="555" w:hRule="exact"/>
        </w:trPr>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医疗机构云采购服</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务平台</w:t>
            </w:r>
          </w:p>
        </w:tc>
        <w:tc>
          <w:tcPr>
            <w:tcW w:w="1407"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2,398,865</w:t>
            </w:r>
          </w:p>
        </w:tc>
        <w:tc>
          <w:tcPr>
            <w:tcW w:w="478" w:type="dxa"/>
            <w:tcBorders>
              <w:top w:val="single" w:sz="4" w:space="0" w:color="000000"/>
              <w:left w:val="single" w:sz="4" w:space="0" w:color="000000"/>
              <w:bottom w:val="single" w:sz="4" w:space="0" w:color="000000"/>
              <w:right w:val="single" w:sz="4" w:space="0" w:color="000000"/>
            </w:tcBorders>
          </w:tcPr>
          <w:p>
            <w:pP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2,398,865</w:t>
            </w:r>
          </w:p>
        </w:tc>
        <w:tc>
          <w:tcPr>
            <w:tcW w:w="1299" w:type="dxa"/>
            <w:tcBorders>
              <w:top w:val="single" w:sz="4" w:space="0" w:color="000000"/>
              <w:left w:val="single" w:sz="4" w:space="0" w:color="000000"/>
              <w:bottom w:val="single" w:sz="4" w:space="0" w:color="000000"/>
              <w:right w:val="single" w:sz="4" w:space="0" w:color="000000"/>
            </w:tcBorders>
          </w:tcPr>
          <w:p>
            <w:pP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供应链金融事业部</w:t>
            </w:r>
          </w:p>
        </w:tc>
        <w:tc>
          <w:tcPr>
            <w:tcW w:w="1407"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11,452,802</w:t>
            </w:r>
          </w:p>
        </w:tc>
        <w:tc>
          <w:tcPr>
            <w:tcW w:w="478" w:type="dxa"/>
            <w:tcBorders>
              <w:top w:val="single" w:sz="4" w:space="0" w:color="000000"/>
              <w:left w:val="single" w:sz="4" w:space="0" w:color="000000"/>
              <w:bottom w:val="single" w:sz="4" w:space="0" w:color="000000"/>
              <w:right w:val="single" w:sz="4" w:space="0" w:color="000000"/>
            </w:tcBorders>
          </w:tcPr>
          <w:p>
            <w:pP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3" w:right="0"/>
              <w:jc w:val="center"/>
              <w:rPr>
                <w:rFonts w:ascii="宋体" w:hAnsi="宋体" w:cs="宋体" w:eastAsia="宋体" w:hint="default"/>
                <w:sz w:val="21"/>
                <w:szCs w:val="21"/>
              </w:rPr>
            </w:pPr>
            <w:r>
              <w:rPr>
                <w:rFonts w:ascii="宋体"/>
                <w:sz w:val="21"/>
              </w:rPr>
              <w:t>11,452,802</w:t>
            </w: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320" w:bottom="1380" w:left="1140" w:right="640"/>
        </w:sectPr>
      </w:pPr>
    </w:p>
    <w:p>
      <w:pPr>
        <w:spacing w:line="240" w:lineRule="auto" w:before="6"/>
        <w:rPr>
          <w:rFonts w:ascii="宋体" w:hAnsi="宋体" w:cs="宋体" w:eastAsia="宋体" w:hint="default"/>
          <w:sz w:val="14"/>
          <w:szCs w:val="14"/>
        </w:rPr>
      </w:pPr>
    </w:p>
    <w:tbl>
      <w:tblPr>
        <w:tblW w:w="0" w:type="auto"/>
        <w:jc w:val="left"/>
        <w:tblInd w:w="112" w:type="dxa"/>
        <w:tblLayout w:type="fixed"/>
        <w:tblCellMar>
          <w:top w:w="0" w:type="dxa"/>
          <w:left w:w="0" w:type="dxa"/>
          <w:bottom w:w="0" w:type="dxa"/>
          <w:right w:w="0" w:type="dxa"/>
        </w:tblCellMar>
        <w:tblLook w:val="01E0"/>
      </w:tblPr>
      <w:tblGrid>
        <w:gridCol w:w="1949"/>
        <w:gridCol w:w="1407"/>
        <w:gridCol w:w="1406"/>
        <w:gridCol w:w="478"/>
        <w:gridCol w:w="314"/>
        <w:gridCol w:w="1406"/>
        <w:gridCol w:w="1299"/>
        <w:gridCol w:w="228"/>
        <w:gridCol w:w="1404"/>
      </w:tblGrid>
      <w:tr>
        <w:trPr>
          <w:trHeight w:val="284" w:hRule="exact"/>
        </w:trPr>
        <w:tc>
          <w:tcPr>
            <w:tcW w:w="1949" w:type="dxa"/>
            <w:tcBorders>
              <w:top w:val="single" w:sz="4" w:space="0" w:color="000000"/>
              <w:left w:val="single" w:sz="4" w:space="0" w:color="000000"/>
              <w:bottom w:val="single" w:sz="4" w:space="0" w:color="000000"/>
              <w:right w:val="single" w:sz="4" w:space="0" w:color="000000"/>
            </w:tcBorders>
          </w:tcPr>
          <w:p>
            <w:pPr/>
          </w:p>
        </w:tc>
        <w:tc>
          <w:tcPr>
            <w:tcW w:w="1407"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949" w:type="dxa"/>
            <w:tcBorders>
              <w:top w:val="single" w:sz="4" w:space="0" w:color="000000"/>
              <w:left w:val="single" w:sz="4" w:space="0" w:color="000000"/>
              <w:bottom w:val="single" w:sz="4" w:space="0" w:color="000000"/>
              <w:right w:val="single" w:sz="4" w:space="0" w:color="000000"/>
            </w:tcBorders>
          </w:tcPr>
          <w:p>
            <w:pPr/>
          </w:p>
        </w:tc>
        <w:tc>
          <w:tcPr>
            <w:tcW w:w="1407"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36" w:right="0"/>
              <w:jc w:val="left"/>
              <w:rPr>
                <w:rFonts w:ascii="宋体" w:hAnsi="宋体" w:cs="宋体" w:eastAsia="宋体" w:hint="default"/>
                <w:sz w:val="21"/>
                <w:szCs w:val="21"/>
              </w:rPr>
            </w:pPr>
            <w:r>
              <w:rPr>
                <w:rFonts w:ascii="宋体"/>
                <w:sz w:val="21"/>
              </w:rPr>
              <w:t>122,529,566</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39" w:right="0"/>
              <w:jc w:val="left"/>
              <w:rPr>
                <w:rFonts w:ascii="宋体" w:hAnsi="宋体" w:cs="宋体" w:eastAsia="宋体" w:hint="default"/>
                <w:sz w:val="21"/>
                <w:szCs w:val="21"/>
              </w:rPr>
            </w:pPr>
            <w:r>
              <w:rPr>
                <w:rFonts w:ascii="宋体"/>
                <w:sz w:val="21"/>
              </w:rPr>
              <w:t>187,568,625</w:t>
            </w:r>
          </w:p>
        </w:tc>
        <w:tc>
          <w:tcPr>
            <w:tcW w:w="478" w:type="dxa"/>
            <w:tcBorders>
              <w:top w:val="single" w:sz="4" w:space="0" w:color="000000"/>
              <w:left w:val="single" w:sz="4" w:space="0" w:color="000000"/>
              <w:bottom w:val="single" w:sz="4" w:space="0" w:color="000000"/>
              <w:right w:val="single" w:sz="4" w:space="0" w:color="000000"/>
            </w:tcBorders>
          </w:tcPr>
          <w:p>
            <w:pPr/>
          </w:p>
        </w:tc>
        <w:tc>
          <w:tcPr>
            <w:tcW w:w="314"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39" w:right="0"/>
              <w:jc w:val="left"/>
              <w:rPr>
                <w:rFonts w:ascii="宋体" w:hAnsi="宋体" w:cs="宋体" w:eastAsia="宋体" w:hint="default"/>
                <w:sz w:val="21"/>
                <w:szCs w:val="21"/>
              </w:rPr>
            </w:pPr>
            <w:r>
              <w:rPr>
                <w:rFonts w:ascii="宋体"/>
                <w:sz w:val="21"/>
              </w:rPr>
              <w:t>126,851,014</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34" w:right="0"/>
              <w:jc w:val="left"/>
              <w:rPr>
                <w:rFonts w:ascii="宋体" w:hAnsi="宋体" w:cs="宋体" w:eastAsia="宋体" w:hint="default"/>
                <w:sz w:val="21"/>
                <w:szCs w:val="21"/>
              </w:rPr>
            </w:pPr>
            <w:r>
              <w:rPr>
                <w:rFonts w:ascii="宋体"/>
                <w:sz w:val="21"/>
              </w:rPr>
              <w:t>27,105,989</w:t>
            </w:r>
          </w:p>
        </w:tc>
        <w:tc>
          <w:tcPr>
            <w:tcW w:w="228"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36" w:right="0"/>
              <w:jc w:val="left"/>
              <w:rPr>
                <w:rFonts w:ascii="宋体" w:hAnsi="宋体" w:cs="宋体" w:eastAsia="宋体" w:hint="default"/>
                <w:sz w:val="21"/>
                <w:szCs w:val="21"/>
              </w:rPr>
            </w:pPr>
            <w:r>
              <w:rPr>
                <w:rFonts w:ascii="宋体"/>
                <w:sz w:val="21"/>
              </w:rPr>
              <w:t>156,141,188</w:t>
            </w:r>
          </w:p>
        </w:tc>
      </w:tr>
    </w:tbl>
    <w:p>
      <w:pPr>
        <w:pStyle w:val="BodyText"/>
        <w:spacing w:line="241" w:lineRule="exact"/>
        <w:ind w:left="658" w:right="0"/>
        <w:jc w:val="left"/>
      </w:pPr>
      <w:r>
        <w:rPr/>
        <w:t>注：本年公司对互联网技术与运维平台项目全额计提减值准备，计入当期资产减值损失。</w:t>
      </w:r>
    </w:p>
    <w:p>
      <w:pPr>
        <w:pStyle w:val="Heading3"/>
        <w:spacing w:line="240" w:lineRule="auto" w:before="56"/>
        <w:ind w:left="658" w:right="0"/>
        <w:jc w:val="left"/>
        <w:rPr>
          <w:b w:val="0"/>
          <w:bCs w:val="0"/>
        </w:rPr>
      </w:pPr>
      <w:r>
        <w:rPr>
          <w:rFonts w:ascii="宋体" w:hAnsi="宋体" w:cs="宋体" w:eastAsia="宋体" w:hint="default"/>
        </w:rPr>
        <w:t>27</w:t>
      </w:r>
      <w:r>
        <w:rPr/>
        <w:t>、</w:t>
      </w:r>
      <w:r>
        <w:rPr>
          <w:spacing w:val="-26"/>
        </w:rPr>
        <w:t> </w:t>
      </w:r>
      <w:r>
        <w:rPr/>
        <w:t>商誉</w:t>
      </w:r>
      <w:r>
        <w:rPr>
          <w:b w:val="0"/>
          <w:bCs w:val="0"/>
        </w:rPr>
      </w:r>
    </w:p>
    <w:p>
      <w:pPr>
        <w:pStyle w:val="Heading3"/>
        <w:spacing w:line="240" w:lineRule="auto" w:before="56"/>
        <w:ind w:left="658" w:right="0"/>
        <w:jc w:val="left"/>
        <w:rPr>
          <w:b w:val="0"/>
          <w:bCs w:val="0"/>
        </w:rPr>
      </w:pPr>
      <w:r>
        <w:rPr>
          <w:rFonts w:ascii="宋体" w:hAnsi="宋体" w:cs="宋体" w:eastAsia="宋体" w:hint="default"/>
        </w:rPr>
        <w:t>(1).</w:t>
      </w:r>
      <w:r>
        <w:rPr>
          <w:rFonts w:ascii="宋体" w:hAnsi="宋体" w:cs="宋体" w:eastAsia="宋体" w:hint="default"/>
          <w:spacing w:val="60"/>
        </w:rPr>
        <w:t> </w:t>
      </w:r>
      <w:r>
        <w:rPr/>
        <w:t>商誉账面原值</w:t>
      </w:r>
      <w:r>
        <w:rPr>
          <w:b w:val="0"/>
          <w:bCs w:val="0"/>
        </w:rPr>
      </w:r>
    </w:p>
    <w:p>
      <w:pPr>
        <w:pStyle w:val="BodyText"/>
        <w:spacing w:line="240" w:lineRule="auto" w:before="58"/>
        <w:ind w:left="658" w:right="0"/>
        <w:jc w:val="left"/>
      </w:pPr>
      <w:r>
        <w:rPr/>
        <w:t>√适用</w:t>
      </w:r>
      <w:r>
        <w:rPr>
          <w:spacing w:val="-1"/>
        </w:rPr>
        <w:t> </w:t>
      </w:r>
      <w:r>
        <w:rPr/>
        <w:t>□不适用</w:t>
      </w:r>
    </w:p>
    <w:p>
      <w:pPr>
        <w:pStyle w:val="BodyText"/>
        <w:spacing w:line="271" w:lineRule="exact"/>
        <w:ind w:left="0" w:right="630"/>
        <w:jc w:val="right"/>
      </w:pPr>
      <w:r>
        <w:rPr>
          <w:spacing w:val="-2"/>
        </w:rPr>
        <w:t>单位：元币种：人民币</w:t>
      </w:r>
    </w:p>
    <w:p>
      <w:pPr>
        <w:spacing w:line="240" w:lineRule="auto" w:before="7"/>
        <w:rPr>
          <w:rFonts w:ascii="宋体" w:hAnsi="宋体" w:cs="宋体" w:eastAsia="宋体" w:hint="default"/>
          <w:sz w:val="2"/>
          <w:szCs w:val="2"/>
        </w:rPr>
      </w:pPr>
    </w:p>
    <w:tbl>
      <w:tblPr>
        <w:tblW w:w="0" w:type="auto"/>
        <w:jc w:val="left"/>
        <w:tblInd w:w="545" w:type="dxa"/>
        <w:tblLayout w:type="fixed"/>
        <w:tblCellMar>
          <w:top w:w="0" w:type="dxa"/>
          <w:left w:w="0" w:type="dxa"/>
          <w:bottom w:w="0" w:type="dxa"/>
          <w:right w:w="0" w:type="dxa"/>
        </w:tblCellMar>
        <w:tblLook w:val="01E0"/>
      </w:tblPr>
      <w:tblGrid>
        <w:gridCol w:w="2761"/>
        <w:gridCol w:w="1452"/>
        <w:gridCol w:w="1308"/>
        <w:gridCol w:w="290"/>
        <w:gridCol w:w="1310"/>
        <w:gridCol w:w="291"/>
        <w:gridCol w:w="1637"/>
      </w:tblGrid>
      <w:tr>
        <w:trPr>
          <w:trHeight w:val="293" w:hRule="exact"/>
        </w:trPr>
        <w:tc>
          <w:tcPr>
            <w:tcW w:w="2761" w:type="dxa"/>
            <w:vMerge w:val="restart"/>
            <w:tcBorders>
              <w:top w:val="single" w:sz="4" w:space="0" w:color="000000"/>
              <w:left w:val="single" w:sz="4" w:space="0" w:color="000000"/>
              <w:right w:val="single" w:sz="4" w:space="0" w:color="000000"/>
            </w:tcBorders>
          </w:tcPr>
          <w:p>
            <w:pPr>
              <w:pStyle w:val="TableParagraph"/>
              <w:spacing w:line="240" w:lineRule="auto" w:before="112"/>
              <w:ind w:left="1058" w:right="113" w:hanging="946"/>
              <w:jc w:val="left"/>
              <w:rPr>
                <w:rFonts w:ascii="宋体" w:hAnsi="宋体" w:cs="宋体" w:eastAsia="宋体" w:hint="default"/>
                <w:sz w:val="21"/>
                <w:szCs w:val="21"/>
              </w:rPr>
            </w:pPr>
            <w:r>
              <w:rPr>
                <w:rFonts w:ascii="宋体" w:hAnsi="宋体" w:cs="宋体" w:eastAsia="宋体" w:hint="default"/>
                <w:spacing w:val="-2"/>
                <w:sz w:val="21"/>
                <w:szCs w:val="21"/>
              </w:rPr>
              <w:t>被投资单位名称或形成商誉</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的事项</w:t>
            </w:r>
          </w:p>
        </w:tc>
        <w:tc>
          <w:tcPr>
            <w:tcW w:w="1452" w:type="dxa"/>
            <w:vMerge w:val="restart"/>
            <w:tcBorders>
              <w:top w:val="single" w:sz="4" w:space="0" w:color="000000"/>
              <w:left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297"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5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374"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6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374"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637" w:type="dxa"/>
            <w:vMerge w:val="restart"/>
            <w:tcBorders>
              <w:top w:val="single" w:sz="4" w:space="0" w:color="000000"/>
              <w:left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393"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557" w:hRule="exact"/>
        </w:trPr>
        <w:tc>
          <w:tcPr>
            <w:tcW w:w="2761" w:type="dxa"/>
            <w:vMerge/>
            <w:tcBorders>
              <w:left w:val="single" w:sz="4" w:space="0" w:color="000000"/>
              <w:bottom w:val="single" w:sz="4" w:space="0" w:color="000000"/>
              <w:right w:val="single" w:sz="4" w:space="0" w:color="000000"/>
            </w:tcBorders>
          </w:tcPr>
          <w:p>
            <w:pPr/>
          </w:p>
        </w:tc>
        <w:tc>
          <w:tcPr>
            <w:tcW w:w="1452" w:type="dxa"/>
            <w:vMerge/>
            <w:tcBorders>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企业合并形</w:t>
            </w:r>
          </w:p>
          <w:p>
            <w:pPr>
              <w:pStyle w:val="TableParagraph"/>
              <w:spacing w:line="273" w:lineRule="exact"/>
              <w:ind w:left="2" w:right="0"/>
              <w:jc w:val="center"/>
              <w:rPr>
                <w:rFonts w:ascii="宋体" w:hAnsi="宋体" w:cs="宋体" w:eastAsia="宋体" w:hint="default"/>
                <w:sz w:val="21"/>
                <w:szCs w:val="21"/>
              </w:rPr>
            </w:pPr>
            <w:r>
              <w:rPr>
                <w:rFonts w:ascii="宋体" w:hAnsi="宋体" w:cs="宋体" w:eastAsia="宋体" w:hint="default"/>
                <w:sz w:val="21"/>
                <w:szCs w:val="21"/>
              </w:rPr>
              <w:t>成的</w:t>
            </w: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处置</w:t>
            </w: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vMerge/>
            <w:tcBorders>
              <w:left w:val="single" w:sz="4" w:space="0" w:color="000000"/>
              <w:bottom w:val="single" w:sz="4" w:space="0" w:color="000000"/>
              <w:right w:val="single" w:sz="4" w:space="0" w:color="000000"/>
            </w:tcBorders>
          </w:tcPr>
          <w:p>
            <w:pPr/>
          </w:p>
        </w:tc>
      </w:tr>
      <w:tr>
        <w:trPr>
          <w:trHeight w:val="281" w:hRule="exact"/>
        </w:trPr>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用友汽车</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378,396,387</w:t>
            </w:r>
          </w:p>
        </w:tc>
        <w:tc>
          <w:tcPr>
            <w:tcW w:w="1308" w:type="dxa"/>
            <w:tcBorders>
              <w:top w:val="single" w:sz="4" w:space="0" w:color="000000"/>
              <w:left w:val="single" w:sz="4" w:space="0" w:color="000000"/>
              <w:bottom w:val="single" w:sz="4" w:space="0" w:color="000000"/>
              <w:right w:val="single" w:sz="4" w:space="0" w:color="000000"/>
            </w:tcBorders>
          </w:tcPr>
          <w:p>
            <w:pP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378,396,387</w:t>
            </w:r>
          </w:p>
        </w:tc>
      </w:tr>
      <w:tr>
        <w:trPr>
          <w:trHeight w:val="283" w:hRule="exact"/>
        </w:trPr>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用友政务</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308,399,874</w:t>
            </w:r>
          </w:p>
        </w:tc>
        <w:tc>
          <w:tcPr>
            <w:tcW w:w="1308" w:type="dxa"/>
            <w:tcBorders>
              <w:top w:val="single" w:sz="4" w:space="0" w:color="000000"/>
              <w:left w:val="single" w:sz="4" w:space="0" w:color="000000"/>
              <w:bottom w:val="single" w:sz="4" w:space="0" w:color="000000"/>
              <w:right w:val="single" w:sz="4" w:space="0" w:color="000000"/>
            </w:tcBorders>
          </w:tcPr>
          <w:p>
            <w:pP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308,399,874</w:t>
            </w:r>
          </w:p>
        </w:tc>
      </w:tr>
      <w:tr>
        <w:trPr>
          <w:trHeight w:val="281" w:hRule="exact"/>
        </w:trPr>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秉钧网络</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113,445,152</w:t>
            </w:r>
          </w:p>
        </w:tc>
        <w:tc>
          <w:tcPr>
            <w:tcW w:w="1308" w:type="dxa"/>
            <w:tcBorders>
              <w:top w:val="single" w:sz="4" w:space="0" w:color="000000"/>
              <w:left w:val="single" w:sz="4" w:space="0" w:color="000000"/>
              <w:bottom w:val="single" w:sz="4" w:space="0" w:color="000000"/>
              <w:right w:val="single" w:sz="4" w:space="0" w:color="000000"/>
            </w:tcBorders>
          </w:tcPr>
          <w:p>
            <w:pP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113,445,152</w:t>
            </w:r>
          </w:p>
        </w:tc>
      </w:tr>
      <w:tr>
        <w:trPr>
          <w:trHeight w:val="283" w:hRule="exact"/>
        </w:trPr>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特博深</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37,828,833</w:t>
            </w:r>
          </w:p>
        </w:tc>
        <w:tc>
          <w:tcPr>
            <w:tcW w:w="1308" w:type="dxa"/>
            <w:tcBorders>
              <w:top w:val="single" w:sz="4" w:space="0" w:color="000000"/>
              <w:left w:val="single" w:sz="4" w:space="0" w:color="000000"/>
              <w:bottom w:val="single" w:sz="4" w:space="0" w:color="000000"/>
              <w:right w:val="single" w:sz="4" w:space="0" w:color="000000"/>
            </w:tcBorders>
          </w:tcPr>
          <w:p>
            <w:pP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37,828,833</w:t>
            </w:r>
          </w:p>
        </w:tc>
      </w:tr>
      <w:tr>
        <w:trPr>
          <w:trHeight w:val="283" w:hRule="exact"/>
        </w:trPr>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时空超越</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35,997,518</w:t>
            </w:r>
          </w:p>
        </w:tc>
        <w:tc>
          <w:tcPr>
            <w:tcW w:w="1308" w:type="dxa"/>
            <w:tcBorders>
              <w:top w:val="single" w:sz="4" w:space="0" w:color="000000"/>
              <w:left w:val="single" w:sz="4" w:space="0" w:color="000000"/>
              <w:bottom w:val="single" w:sz="4" w:space="0" w:color="000000"/>
              <w:right w:val="single" w:sz="4" w:space="0" w:color="000000"/>
            </w:tcBorders>
          </w:tcPr>
          <w:p>
            <w:pP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35,997,518</w:t>
            </w:r>
          </w:p>
        </w:tc>
      </w:tr>
      <w:tr>
        <w:trPr>
          <w:trHeight w:val="281" w:hRule="exact"/>
        </w:trPr>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广州尚南</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28,555,713</w:t>
            </w:r>
          </w:p>
        </w:tc>
        <w:tc>
          <w:tcPr>
            <w:tcW w:w="1308" w:type="dxa"/>
            <w:tcBorders>
              <w:top w:val="single" w:sz="4" w:space="0" w:color="000000"/>
              <w:left w:val="single" w:sz="4" w:space="0" w:color="000000"/>
              <w:bottom w:val="single" w:sz="4" w:space="0" w:color="000000"/>
              <w:right w:val="single" w:sz="4" w:space="0" w:color="000000"/>
            </w:tcBorders>
          </w:tcPr>
          <w:p>
            <w:pP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28,555,713</w:t>
            </w:r>
          </w:p>
        </w:tc>
      </w:tr>
      <w:tr>
        <w:trPr>
          <w:trHeight w:val="283" w:hRule="exact"/>
        </w:trPr>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民太安保险经纪</w:t>
            </w:r>
          </w:p>
        </w:tc>
        <w:tc>
          <w:tcPr>
            <w:tcW w:w="1452"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26,245,336</w:t>
            </w: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26,245,336</w:t>
            </w:r>
          </w:p>
        </w:tc>
      </w:tr>
      <w:tr>
        <w:trPr>
          <w:trHeight w:val="283" w:hRule="exact"/>
        </w:trPr>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广州安易及江门安易</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14,807,958</w:t>
            </w:r>
          </w:p>
        </w:tc>
        <w:tc>
          <w:tcPr>
            <w:tcW w:w="1308" w:type="dxa"/>
            <w:tcBorders>
              <w:top w:val="single" w:sz="4" w:space="0" w:color="000000"/>
              <w:left w:val="single" w:sz="4" w:space="0" w:color="000000"/>
              <w:bottom w:val="single" w:sz="4" w:space="0" w:color="000000"/>
              <w:right w:val="single" w:sz="4" w:space="0" w:color="000000"/>
            </w:tcBorders>
          </w:tcPr>
          <w:p>
            <w:pP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14,807,958</w:t>
            </w:r>
          </w:p>
        </w:tc>
      </w:tr>
      <w:tr>
        <w:trPr>
          <w:trHeight w:val="281" w:hRule="exact"/>
        </w:trPr>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用友政务收购参股代理公司</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14,579,959</w:t>
            </w:r>
          </w:p>
        </w:tc>
        <w:tc>
          <w:tcPr>
            <w:tcW w:w="1308" w:type="dxa"/>
            <w:tcBorders>
              <w:top w:val="single" w:sz="4" w:space="0" w:color="000000"/>
              <w:left w:val="single" w:sz="4" w:space="0" w:color="000000"/>
              <w:bottom w:val="single" w:sz="4" w:space="0" w:color="000000"/>
              <w:right w:val="single" w:sz="4" w:space="0" w:color="000000"/>
            </w:tcBorders>
          </w:tcPr>
          <w:p>
            <w:pP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14,579,959</w:t>
            </w:r>
          </w:p>
        </w:tc>
      </w:tr>
      <w:tr>
        <w:trPr>
          <w:trHeight w:val="283" w:hRule="exact"/>
        </w:trPr>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上海天诺坛网</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12,659,937</w:t>
            </w:r>
          </w:p>
        </w:tc>
        <w:tc>
          <w:tcPr>
            <w:tcW w:w="1308" w:type="dxa"/>
            <w:tcBorders>
              <w:top w:val="single" w:sz="4" w:space="0" w:color="000000"/>
              <w:left w:val="single" w:sz="4" w:space="0" w:color="000000"/>
              <w:bottom w:val="single" w:sz="4" w:space="0" w:color="000000"/>
              <w:right w:val="single" w:sz="4" w:space="0" w:color="000000"/>
            </w:tcBorders>
          </w:tcPr>
          <w:p>
            <w:pP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12,659,937</w:t>
            </w:r>
          </w:p>
        </w:tc>
      </w:tr>
      <w:tr>
        <w:trPr>
          <w:trHeight w:val="283" w:hRule="exact"/>
        </w:trPr>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平强软件</w:t>
            </w:r>
          </w:p>
        </w:tc>
        <w:tc>
          <w:tcPr>
            <w:tcW w:w="1452"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10,454,182</w:t>
            </w: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10,454,182</w:t>
            </w:r>
          </w:p>
        </w:tc>
      </w:tr>
      <w:tr>
        <w:trPr>
          <w:trHeight w:val="281" w:hRule="exact"/>
        </w:trPr>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用友医院</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7,602,648</w:t>
            </w:r>
          </w:p>
        </w:tc>
        <w:tc>
          <w:tcPr>
            <w:tcW w:w="1308" w:type="dxa"/>
            <w:tcBorders>
              <w:top w:val="single" w:sz="4" w:space="0" w:color="000000"/>
              <w:left w:val="single" w:sz="4" w:space="0" w:color="000000"/>
              <w:bottom w:val="single" w:sz="4" w:space="0" w:color="000000"/>
              <w:right w:val="single" w:sz="4" w:space="0" w:color="000000"/>
            </w:tcBorders>
          </w:tcPr>
          <w:p>
            <w:pP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7,602,648</w:t>
            </w:r>
          </w:p>
        </w:tc>
      </w:tr>
      <w:tr>
        <w:trPr>
          <w:trHeight w:val="283" w:hRule="exact"/>
        </w:trPr>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上海哈久</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6,637,723</w:t>
            </w:r>
          </w:p>
        </w:tc>
        <w:tc>
          <w:tcPr>
            <w:tcW w:w="1308" w:type="dxa"/>
            <w:tcBorders>
              <w:top w:val="single" w:sz="4" w:space="0" w:color="000000"/>
              <w:left w:val="single" w:sz="4" w:space="0" w:color="000000"/>
              <w:bottom w:val="single" w:sz="4" w:space="0" w:color="000000"/>
              <w:right w:val="single" w:sz="4" w:space="0" w:color="000000"/>
            </w:tcBorders>
          </w:tcPr>
          <w:p>
            <w:pP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6,637,723</w:t>
            </w:r>
          </w:p>
        </w:tc>
      </w:tr>
      <w:tr>
        <w:trPr>
          <w:trHeight w:val="283" w:hRule="exact"/>
        </w:trPr>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重庆迈特</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5,709,400</w:t>
            </w:r>
          </w:p>
        </w:tc>
        <w:tc>
          <w:tcPr>
            <w:tcW w:w="1308" w:type="dxa"/>
            <w:tcBorders>
              <w:top w:val="single" w:sz="4" w:space="0" w:color="000000"/>
              <w:left w:val="single" w:sz="4" w:space="0" w:color="000000"/>
              <w:bottom w:val="single" w:sz="4" w:space="0" w:color="000000"/>
              <w:right w:val="single" w:sz="4" w:space="0" w:color="000000"/>
            </w:tcBorders>
          </w:tcPr>
          <w:p>
            <w:pP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5,709,400</w:t>
            </w:r>
          </w:p>
        </w:tc>
      </w:tr>
      <w:tr>
        <w:trPr>
          <w:trHeight w:val="281" w:hRule="exact"/>
        </w:trPr>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珠海用友</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4,778,619</w:t>
            </w:r>
          </w:p>
        </w:tc>
        <w:tc>
          <w:tcPr>
            <w:tcW w:w="1308" w:type="dxa"/>
            <w:tcBorders>
              <w:top w:val="single" w:sz="4" w:space="0" w:color="000000"/>
              <w:left w:val="single" w:sz="4" w:space="0" w:color="000000"/>
              <w:bottom w:val="single" w:sz="4" w:space="0" w:color="000000"/>
              <w:right w:val="single" w:sz="4" w:space="0" w:color="000000"/>
            </w:tcBorders>
          </w:tcPr>
          <w:p>
            <w:pP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4,778,619</w:t>
            </w:r>
          </w:p>
        </w:tc>
      </w:tr>
      <w:tr>
        <w:trPr>
          <w:trHeight w:val="283" w:hRule="exact"/>
        </w:trPr>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徐州用友</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3,497,241</w:t>
            </w:r>
          </w:p>
        </w:tc>
        <w:tc>
          <w:tcPr>
            <w:tcW w:w="1308" w:type="dxa"/>
            <w:tcBorders>
              <w:top w:val="single" w:sz="4" w:space="0" w:color="000000"/>
              <w:left w:val="single" w:sz="4" w:space="0" w:color="000000"/>
              <w:bottom w:val="single" w:sz="4" w:space="0" w:color="000000"/>
              <w:right w:val="single" w:sz="4" w:space="0" w:color="000000"/>
            </w:tcBorders>
          </w:tcPr>
          <w:p>
            <w:pP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3,497,241</w:t>
            </w:r>
          </w:p>
        </w:tc>
      </w:tr>
      <w:tr>
        <w:trPr>
          <w:trHeight w:val="281" w:hRule="exact"/>
        </w:trPr>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常州用友</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3,115,084</w:t>
            </w:r>
          </w:p>
        </w:tc>
        <w:tc>
          <w:tcPr>
            <w:tcW w:w="1308" w:type="dxa"/>
            <w:tcBorders>
              <w:top w:val="single" w:sz="4" w:space="0" w:color="000000"/>
              <w:left w:val="single" w:sz="4" w:space="0" w:color="000000"/>
              <w:bottom w:val="single" w:sz="4" w:space="0" w:color="000000"/>
              <w:right w:val="single" w:sz="4" w:space="0" w:color="000000"/>
            </w:tcBorders>
          </w:tcPr>
          <w:p>
            <w:pP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3,115,084</w:t>
            </w:r>
          </w:p>
        </w:tc>
      </w:tr>
      <w:tr>
        <w:trPr>
          <w:trHeight w:val="828" w:hRule="exact"/>
        </w:trPr>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北京伟库电子商务科技有限</w:t>
            </w:r>
          </w:p>
          <w:p>
            <w:pPr>
              <w:pStyle w:val="TableParagraph"/>
              <w:spacing w:line="240" w:lineRule="auto"/>
              <w:ind w:left="103" w:right="437"/>
              <w:jc w:val="left"/>
              <w:rPr>
                <w:rFonts w:ascii="宋体" w:hAnsi="宋体" w:cs="宋体" w:eastAsia="宋体" w:hint="default"/>
                <w:sz w:val="21"/>
                <w:szCs w:val="21"/>
              </w:rPr>
            </w:pPr>
            <w:r>
              <w:rPr>
                <w:rFonts w:ascii="宋体" w:hAnsi="宋体" w:cs="宋体" w:eastAsia="宋体" w:hint="default"/>
                <w:spacing w:val="-2"/>
                <w:sz w:val="21"/>
                <w:szCs w:val="21"/>
              </w:rPr>
              <w:t>公司</w:t>
            </w:r>
            <w:r>
              <w:rPr>
                <w:rFonts w:ascii="宋体" w:hAnsi="宋体" w:cs="宋体" w:eastAsia="宋体" w:hint="default"/>
                <w:spacing w:val="-2"/>
                <w:sz w:val="21"/>
                <w:szCs w:val="21"/>
              </w:rPr>
              <w:t>(</w:t>
            </w:r>
            <w:r>
              <w:rPr>
                <w:rFonts w:ascii="宋体" w:hAnsi="宋体" w:cs="宋体" w:eastAsia="宋体" w:hint="default"/>
                <w:spacing w:val="-2"/>
                <w:sz w:val="21"/>
                <w:szCs w:val="21"/>
              </w:rPr>
              <w:t>以下简称“北京伟</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库”)</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2,896,357</w:t>
            </w:r>
          </w:p>
        </w:tc>
        <w:tc>
          <w:tcPr>
            <w:tcW w:w="1308" w:type="dxa"/>
            <w:tcBorders>
              <w:top w:val="single" w:sz="4" w:space="0" w:color="000000"/>
              <w:left w:val="single" w:sz="4" w:space="0" w:color="000000"/>
              <w:bottom w:val="single" w:sz="4" w:space="0" w:color="000000"/>
              <w:right w:val="single" w:sz="4" w:space="0" w:color="000000"/>
            </w:tcBorders>
          </w:tcPr>
          <w:p>
            <w:pP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2,896,357</w:t>
            </w:r>
          </w:p>
        </w:tc>
      </w:tr>
      <w:tr>
        <w:trPr>
          <w:trHeight w:val="283" w:hRule="exact"/>
        </w:trPr>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用友华表</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1,155,000</w:t>
            </w:r>
          </w:p>
        </w:tc>
        <w:tc>
          <w:tcPr>
            <w:tcW w:w="1308" w:type="dxa"/>
            <w:tcBorders>
              <w:top w:val="single" w:sz="4" w:space="0" w:color="000000"/>
              <w:left w:val="single" w:sz="4" w:space="0" w:color="000000"/>
              <w:bottom w:val="single" w:sz="4" w:space="0" w:color="000000"/>
              <w:right w:val="single" w:sz="4" w:space="0" w:color="000000"/>
            </w:tcBorders>
          </w:tcPr>
          <w:p>
            <w:pP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1,155,000</w:t>
            </w: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5,064,153</w:t>
            </w:r>
          </w:p>
        </w:tc>
        <w:tc>
          <w:tcPr>
            <w:tcW w:w="1308" w:type="dxa"/>
            <w:tcBorders>
              <w:top w:val="single" w:sz="4" w:space="0" w:color="000000"/>
              <w:left w:val="single" w:sz="4" w:space="0" w:color="000000"/>
              <w:bottom w:val="single" w:sz="4" w:space="0" w:color="000000"/>
              <w:right w:val="single" w:sz="4" w:space="0" w:color="000000"/>
            </w:tcBorders>
          </w:tcPr>
          <w:p>
            <w:pP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5,064,153</w:t>
            </w:r>
          </w:p>
        </w:tc>
      </w:tr>
      <w:tr>
        <w:trPr>
          <w:trHeight w:val="283" w:hRule="exact"/>
        </w:trPr>
        <w:tc>
          <w:tcPr>
            <w:tcW w:w="2761"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2761"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
        </w:tc>
      </w:tr>
      <w:tr>
        <w:trPr>
          <w:trHeight w:val="305" w:hRule="exact"/>
        </w:trPr>
        <w:tc>
          <w:tcPr>
            <w:tcW w:w="2761"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985,127,556</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36,699,518</w:t>
            </w:r>
          </w:p>
        </w:tc>
        <w:tc>
          <w:tcPr>
            <w:tcW w:w="290"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1,155,000</w:t>
            </w:r>
          </w:p>
        </w:tc>
        <w:tc>
          <w:tcPr>
            <w:tcW w:w="29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1,020,672,074</w:t>
            </w:r>
          </w:p>
        </w:tc>
      </w:tr>
    </w:tbl>
    <w:p>
      <w:pPr>
        <w:spacing w:line="240" w:lineRule="auto" w:before="2"/>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57" w:footer="1195" w:top="1320" w:bottom="1380" w:left="1140" w:right="640"/>
        </w:sectPr>
      </w:pPr>
    </w:p>
    <w:p>
      <w:pPr>
        <w:pStyle w:val="Heading3"/>
        <w:spacing w:line="240" w:lineRule="auto" w:before="36"/>
        <w:ind w:left="658" w:right="-19"/>
        <w:jc w:val="left"/>
        <w:rPr>
          <w:b w:val="0"/>
          <w:bCs w:val="0"/>
        </w:rPr>
      </w:pPr>
      <w:r>
        <w:rPr>
          <w:rFonts w:ascii="宋体" w:hAnsi="宋体" w:cs="宋体" w:eastAsia="宋体" w:hint="default"/>
        </w:rPr>
        <w:t>(2).</w:t>
      </w:r>
      <w:r>
        <w:rPr>
          <w:rFonts w:ascii="宋体" w:hAnsi="宋体" w:cs="宋体" w:eastAsia="宋体" w:hint="default"/>
          <w:spacing w:val="60"/>
        </w:rPr>
        <w:t> </w:t>
      </w:r>
      <w:r>
        <w:rPr/>
        <w:t>商誉减值准备</w:t>
      </w:r>
      <w:r>
        <w:rPr>
          <w:b w:val="0"/>
          <w:bCs w:val="0"/>
        </w:rPr>
      </w:r>
    </w:p>
    <w:p>
      <w:pPr>
        <w:pStyle w:val="BodyText"/>
        <w:spacing w:line="240" w:lineRule="auto" w:before="56"/>
        <w:ind w:left="658" w:right="-19"/>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left="658" w:right="0"/>
        <w:jc w:val="left"/>
      </w:pPr>
      <w:r>
        <w:rPr/>
        <w:t>单位：元币种：人民币</w:t>
      </w:r>
    </w:p>
    <w:p>
      <w:pPr>
        <w:spacing w:after="0" w:line="240" w:lineRule="auto"/>
        <w:jc w:val="left"/>
        <w:sectPr>
          <w:type w:val="continuous"/>
          <w:pgSz w:w="11910" w:h="16840"/>
          <w:pgMar w:top="1320" w:bottom="1380" w:left="1140" w:right="640"/>
          <w:cols w:num="2" w:equalWidth="0">
            <w:col w:w="2514" w:space="4219"/>
            <w:col w:w="3397"/>
          </w:cols>
        </w:sectPr>
      </w:pPr>
    </w:p>
    <w:p>
      <w:pPr>
        <w:spacing w:line="240" w:lineRule="auto" w:before="4"/>
        <w:rPr>
          <w:rFonts w:ascii="宋体" w:hAnsi="宋体" w:cs="宋体" w:eastAsia="宋体" w:hint="default"/>
          <w:sz w:val="2"/>
          <w:szCs w:val="2"/>
        </w:rPr>
      </w:pPr>
    </w:p>
    <w:tbl>
      <w:tblPr>
        <w:tblW w:w="0" w:type="auto"/>
        <w:jc w:val="left"/>
        <w:tblInd w:w="545" w:type="dxa"/>
        <w:tblLayout w:type="fixed"/>
        <w:tblCellMar>
          <w:top w:w="0" w:type="dxa"/>
          <w:left w:w="0" w:type="dxa"/>
          <w:bottom w:w="0" w:type="dxa"/>
          <w:right w:w="0" w:type="dxa"/>
        </w:tblCellMar>
        <w:tblLook w:val="01E0"/>
      </w:tblPr>
      <w:tblGrid>
        <w:gridCol w:w="1848"/>
        <w:gridCol w:w="1191"/>
        <w:gridCol w:w="1298"/>
        <w:gridCol w:w="1083"/>
        <w:gridCol w:w="1190"/>
        <w:gridCol w:w="1143"/>
        <w:gridCol w:w="1296"/>
      </w:tblGrid>
      <w:tr>
        <w:trPr>
          <w:trHeight w:val="283" w:hRule="exact"/>
        </w:trPr>
        <w:tc>
          <w:tcPr>
            <w:tcW w:w="1848" w:type="dxa"/>
            <w:vMerge w:val="restart"/>
            <w:tcBorders>
              <w:top w:val="single" w:sz="4" w:space="0" w:color="000000"/>
              <w:left w:val="single" w:sz="4" w:space="0" w:color="000000"/>
              <w:right w:val="single" w:sz="4" w:space="0" w:color="000000"/>
            </w:tcBorders>
          </w:tcPr>
          <w:p>
            <w:pPr>
              <w:pStyle w:val="TableParagraph"/>
              <w:spacing w:line="240" w:lineRule="exact"/>
              <w:ind w:left="182" w:right="0"/>
              <w:jc w:val="left"/>
              <w:rPr>
                <w:rFonts w:ascii="宋体" w:hAnsi="宋体" w:cs="宋体" w:eastAsia="宋体" w:hint="default"/>
                <w:sz w:val="21"/>
                <w:szCs w:val="21"/>
              </w:rPr>
            </w:pPr>
            <w:r>
              <w:rPr>
                <w:rFonts w:ascii="宋体" w:hAnsi="宋体" w:cs="宋体" w:eastAsia="宋体" w:hint="default"/>
                <w:sz w:val="21"/>
                <w:szCs w:val="21"/>
              </w:rPr>
              <w:t>被投资单位名称</w:t>
            </w:r>
          </w:p>
          <w:p>
            <w:pPr>
              <w:pStyle w:val="TableParagraph"/>
              <w:spacing w:line="272" w:lineRule="exact" w:before="27"/>
              <w:ind w:left="813" w:right="180" w:hanging="632"/>
              <w:jc w:val="left"/>
              <w:rPr>
                <w:rFonts w:ascii="宋体" w:hAnsi="宋体" w:cs="宋体" w:eastAsia="宋体" w:hint="default"/>
                <w:sz w:val="21"/>
                <w:szCs w:val="21"/>
              </w:rPr>
            </w:pPr>
            <w:r>
              <w:rPr>
                <w:rFonts w:ascii="宋体" w:hAnsi="宋体" w:cs="宋体" w:eastAsia="宋体" w:hint="default"/>
                <w:sz w:val="21"/>
                <w:szCs w:val="21"/>
              </w:rPr>
              <w:t>或形成商誉的事</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项</w:t>
            </w:r>
          </w:p>
        </w:tc>
        <w:tc>
          <w:tcPr>
            <w:tcW w:w="1191"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68"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23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65"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23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9"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296"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20"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545" w:hRule="exact"/>
        </w:trPr>
        <w:tc>
          <w:tcPr>
            <w:tcW w:w="1848" w:type="dxa"/>
            <w:vMerge/>
            <w:tcBorders>
              <w:left w:val="single" w:sz="4" w:space="0" w:color="000000"/>
              <w:bottom w:val="single" w:sz="4" w:space="0" w:color="000000"/>
              <w:right w:val="single" w:sz="4" w:space="0" w:color="000000"/>
            </w:tcBorders>
          </w:tcPr>
          <w:p>
            <w:pPr/>
          </w:p>
        </w:tc>
        <w:tc>
          <w:tcPr>
            <w:tcW w:w="1191" w:type="dxa"/>
            <w:vMerge/>
            <w:tcBorders>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2" w:right="0"/>
              <w:jc w:val="center"/>
              <w:rPr>
                <w:rFonts w:ascii="宋体" w:hAnsi="宋体" w:cs="宋体" w:eastAsia="宋体" w:hint="default"/>
                <w:sz w:val="21"/>
                <w:szCs w:val="21"/>
              </w:rPr>
            </w:pPr>
            <w:r>
              <w:rPr>
                <w:rFonts w:ascii="宋体" w:hAnsi="宋体" w:cs="宋体" w:eastAsia="宋体" w:hint="default"/>
                <w:sz w:val="21"/>
                <w:szCs w:val="21"/>
              </w:rPr>
              <w:t>计提</w:t>
            </w:r>
          </w:p>
        </w:tc>
        <w:tc>
          <w:tcPr>
            <w:tcW w:w="1083"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2"/>
              <w:jc w:val="center"/>
              <w:rPr>
                <w:rFonts w:ascii="宋体" w:hAnsi="宋体" w:cs="宋体" w:eastAsia="宋体" w:hint="default"/>
                <w:sz w:val="21"/>
                <w:szCs w:val="21"/>
              </w:rPr>
            </w:pPr>
            <w:r>
              <w:rPr>
                <w:rFonts w:ascii="宋体" w:hAnsi="宋体" w:cs="宋体" w:eastAsia="宋体" w:hint="default"/>
                <w:sz w:val="21"/>
                <w:szCs w:val="21"/>
              </w:rPr>
              <w:t>处置</w:t>
            </w:r>
          </w:p>
        </w:tc>
        <w:tc>
          <w:tcPr>
            <w:tcW w:w="1143" w:type="dxa"/>
            <w:tcBorders>
              <w:top w:val="single" w:sz="4" w:space="0" w:color="000000"/>
              <w:left w:val="single" w:sz="4" w:space="0" w:color="000000"/>
              <w:bottom w:val="single" w:sz="4" w:space="0" w:color="000000"/>
              <w:right w:val="single" w:sz="4" w:space="0" w:color="000000"/>
            </w:tcBorders>
          </w:tcPr>
          <w:p>
            <w:pPr/>
          </w:p>
        </w:tc>
        <w:tc>
          <w:tcPr>
            <w:tcW w:w="1296" w:type="dxa"/>
            <w:vMerge/>
            <w:tcBorders>
              <w:left w:val="single" w:sz="4" w:space="0" w:color="000000"/>
              <w:bottom w:val="single" w:sz="4" w:space="0" w:color="000000"/>
              <w:right w:val="single" w:sz="4" w:space="0" w:color="000000"/>
            </w:tcBorders>
          </w:tcPr>
          <w:p>
            <w:pPr/>
          </w:p>
        </w:tc>
      </w:tr>
      <w:tr>
        <w:trPr>
          <w:trHeight w:val="281" w:hRule="exact"/>
        </w:trPr>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时空超越</w:t>
            </w:r>
          </w:p>
        </w:tc>
        <w:tc>
          <w:tcPr>
            <w:tcW w:w="1191"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28,873,073</w:t>
            </w:r>
          </w:p>
        </w:tc>
        <w:tc>
          <w:tcPr>
            <w:tcW w:w="1083"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
        </w:tc>
        <w:tc>
          <w:tcPr>
            <w:tcW w:w="114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28,873,073</w:t>
            </w:r>
          </w:p>
        </w:tc>
      </w:tr>
      <w:tr>
        <w:trPr>
          <w:trHeight w:val="283" w:hRule="exact"/>
        </w:trPr>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天诺坛网</w:t>
            </w:r>
          </w:p>
        </w:tc>
        <w:tc>
          <w:tcPr>
            <w:tcW w:w="1191"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6,354,823</w:t>
            </w:r>
          </w:p>
        </w:tc>
        <w:tc>
          <w:tcPr>
            <w:tcW w:w="1083"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
        </w:tc>
        <w:tc>
          <w:tcPr>
            <w:tcW w:w="114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6,354,823</w:t>
            </w:r>
          </w:p>
        </w:tc>
      </w:tr>
      <w:tr>
        <w:trPr>
          <w:trHeight w:val="284" w:hRule="exact"/>
        </w:trPr>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上海哈久</w:t>
            </w:r>
          </w:p>
        </w:tc>
        <w:tc>
          <w:tcPr>
            <w:tcW w:w="1191"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6,637,723</w:t>
            </w:r>
          </w:p>
        </w:tc>
        <w:tc>
          <w:tcPr>
            <w:tcW w:w="1083"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
        </w:tc>
        <w:tc>
          <w:tcPr>
            <w:tcW w:w="114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6,637,723</w:t>
            </w:r>
          </w:p>
        </w:tc>
      </w:tr>
      <w:tr>
        <w:trPr>
          <w:trHeight w:val="281" w:hRule="exact"/>
        </w:trPr>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用友伟库</w:t>
            </w:r>
          </w:p>
        </w:tc>
        <w:tc>
          <w:tcPr>
            <w:tcW w:w="1191"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2,896,357</w:t>
            </w:r>
          </w:p>
        </w:tc>
        <w:tc>
          <w:tcPr>
            <w:tcW w:w="1083"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
        </w:tc>
        <w:tc>
          <w:tcPr>
            <w:tcW w:w="114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2,896,357</w:t>
            </w:r>
          </w:p>
        </w:tc>
      </w:tr>
      <w:tr>
        <w:trPr>
          <w:trHeight w:val="283" w:hRule="exact"/>
        </w:trPr>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用友华表</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29" w:right="0"/>
              <w:jc w:val="left"/>
              <w:rPr>
                <w:rFonts w:ascii="宋体" w:hAnsi="宋体" w:cs="宋体" w:eastAsia="宋体" w:hint="default"/>
                <w:sz w:val="21"/>
                <w:szCs w:val="21"/>
              </w:rPr>
            </w:pPr>
            <w:r>
              <w:rPr>
                <w:rFonts w:ascii="宋体"/>
                <w:sz w:val="21"/>
              </w:rPr>
              <w:t>1,155,000</w:t>
            </w:r>
          </w:p>
        </w:tc>
        <w:tc>
          <w:tcPr>
            <w:tcW w:w="1298" w:type="dxa"/>
            <w:tcBorders>
              <w:top w:val="single" w:sz="4" w:space="0" w:color="000000"/>
              <w:left w:val="single" w:sz="4" w:space="0" w:color="000000"/>
              <w:bottom w:val="single" w:sz="4" w:space="0" w:color="000000"/>
              <w:right w:val="single" w:sz="4" w:space="0" w:color="000000"/>
            </w:tcBorders>
          </w:tcPr>
          <w:p>
            <w:pPr/>
          </w:p>
        </w:tc>
        <w:tc>
          <w:tcPr>
            <w:tcW w:w="1083"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center"/>
              <w:rPr>
                <w:rFonts w:ascii="宋体" w:hAnsi="宋体" w:cs="宋体" w:eastAsia="宋体" w:hint="default"/>
                <w:sz w:val="21"/>
                <w:szCs w:val="21"/>
              </w:rPr>
            </w:pPr>
            <w:r>
              <w:rPr>
                <w:rFonts w:ascii="宋体"/>
                <w:sz w:val="21"/>
              </w:rPr>
              <w:t>1,155,000</w:t>
            </w:r>
          </w:p>
        </w:tc>
        <w:tc>
          <w:tcPr>
            <w:tcW w:w="114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320" w:bottom="1380" w:left="1140" w:right="640"/>
        </w:sectPr>
      </w:pPr>
    </w:p>
    <w:p>
      <w:pPr>
        <w:spacing w:line="240" w:lineRule="auto" w:before="6"/>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1848"/>
        <w:gridCol w:w="1191"/>
        <w:gridCol w:w="1298"/>
        <w:gridCol w:w="1083"/>
        <w:gridCol w:w="1190"/>
        <w:gridCol w:w="1143"/>
        <w:gridCol w:w="1296"/>
      </w:tblGrid>
      <w:tr>
        <w:trPr>
          <w:trHeight w:val="293" w:hRule="exact"/>
        </w:trPr>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29" w:right="0"/>
              <w:jc w:val="left"/>
              <w:rPr>
                <w:rFonts w:ascii="宋体" w:hAnsi="宋体" w:cs="宋体" w:eastAsia="宋体" w:hint="default"/>
                <w:sz w:val="21"/>
                <w:szCs w:val="21"/>
              </w:rPr>
            </w:pPr>
            <w:r>
              <w:rPr>
                <w:rFonts w:ascii="宋体"/>
                <w:sz w:val="21"/>
              </w:rPr>
              <w:t>1,155,000</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34" w:right="0"/>
              <w:jc w:val="left"/>
              <w:rPr>
                <w:rFonts w:ascii="宋体" w:hAnsi="宋体" w:cs="宋体" w:eastAsia="宋体" w:hint="default"/>
                <w:sz w:val="21"/>
                <w:szCs w:val="21"/>
              </w:rPr>
            </w:pPr>
            <w:r>
              <w:rPr>
                <w:rFonts w:ascii="宋体"/>
                <w:sz w:val="21"/>
              </w:rPr>
              <w:t>44,761,976</w:t>
            </w:r>
          </w:p>
        </w:tc>
        <w:tc>
          <w:tcPr>
            <w:tcW w:w="1083"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29" w:right="0"/>
              <w:jc w:val="left"/>
              <w:rPr>
                <w:rFonts w:ascii="宋体" w:hAnsi="宋体" w:cs="宋体" w:eastAsia="宋体" w:hint="default"/>
                <w:sz w:val="21"/>
                <w:szCs w:val="21"/>
              </w:rPr>
            </w:pPr>
            <w:r>
              <w:rPr>
                <w:rFonts w:ascii="宋体"/>
                <w:sz w:val="21"/>
              </w:rPr>
              <w:t>1,155,000</w:t>
            </w:r>
          </w:p>
        </w:tc>
        <w:tc>
          <w:tcPr>
            <w:tcW w:w="114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31" w:right="0"/>
              <w:jc w:val="left"/>
              <w:rPr>
                <w:rFonts w:ascii="宋体" w:hAnsi="宋体" w:cs="宋体" w:eastAsia="宋体" w:hint="default"/>
                <w:sz w:val="21"/>
                <w:szCs w:val="21"/>
              </w:rPr>
            </w:pPr>
            <w:r>
              <w:rPr>
                <w:rFonts w:ascii="宋体"/>
                <w:sz w:val="21"/>
              </w:rPr>
              <w:t>44,761,976</w:t>
            </w:r>
          </w:p>
        </w:tc>
      </w:tr>
    </w:tbl>
    <w:p>
      <w:pPr>
        <w:spacing w:line="240" w:lineRule="auto" w:before="7"/>
        <w:rPr>
          <w:rFonts w:ascii="宋体" w:hAnsi="宋体" w:cs="宋体" w:eastAsia="宋体" w:hint="default"/>
          <w:sz w:val="15"/>
          <w:szCs w:val="15"/>
        </w:rPr>
      </w:pPr>
    </w:p>
    <w:p>
      <w:pPr>
        <w:pStyle w:val="BodyText"/>
        <w:spacing w:line="273" w:lineRule="exact" w:before="36"/>
        <w:ind w:right="99"/>
        <w:jc w:val="left"/>
      </w:pPr>
      <w:r>
        <w:rPr/>
        <w:t>说明商誉减值测试过程、参数及商誉减值损失的确认方法</w:t>
      </w:r>
    </w:p>
    <w:p>
      <w:pPr>
        <w:pStyle w:val="BodyText"/>
        <w:spacing w:line="272" w:lineRule="exact"/>
        <w:ind w:right="99"/>
        <w:jc w:val="left"/>
      </w:pPr>
      <w:r>
        <w:rPr/>
        <w:t>√适用</w:t>
      </w:r>
      <w:r>
        <w:rPr>
          <w:spacing w:val="-1"/>
        </w:rPr>
        <w:t> </w:t>
      </w:r>
      <w:r>
        <w:rPr/>
        <w:t>□不适用</w:t>
      </w:r>
    </w:p>
    <w:p>
      <w:pPr>
        <w:pStyle w:val="BodyText"/>
        <w:spacing w:line="274" w:lineRule="exact"/>
        <w:ind w:right="99"/>
        <w:jc w:val="left"/>
      </w:pPr>
      <w:r>
        <w:rPr/>
        <w:t>本公司于</w:t>
      </w:r>
      <w:r>
        <w:rPr>
          <w:spacing w:val="-53"/>
        </w:rPr>
        <w:t> </w:t>
      </w:r>
      <w:r>
        <w:rPr>
          <w:rFonts w:ascii="宋体" w:hAnsi="宋体" w:cs="宋体" w:eastAsia="宋体" w:hint="default"/>
        </w:rPr>
        <w:t>2017</w:t>
      </w:r>
      <w:r>
        <w:rPr>
          <w:rFonts w:ascii="宋体" w:hAnsi="宋体" w:cs="宋体" w:eastAsia="宋体" w:hint="default"/>
          <w:spacing w:val="-55"/>
        </w:rPr>
        <w:t> </w:t>
      </w:r>
      <w:r>
        <w:rPr/>
        <w:t>年</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2"/>
        </w:rPr>
        <w:t> </w:t>
      </w:r>
      <w:r>
        <w:rPr>
          <w:rFonts w:ascii="宋体" w:hAnsi="宋体" w:cs="宋体" w:eastAsia="宋体" w:hint="default"/>
        </w:rPr>
        <w:t>31</w:t>
      </w:r>
      <w:r>
        <w:rPr>
          <w:rFonts w:ascii="宋体" w:hAnsi="宋体" w:cs="宋体" w:eastAsia="宋体" w:hint="default"/>
          <w:spacing w:val="-55"/>
        </w:rPr>
        <w:t> </w:t>
      </w:r>
      <w:r>
        <w:rPr/>
        <w:t>日对上述商誉执行了减值测试。</w:t>
      </w:r>
    </w:p>
    <w:p>
      <w:pPr>
        <w:spacing w:line="240" w:lineRule="auto" w:before="8"/>
        <w:rPr>
          <w:rFonts w:ascii="宋体" w:hAnsi="宋体" w:cs="宋体" w:eastAsia="宋体" w:hint="default"/>
          <w:sz w:val="20"/>
          <w:szCs w:val="20"/>
        </w:rPr>
      </w:pPr>
    </w:p>
    <w:p>
      <w:pPr>
        <w:pStyle w:val="BodyText"/>
        <w:spacing w:line="273" w:lineRule="exact"/>
        <w:ind w:right="99"/>
        <w:jc w:val="left"/>
      </w:pPr>
      <w:r>
        <w:rPr/>
        <w:t>本公司对商誉相关资产组的可收回金额采用预计未来现金流量的现值，根据管理层批准的</w:t>
      </w:r>
      <w:r>
        <w:rPr>
          <w:spacing w:val="-53"/>
        </w:rPr>
        <w:t> </w:t>
      </w:r>
      <w:r>
        <w:rPr>
          <w:rFonts w:ascii="宋体" w:hAnsi="宋体" w:cs="宋体" w:eastAsia="宋体" w:hint="default"/>
        </w:rPr>
        <w:t>5</w:t>
      </w:r>
      <w:r>
        <w:rPr>
          <w:rFonts w:ascii="宋体" w:hAnsi="宋体" w:cs="宋体" w:eastAsia="宋体" w:hint="default"/>
          <w:spacing w:val="-56"/>
        </w:rPr>
        <w:t> </w:t>
      </w:r>
      <w:r>
        <w:rPr/>
        <w:t>年期</w:t>
      </w:r>
    </w:p>
    <w:p>
      <w:pPr>
        <w:pStyle w:val="BodyText"/>
        <w:spacing w:line="237" w:lineRule="auto"/>
        <w:ind w:right="99"/>
        <w:jc w:val="left"/>
      </w:pPr>
      <w:r>
        <w:rPr/>
        <w:t>的财务预算基础上的现金流量预测来确定。现金流量预测所用的折现率是</w:t>
      </w:r>
      <w:r>
        <w:rPr>
          <w:spacing w:val="-54"/>
        </w:rPr>
        <w:t> </w:t>
      </w:r>
      <w:r>
        <w:rPr>
          <w:rFonts w:ascii="宋体" w:hAnsi="宋体" w:cs="宋体" w:eastAsia="宋体" w:hint="default"/>
        </w:rPr>
        <w:t>16.86%(2016</w:t>
      </w:r>
      <w:r>
        <w:rPr>
          <w:rFonts w:ascii="宋体" w:hAnsi="宋体" w:cs="宋体" w:eastAsia="宋体" w:hint="default"/>
          <w:spacing w:val="-56"/>
        </w:rPr>
        <w:t> </w:t>
      </w:r>
      <w:r>
        <w:rPr/>
        <w:t>年：</w:t>
      </w:r>
      <w:r>
        <w:rPr>
          <w:w w:val="100"/>
        </w:rPr>
        <w:t> </w:t>
      </w:r>
      <w:r>
        <w:rPr>
          <w:rFonts w:ascii="宋体" w:hAnsi="宋体" w:cs="宋体" w:eastAsia="宋体" w:hint="default"/>
          <w:spacing w:val="-4"/>
        </w:rPr>
        <w:t>13.92%)</w:t>
      </w:r>
      <w:r>
        <w:rPr>
          <w:spacing w:val="-4"/>
        </w:rPr>
        <w:t>。管理层认为，尽管上述公司或业务所对应的市场需求和客户群体均在稳定增长，但五年</w:t>
      </w:r>
      <w:r>
        <w:rPr>
          <w:spacing w:val="-24"/>
        </w:rPr>
        <w:t> </w:t>
      </w:r>
      <w:r>
        <w:rPr>
          <w:spacing w:val="-24"/>
        </w:rPr>
      </w:r>
      <w:r>
        <w:rPr/>
        <w:t>以后增长速度可能会逐渐放缓，且仍将维持在平稳增长的水平，由此，管理层使用</w:t>
      </w:r>
      <w:r>
        <w:rPr>
          <w:spacing w:val="-53"/>
        </w:rPr>
        <w:t> </w:t>
      </w:r>
      <w:r>
        <w:rPr>
          <w:rFonts w:ascii="宋体" w:hAnsi="宋体" w:cs="宋体" w:eastAsia="宋体" w:hint="default"/>
        </w:rPr>
        <w:t>3%(2016</w:t>
      </w:r>
      <w:r>
        <w:rPr>
          <w:rFonts w:ascii="宋体" w:hAnsi="宋体" w:cs="宋体" w:eastAsia="宋体" w:hint="default"/>
          <w:spacing w:val="-56"/>
        </w:rPr>
        <w:t> </w:t>
      </w:r>
      <w:r>
        <w:rPr/>
        <w:t>年：</w:t>
      </w:r>
      <w:r>
        <w:rPr>
          <w:w w:val="100"/>
        </w:rPr>
        <w:t> </w:t>
      </w:r>
      <w:r>
        <w:rPr>
          <w:rFonts w:ascii="宋体" w:hAnsi="宋体" w:cs="宋体" w:eastAsia="宋体" w:hint="default"/>
        </w:rPr>
        <w:t>3%)</w:t>
      </w:r>
      <w:r>
        <w:rPr/>
        <w:t>的增长率来推断五年以后现金流量，管理层相信这一增长率是合理的。</w:t>
      </w:r>
    </w:p>
    <w:p>
      <w:pPr>
        <w:spacing w:line="240" w:lineRule="auto" w:before="7"/>
        <w:rPr>
          <w:rFonts w:ascii="宋体" w:hAnsi="宋体" w:cs="宋体" w:eastAsia="宋体" w:hint="default"/>
          <w:sz w:val="20"/>
          <w:szCs w:val="20"/>
        </w:rPr>
      </w:pPr>
    </w:p>
    <w:p>
      <w:pPr>
        <w:pStyle w:val="BodyText"/>
        <w:spacing w:line="240" w:lineRule="auto"/>
        <w:ind w:right="99"/>
        <w:jc w:val="left"/>
      </w:pPr>
      <w:r>
        <w:rPr>
          <w:spacing w:val="-2"/>
          <w:w w:val="100"/>
        </w:rPr>
        <w:t>计算相关资产组于</w:t>
      </w:r>
      <w:r>
        <w:rPr>
          <w:spacing w:val="-52"/>
          <w:w w:val="100"/>
        </w:rPr>
        <w:t> </w:t>
      </w:r>
      <w:r>
        <w:rPr>
          <w:rFonts w:ascii="宋体" w:hAnsi="宋体" w:cs="宋体" w:eastAsia="宋体" w:hint="default"/>
          <w:spacing w:val="-1"/>
          <w:w w:val="100"/>
        </w:rPr>
        <w:t>2017</w:t>
      </w:r>
      <w:r>
        <w:rPr>
          <w:rFonts w:ascii="宋体" w:hAnsi="宋体" w:cs="宋体" w:eastAsia="宋体" w:hint="default"/>
          <w:spacing w:val="-54"/>
          <w:w w:val="100"/>
        </w:rPr>
        <w:t> </w:t>
      </w:r>
      <w:r>
        <w:rPr>
          <w:w w:val="100"/>
        </w:rPr>
        <w:t>年</w:t>
      </w:r>
      <w:r>
        <w:rPr>
          <w:spacing w:val="-52"/>
          <w:w w:val="100"/>
        </w:rPr>
        <w:t> </w:t>
      </w:r>
      <w:r>
        <w:rPr>
          <w:rFonts w:ascii="宋体" w:hAnsi="宋体" w:cs="宋体" w:eastAsia="宋体" w:hint="default"/>
          <w:w w:val="100"/>
        </w:rPr>
        <w:t>12</w:t>
      </w:r>
      <w:r>
        <w:rPr>
          <w:rFonts w:ascii="宋体" w:hAnsi="宋体" w:cs="宋体" w:eastAsia="宋体" w:hint="default"/>
          <w:spacing w:val="-54"/>
          <w:w w:val="100"/>
        </w:rPr>
        <w:t> </w:t>
      </w:r>
      <w:r>
        <w:rPr>
          <w:w w:val="100"/>
        </w:rPr>
        <w:t>月</w:t>
      </w:r>
      <w:r>
        <w:rPr>
          <w:spacing w:val="-52"/>
          <w:w w:val="100"/>
        </w:rPr>
        <w:t> </w:t>
      </w:r>
      <w:r>
        <w:rPr>
          <w:rFonts w:ascii="宋体" w:hAnsi="宋体" w:cs="宋体" w:eastAsia="宋体" w:hint="default"/>
          <w:w w:val="100"/>
        </w:rPr>
        <w:t>31</w:t>
      </w:r>
      <w:r>
        <w:rPr>
          <w:rFonts w:ascii="宋体" w:hAnsi="宋体" w:cs="宋体" w:eastAsia="宋体" w:hint="default"/>
          <w:spacing w:val="-54"/>
          <w:w w:val="100"/>
        </w:rPr>
        <w:t> </w:t>
      </w:r>
      <w:r>
        <w:rPr>
          <w:spacing w:val="-5"/>
          <w:w w:val="100"/>
        </w:rPr>
        <w:t>日预计未来现金流量现值采用了假设。以下详述了管理层为进</w:t>
      </w:r>
      <w:r>
        <w:rPr>
          <w:w w:val="100"/>
        </w:rPr>
        <w:t> </w:t>
      </w:r>
      <w:r>
        <w:rPr/>
        <w:t>行商誉的减值测试，在确定现金流量预测时作出的关键假设：</w:t>
      </w:r>
    </w:p>
    <w:p>
      <w:pPr>
        <w:spacing w:line="240" w:lineRule="auto" w:before="10"/>
        <w:rPr>
          <w:rFonts w:ascii="宋体" w:hAnsi="宋体" w:cs="宋体" w:eastAsia="宋体" w:hint="default"/>
          <w:sz w:val="22"/>
          <w:szCs w:val="22"/>
        </w:rPr>
      </w:pPr>
    </w:p>
    <w:p>
      <w:pPr>
        <w:pStyle w:val="BodyText"/>
        <w:tabs>
          <w:tab w:pos="1477" w:val="left" w:leader="none"/>
        </w:tabs>
        <w:spacing w:line="272" w:lineRule="exact"/>
        <w:ind w:right="240"/>
        <w:jc w:val="left"/>
      </w:pPr>
      <w:r>
        <w:rPr>
          <w:spacing w:val="-1"/>
        </w:rPr>
        <w:t>收入增长</w:t>
        <w:tab/>
      </w:r>
      <w:r>
        <w:rPr>
          <w:spacing w:val="-2"/>
        </w:rPr>
        <w:t>—确定基础是在预算年度前一年及历史上实现的收入增长率基础上，根据预计的市</w:t>
      </w:r>
      <w:r>
        <w:rPr>
          <w:spacing w:val="-35"/>
        </w:rPr>
        <w:t> </w:t>
      </w:r>
      <w:r>
        <w:rPr>
          <w:spacing w:val="-35"/>
        </w:rPr>
      </w:r>
      <w:r>
        <w:rPr/>
        <w:t>场需求及自身的业务发展及营销战略而保持相应的增长率。</w:t>
      </w:r>
    </w:p>
    <w:p>
      <w:pPr>
        <w:spacing w:line="240" w:lineRule="auto" w:before="10"/>
        <w:rPr>
          <w:rFonts w:ascii="宋体" w:hAnsi="宋体" w:cs="宋体" w:eastAsia="宋体" w:hint="default"/>
          <w:sz w:val="18"/>
          <w:szCs w:val="18"/>
        </w:rPr>
      </w:pPr>
    </w:p>
    <w:p>
      <w:pPr>
        <w:pStyle w:val="BodyText"/>
        <w:tabs>
          <w:tab w:pos="1477" w:val="left" w:leader="none"/>
        </w:tabs>
        <w:spacing w:line="240" w:lineRule="auto"/>
        <w:ind w:right="240"/>
        <w:jc w:val="left"/>
      </w:pPr>
      <w:r>
        <w:rPr>
          <w:spacing w:val="-1"/>
        </w:rPr>
        <w:t>预算毛利</w:t>
        <w:tab/>
      </w:r>
      <w:r>
        <w:rPr>
          <w:spacing w:val="-2"/>
        </w:rPr>
        <w:t>—确定基础是在预算年度前一年实现的平均毛利率基础上，根据预计效率的提高及</w:t>
      </w:r>
      <w:r>
        <w:rPr>
          <w:spacing w:val="-35"/>
        </w:rPr>
        <w:t> </w:t>
      </w:r>
      <w:r>
        <w:rPr>
          <w:spacing w:val="-35"/>
        </w:rPr>
      </w:r>
      <w:r>
        <w:rPr/>
        <w:t>预计市场开发情况适当提高该平均毛利率。</w:t>
      </w:r>
    </w:p>
    <w:p>
      <w:pPr>
        <w:spacing w:line="240" w:lineRule="auto" w:before="8"/>
        <w:rPr>
          <w:rFonts w:ascii="宋体" w:hAnsi="宋体" w:cs="宋体" w:eastAsia="宋体" w:hint="default"/>
          <w:sz w:val="20"/>
          <w:szCs w:val="20"/>
        </w:rPr>
      </w:pPr>
    </w:p>
    <w:p>
      <w:pPr>
        <w:pStyle w:val="BodyText"/>
        <w:spacing w:line="475" w:lineRule="auto"/>
        <w:ind w:right="99"/>
        <w:jc w:val="left"/>
      </w:pPr>
      <w:r>
        <w:rPr>
          <w:spacing w:val="-2"/>
        </w:rPr>
        <w:t>折现率—采用的折现率是反映相关资产组特定风险的税前折现率。</w:t>
      </w:r>
      <w:r>
        <w:rPr>
          <w:spacing w:val="-49"/>
        </w:rPr>
        <w:t> </w:t>
      </w:r>
      <w:r>
        <w:rPr>
          <w:spacing w:val="-49"/>
        </w:rPr>
      </w:r>
      <w:r>
        <w:rPr/>
        <w:t>分配至关键假设的金额与外部信息一致。</w:t>
      </w:r>
    </w:p>
    <w:p>
      <w:pPr>
        <w:spacing w:after="0" w:line="475" w:lineRule="auto"/>
        <w:jc w:val="left"/>
        <w:sectPr>
          <w:footerReference w:type="default" r:id="rId71"/>
          <w:pgSz w:w="11910" w:h="16840"/>
          <w:pgMar w:footer="1195" w:header="857" w:top="1320" w:bottom="1380" w:left="1580" w:right="1040"/>
        </w:sectPr>
      </w:pPr>
    </w:p>
    <w:p>
      <w:pPr>
        <w:pStyle w:val="BodyText"/>
        <w:spacing w:line="273" w:lineRule="exact" w:before="64"/>
        <w:ind w:right="-18"/>
        <w:jc w:val="left"/>
      </w:pPr>
      <w:r>
        <w:rPr/>
        <w:t>其他说明</w:t>
      </w:r>
    </w:p>
    <w:p>
      <w:pPr>
        <w:spacing w:line="290" w:lineRule="auto" w:before="0"/>
        <w:ind w:left="218" w:right="-18"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2"/>
          <w:sz w:val="21"/>
          <w:szCs w:val="21"/>
        </w:rPr>
        <w:t> </w:t>
      </w:r>
      <w:r>
        <w:rPr>
          <w:rFonts w:ascii="宋体" w:hAnsi="宋体" w:cs="宋体" w:eastAsia="宋体" w:hint="default"/>
          <w:sz w:val="21"/>
          <w:szCs w:val="21"/>
        </w:rPr>
        <w:t>√不适用</w:t>
      </w:r>
      <w:r>
        <w:rPr>
          <w:rFonts w:ascii="宋体" w:hAnsi="宋体" w:cs="宋体" w:eastAsia="宋体" w:hint="default"/>
          <w:w w:val="100"/>
          <w:sz w:val="21"/>
          <w:szCs w:val="21"/>
        </w:rPr>
        <w:t> </w:t>
      </w:r>
      <w:r>
        <w:rPr>
          <w:rFonts w:ascii="宋体" w:hAnsi="宋体" w:cs="宋体" w:eastAsia="宋体" w:hint="default"/>
          <w:b/>
          <w:bCs/>
          <w:sz w:val="21"/>
          <w:szCs w:val="21"/>
        </w:rPr>
        <w:t>28</w:t>
      </w:r>
      <w:r>
        <w:rPr>
          <w:rFonts w:ascii="宋体" w:hAnsi="宋体" w:cs="宋体" w:eastAsia="宋体" w:hint="default"/>
          <w:b/>
          <w:bCs/>
          <w:sz w:val="21"/>
          <w:szCs w:val="21"/>
        </w:rPr>
        <w:t>、</w:t>
      </w:r>
      <w:r>
        <w:rPr>
          <w:rFonts w:ascii="宋体" w:hAnsi="宋体" w:cs="宋体" w:eastAsia="宋体" w:hint="default"/>
          <w:b/>
          <w:bCs/>
          <w:spacing w:val="-24"/>
          <w:sz w:val="21"/>
          <w:szCs w:val="21"/>
        </w:rPr>
        <w:t> </w:t>
      </w:r>
      <w:r>
        <w:rPr>
          <w:rFonts w:ascii="宋体" w:hAnsi="宋体" w:cs="宋体" w:eastAsia="宋体" w:hint="default"/>
          <w:b/>
          <w:bCs/>
          <w:sz w:val="21"/>
          <w:szCs w:val="21"/>
        </w:rPr>
        <w:t>长期待摊费用</w:t>
      </w:r>
      <w:r>
        <w:rPr>
          <w:rFonts w:ascii="宋体" w:hAnsi="宋体" w:cs="宋体" w:eastAsia="宋体" w:hint="default"/>
          <w:sz w:val="21"/>
          <w:szCs w:val="21"/>
        </w:rPr>
      </w:r>
    </w:p>
    <w:p>
      <w:pPr>
        <w:pStyle w:val="BodyText"/>
        <w:spacing w:line="240" w:lineRule="auto" w:before="12"/>
        <w:ind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1990" w:space="4743"/>
            <w:col w:w="2557"/>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447"/>
        <w:gridCol w:w="1498"/>
        <w:gridCol w:w="1495"/>
        <w:gridCol w:w="1498"/>
        <w:gridCol w:w="1522"/>
        <w:gridCol w:w="1589"/>
      </w:tblGrid>
      <w:tr>
        <w:trPr>
          <w:trHeight w:val="283"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04"/>
              <w:jc w:val="right"/>
              <w:rPr>
                <w:rFonts w:ascii="宋体" w:hAnsi="宋体" w:cs="宋体" w:eastAsia="宋体" w:hint="default"/>
                <w:sz w:val="21"/>
                <w:szCs w:val="21"/>
              </w:rPr>
            </w:pPr>
            <w:r>
              <w:rPr>
                <w:rFonts w:ascii="宋体" w:hAnsi="宋体" w:cs="宋体" w:eastAsia="宋体" w:hint="default"/>
                <w:sz w:val="21"/>
                <w:szCs w:val="21"/>
              </w:rPr>
              <w:t>项目</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23"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10"/>
              <w:jc w:val="right"/>
              <w:rPr>
                <w:rFonts w:ascii="宋体" w:hAnsi="宋体" w:cs="宋体" w:eastAsia="宋体" w:hint="default"/>
                <w:sz w:val="21"/>
                <w:szCs w:val="21"/>
              </w:rPr>
            </w:pPr>
            <w:r>
              <w:rPr>
                <w:rFonts w:ascii="宋体" w:hAnsi="宋体" w:cs="宋体" w:eastAsia="宋体" w:hint="default"/>
                <w:spacing w:val="-1"/>
                <w:sz w:val="21"/>
                <w:szCs w:val="21"/>
              </w:rPr>
              <w:t>本期增加金额</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11"/>
              <w:jc w:val="right"/>
              <w:rPr>
                <w:rFonts w:ascii="宋体" w:hAnsi="宋体" w:cs="宋体" w:eastAsia="宋体" w:hint="default"/>
                <w:sz w:val="21"/>
                <w:szCs w:val="21"/>
              </w:rPr>
            </w:pPr>
            <w:r>
              <w:rPr>
                <w:rFonts w:ascii="宋体" w:hAnsi="宋体" w:cs="宋体" w:eastAsia="宋体" w:hint="default"/>
                <w:spacing w:val="-1"/>
                <w:sz w:val="21"/>
                <w:szCs w:val="21"/>
              </w:rPr>
              <w:t>本期摊销金额</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24" w:right="0"/>
              <w:jc w:val="left"/>
              <w:rPr>
                <w:rFonts w:ascii="宋体" w:hAnsi="宋体" w:cs="宋体" w:eastAsia="宋体" w:hint="default"/>
                <w:sz w:val="21"/>
                <w:szCs w:val="21"/>
              </w:rPr>
            </w:pPr>
            <w:r>
              <w:rPr>
                <w:rFonts w:ascii="宋体" w:hAnsi="宋体" w:cs="宋体" w:eastAsia="宋体" w:hint="default"/>
                <w:sz w:val="21"/>
                <w:szCs w:val="21"/>
              </w:rPr>
              <w:t>其他减少金额</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67"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281"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装修费</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12,775,186</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8,039,841</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6,444,909</w:t>
            </w:r>
          </w:p>
        </w:tc>
        <w:tc>
          <w:tcPr>
            <w:tcW w:w="1522"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14,370,118</w:t>
            </w:r>
          </w:p>
        </w:tc>
      </w:tr>
      <w:tr>
        <w:trPr>
          <w:trHeight w:val="283"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6,175,501</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14,479,509</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11,392,855</w:t>
            </w:r>
          </w:p>
        </w:tc>
        <w:tc>
          <w:tcPr>
            <w:tcW w:w="1522"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9,262,155</w:t>
            </w:r>
          </w:p>
        </w:tc>
      </w:tr>
      <w:tr>
        <w:trPr>
          <w:trHeight w:val="283"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04"/>
              <w:jc w:val="right"/>
              <w:rPr>
                <w:rFonts w:ascii="宋体" w:hAnsi="宋体" w:cs="宋体" w:eastAsia="宋体" w:hint="default"/>
                <w:sz w:val="21"/>
                <w:szCs w:val="21"/>
              </w:rPr>
            </w:pPr>
            <w:r>
              <w:rPr>
                <w:rFonts w:ascii="宋体" w:hAnsi="宋体" w:cs="宋体" w:eastAsia="宋体" w:hint="default"/>
                <w:sz w:val="21"/>
                <w:szCs w:val="21"/>
              </w:rPr>
              <w:t>合计</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18,950,687</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22,519,350</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17,837,764</w:t>
            </w:r>
          </w:p>
        </w:tc>
        <w:tc>
          <w:tcPr>
            <w:tcW w:w="1522"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23,632,273</w:t>
            </w:r>
          </w:p>
        </w:tc>
      </w:tr>
    </w:tbl>
    <w:p>
      <w:pPr>
        <w:spacing w:line="240" w:lineRule="auto" w:before="13"/>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type w:val="continuous"/>
          <w:pgSz w:w="11910" w:h="16840"/>
          <w:pgMar w:top="1320" w:bottom="1380" w:left="1580" w:right="1040"/>
        </w:sectPr>
      </w:pPr>
    </w:p>
    <w:p>
      <w:pPr>
        <w:pStyle w:val="Heading3"/>
        <w:spacing w:line="290" w:lineRule="auto" w:before="36"/>
        <w:ind w:right="-17"/>
        <w:jc w:val="left"/>
        <w:rPr>
          <w:b w:val="0"/>
          <w:bCs w:val="0"/>
        </w:rPr>
      </w:pPr>
      <w:r>
        <w:rPr>
          <w:rFonts w:ascii="宋体" w:hAnsi="宋体" w:cs="宋体" w:eastAsia="宋体" w:hint="default"/>
        </w:rPr>
        <w:t>29</w:t>
      </w:r>
      <w:r>
        <w:rPr/>
        <w:t>、</w:t>
      </w:r>
      <w:r>
        <w:rPr>
          <w:spacing w:val="-27"/>
        </w:rPr>
        <w:t> </w:t>
      </w:r>
      <w:r>
        <w:rPr/>
        <w:t>递延所得税资产</w:t>
      </w:r>
      <w:r>
        <w:rPr>
          <w:rFonts w:ascii="宋体" w:hAnsi="宋体" w:cs="宋体" w:eastAsia="宋体" w:hint="default"/>
        </w:rPr>
        <w:t>/</w:t>
      </w:r>
      <w:r>
        <w:rPr/>
        <w:t>递延所得税负债</w:t>
      </w:r>
      <w:r>
        <w:rPr>
          <w:w w:val="100"/>
        </w:rPr>
        <w:t> </w:t>
      </w:r>
      <w:r>
        <w:rPr>
          <w:rFonts w:ascii="宋体" w:hAnsi="宋体" w:cs="宋体" w:eastAsia="宋体" w:hint="default"/>
        </w:rPr>
        <w:t>(1).</w:t>
      </w:r>
      <w:r>
        <w:rPr>
          <w:rFonts w:ascii="宋体" w:hAnsi="宋体" w:cs="宋体" w:eastAsia="宋体" w:hint="default"/>
          <w:spacing w:val="56"/>
        </w:rPr>
        <w:t> </w:t>
      </w:r>
      <w:r>
        <w:rPr/>
        <w:t>未经抵销的递延所得税资产</w:t>
      </w:r>
      <w:r>
        <w:rPr>
          <w:b w:val="0"/>
          <w:bCs w:val="0"/>
        </w:rPr>
      </w:r>
    </w:p>
    <w:p>
      <w:pPr>
        <w:pStyle w:val="BodyText"/>
        <w:spacing w:line="240" w:lineRule="auto" w:before="12"/>
        <w:ind w:right="-17"/>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3781" w:space="2952"/>
            <w:col w:w="2557"/>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444"/>
        <w:gridCol w:w="1651"/>
        <w:gridCol w:w="1649"/>
        <w:gridCol w:w="1664"/>
        <w:gridCol w:w="1644"/>
      </w:tblGrid>
      <w:tr>
        <w:trPr>
          <w:trHeight w:val="295" w:hRule="exact"/>
        </w:trPr>
        <w:tc>
          <w:tcPr>
            <w:tcW w:w="2444"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3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30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554" w:hRule="exact"/>
        </w:trPr>
        <w:tc>
          <w:tcPr>
            <w:tcW w:w="2444" w:type="dxa"/>
            <w:vMerge/>
            <w:tcBorders>
              <w:left w:val="single" w:sz="4" w:space="0" w:color="000000"/>
              <w:bottom w:val="single" w:sz="4" w:space="0" w:color="000000"/>
              <w:right w:val="single" w:sz="4" w:space="0" w:color="000000"/>
            </w:tcBorders>
          </w:tcPr>
          <w:p>
            <w:pPr/>
          </w:p>
        </w:tc>
        <w:tc>
          <w:tcPr>
            <w:tcW w:w="165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可抵扣暂时性</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差异</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递延所得税</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资产</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可抵扣暂时性</w:t>
            </w:r>
          </w:p>
          <w:p>
            <w:pPr>
              <w:pStyle w:val="TableParagraph"/>
              <w:spacing w:line="274" w:lineRule="exact"/>
              <w:ind w:right="2"/>
              <w:jc w:val="center"/>
              <w:rPr>
                <w:rFonts w:ascii="宋体" w:hAnsi="宋体" w:cs="宋体" w:eastAsia="宋体" w:hint="default"/>
                <w:sz w:val="21"/>
                <w:szCs w:val="21"/>
              </w:rPr>
            </w:pPr>
            <w:r>
              <w:rPr>
                <w:rFonts w:ascii="宋体" w:hAnsi="宋体" w:cs="宋体" w:eastAsia="宋体" w:hint="default"/>
                <w:sz w:val="21"/>
                <w:szCs w:val="21"/>
              </w:rPr>
              <w:t>差异</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递延所得税</w:t>
            </w:r>
          </w:p>
          <w:p>
            <w:pPr>
              <w:pStyle w:val="TableParagraph"/>
              <w:spacing w:line="274" w:lineRule="exact"/>
              <w:ind w:left="2" w:right="0"/>
              <w:jc w:val="center"/>
              <w:rPr>
                <w:rFonts w:ascii="宋体" w:hAnsi="宋体" w:cs="宋体" w:eastAsia="宋体" w:hint="default"/>
                <w:sz w:val="21"/>
                <w:szCs w:val="21"/>
              </w:rPr>
            </w:pPr>
            <w:r>
              <w:rPr>
                <w:rFonts w:ascii="宋体" w:hAnsi="宋体" w:cs="宋体" w:eastAsia="宋体" w:hint="default"/>
                <w:sz w:val="21"/>
                <w:szCs w:val="21"/>
              </w:rPr>
              <w:t>资产</w:t>
            </w:r>
          </w:p>
        </w:tc>
      </w:tr>
      <w:tr>
        <w:trPr>
          <w:trHeight w:val="295"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16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81,285,988</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13,000,205</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18,303,301</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3,684,825</w:t>
            </w:r>
          </w:p>
        </w:tc>
      </w:tr>
      <w:tr>
        <w:trPr>
          <w:trHeight w:val="295"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内部交易未实现利润</w:t>
            </w:r>
          </w:p>
        </w:tc>
        <w:tc>
          <w:tcPr>
            <w:tcW w:w="1651" w:type="dxa"/>
            <w:tcBorders>
              <w:top w:val="single" w:sz="4" w:space="0" w:color="000000"/>
              <w:left w:val="single" w:sz="4" w:space="0" w:color="000000"/>
              <w:bottom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
        </w:tc>
        <w:tc>
          <w:tcPr>
            <w:tcW w:w="1664" w:type="dxa"/>
            <w:tcBorders>
              <w:top w:val="single" w:sz="4" w:space="0" w:color="000000"/>
              <w:left w:val="single" w:sz="4" w:space="0" w:color="000000"/>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可抵扣亏损</w:t>
            </w:r>
          </w:p>
        </w:tc>
        <w:tc>
          <w:tcPr>
            <w:tcW w:w="16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85,634,724</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16,409,666</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335,459,667</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58,543,590</w:t>
            </w:r>
          </w:p>
        </w:tc>
      </w:tr>
      <w:tr>
        <w:trPr>
          <w:trHeight w:val="295"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内部未实现销售利润</w:t>
            </w:r>
          </w:p>
        </w:tc>
        <w:tc>
          <w:tcPr>
            <w:tcW w:w="16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23,011,958</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5,687,031</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22,963,498</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5,659,991</w:t>
            </w:r>
          </w:p>
        </w:tc>
      </w:tr>
      <w:tr>
        <w:trPr>
          <w:trHeight w:val="296"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固定资产折旧差异</w:t>
            </w:r>
          </w:p>
        </w:tc>
        <w:tc>
          <w:tcPr>
            <w:tcW w:w="16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5,307,673</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856,182</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6,649,018</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984,548</w:t>
            </w:r>
          </w:p>
        </w:tc>
      </w:tr>
      <w:tr>
        <w:trPr>
          <w:trHeight w:val="295"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股权激励成本</w:t>
            </w:r>
          </w:p>
        </w:tc>
        <w:tc>
          <w:tcPr>
            <w:tcW w:w="16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185,225,756</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25,589,989</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46,783,859</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7,017,579</w:t>
            </w:r>
          </w:p>
        </w:tc>
      </w:tr>
    </w:tbl>
    <w:p>
      <w:pPr>
        <w:spacing w:after="0" w:line="241" w:lineRule="exact"/>
        <w:jc w:val="right"/>
        <w:rPr>
          <w:rFonts w:ascii="宋体" w:hAnsi="宋体" w:cs="宋体" w:eastAsia="宋体" w:hint="default"/>
          <w:sz w:val="21"/>
          <w:szCs w:val="21"/>
        </w:rPr>
        <w:sectPr>
          <w:type w:val="continuous"/>
          <w:pgSz w:w="11910" w:h="16840"/>
          <w:pgMar w:top="1320" w:bottom="1380" w:left="1580" w:right="1040"/>
        </w:sectPr>
      </w:pPr>
    </w:p>
    <w:p>
      <w:pPr>
        <w:spacing w:line="240" w:lineRule="auto" w:before="6"/>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2444"/>
        <w:gridCol w:w="1651"/>
        <w:gridCol w:w="1649"/>
        <w:gridCol w:w="1664"/>
        <w:gridCol w:w="1644"/>
      </w:tblGrid>
      <w:tr>
        <w:trPr>
          <w:trHeight w:val="296"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预提费用</w:t>
            </w:r>
          </w:p>
        </w:tc>
        <w:tc>
          <w:tcPr>
            <w:tcW w:w="1651"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8"/>
              <w:jc w:val="right"/>
              <w:rPr>
                <w:rFonts w:ascii="宋体" w:hAnsi="宋体" w:cs="宋体" w:eastAsia="宋体" w:hint="default"/>
                <w:sz w:val="21"/>
                <w:szCs w:val="21"/>
              </w:rPr>
            </w:pPr>
            <w:r>
              <w:rPr>
                <w:rFonts w:ascii="宋体"/>
                <w:spacing w:val="-1"/>
                <w:sz w:val="21"/>
              </w:rPr>
              <w:t>78,296,771</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01"/>
              <w:jc w:val="right"/>
              <w:rPr>
                <w:rFonts w:ascii="宋体" w:hAnsi="宋体" w:cs="宋体" w:eastAsia="宋体" w:hint="default"/>
                <w:sz w:val="21"/>
                <w:szCs w:val="21"/>
              </w:rPr>
            </w:pPr>
            <w:r>
              <w:rPr>
                <w:rFonts w:ascii="宋体"/>
                <w:spacing w:val="-1"/>
                <w:sz w:val="21"/>
              </w:rPr>
              <w:t>13,045,507</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01"/>
              <w:jc w:val="right"/>
              <w:rPr>
                <w:rFonts w:ascii="宋体" w:hAnsi="宋体" w:cs="宋体" w:eastAsia="宋体" w:hint="default"/>
                <w:sz w:val="21"/>
                <w:szCs w:val="21"/>
              </w:rPr>
            </w:pPr>
            <w:r>
              <w:rPr>
                <w:rFonts w:ascii="宋体"/>
                <w:spacing w:val="-1"/>
                <w:sz w:val="21"/>
              </w:rPr>
              <w:t>46,352,684</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8"/>
              <w:jc w:val="right"/>
              <w:rPr>
                <w:rFonts w:ascii="宋体" w:hAnsi="宋体" w:cs="宋体" w:eastAsia="宋体" w:hint="default"/>
                <w:sz w:val="21"/>
                <w:szCs w:val="21"/>
              </w:rPr>
            </w:pPr>
            <w:r>
              <w:rPr>
                <w:rFonts w:ascii="宋体"/>
                <w:spacing w:val="-1"/>
                <w:sz w:val="21"/>
              </w:rPr>
              <w:t>8,330,313</w:t>
            </w:r>
          </w:p>
        </w:tc>
      </w:tr>
      <w:tr>
        <w:trPr>
          <w:trHeight w:val="554"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按权益法核算的长期股</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权投资暂时性差异</w:t>
            </w:r>
          </w:p>
        </w:tc>
        <w:tc>
          <w:tcPr>
            <w:tcW w:w="165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17,434,694</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4,445,884</w:t>
            </w:r>
          </w:p>
        </w:tc>
        <w:tc>
          <w:tcPr>
            <w:tcW w:w="1664" w:type="dxa"/>
            <w:tcBorders>
              <w:top w:val="single" w:sz="4" w:space="0" w:color="000000"/>
              <w:left w:val="single" w:sz="4" w:space="0" w:color="000000"/>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165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58,492,817</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8,697,881</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58,884,966</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8,830,170</w:t>
            </w:r>
          </w:p>
        </w:tc>
      </w:tr>
      <w:tr>
        <w:trPr>
          <w:trHeight w:val="295"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未支付的应付职工薪酬</w:t>
            </w:r>
          </w:p>
        </w:tc>
        <w:tc>
          <w:tcPr>
            <w:tcW w:w="165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21,625,873</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3,162,587</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22,328,735</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3,349,310</w:t>
            </w:r>
          </w:p>
        </w:tc>
      </w:tr>
      <w:tr>
        <w:trPr>
          <w:trHeight w:val="295" w:hRule="exact"/>
        </w:trPr>
        <w:tc>
          <w:tcPr>
            <w:tcW w:w="2444" w:type="dxa"/>
            <w:tcBorders>
              <w:top w:val="single" w:sz="4" w:space="0" w:color="000000"/>
              <w:left w:val="single" w:sz="4" w:space="0" w:color="000000"/>
              <w:bottom w:val="single" w:sz="4" w:space="0" w:color="000000"/>
              <w:right w:val="single" w:sz="4" w:space="0" w:color="000000"/>
            </w:tcBorders>
          </w:tcPr>
          <w:p>
            <w:pPr/>
          </w:p>
        </w:tc>
        <w:tc>
          <w:tcPr>
            <w:tcW w:w="1651" w:type="dxa"/>
            <w:tcBorders>
              <w:top w:val="single" w:sz="4" w:space="0" w:color="000000"/>
              <w:left w:val="single" w:sz="4" w:space="0" w:color="000000"/>
              <w:bottom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
        </w:tc>
        <w:tc>
          <w:tcPr>
            <w:tcW w:w="1664" w:type="dxa"/>
            <w:tcBorders>
              <w:top w:val="single" w:sz="4" w:space="0" w:color="000000"/>
              <w:left w:val="single" w:sz="4" w:space="0" w:color="000000"/>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556,316,254</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90,894,932</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557,725,728</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96,400,326</w:t>
            </w:r>
          </w:p>
        </w:tc>
      </w:tr>
    </w:tbl>
    <w:p>
      <w:pPr>
        <w:spacing w:line="240" w:lineRule="auto" w:before="2"/>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footerReference w:type="default" r:id="rId72"/>
          <w:pgSz w:w="11910" w:h="16840"/>
          <w:pgMar w:footer="1195" w:header="857" w:top="1320" w:bottom="1380" w:left="1580" w:right="1040"/>
          <w:pgNumType w:start="141"/>
        </w:sectPr>
      </w:pPr>
    </w:p>
    <w:p>
      <w:pPr>
        <w:pStyle w:val="Heading3"/>
        <w:spacing w:line="240" w:lineRule="auto" w:before="36"/>
        <w:ind w:right="-18"/>
        <w:jc w:val="left"/>
        <w:rPr>
          <w:b w:val="0"/>
          <w:bCs w:val="0"/>
        </w:rPr>
      </w:pPr>
      <w:r>
        <w:rPr>
          <w:rFonts w:ascii="宋体" w:hAnsi="宋体" w:cs="宋体" w:eastAsia="宋体" w:hint="default"/>
        </w:rPr>
        <w:t>(2).</w:t>
      </w:r>
      <w:r>
        <w:rPr>
          <w:rFonts w:ascii="宋体" w:hAnsi="宋体" w:cs="宋体" w:eastAsia="宋体" w:hint="default"/>
          <w:spacing w:val="56"/>
        </w:rPr>
        <w:t> </w:t>
      </w:r>
      <w:r>
        <w:rPr/>
        <w:t>未经抵销的递延所得税负债</w:t>
      </w:r>
      <w:r>
        <w:rPr>
          <w:b w:val="0"/>
          <w:bCs w:val="0"/>
        </w:rPr>
      </w:r>
    </w:p>
    <w:p>
      <w:pPr>
        <w:pStyle w:val="BodyText"/>
        <w:spacing w:line="240" w:lineRule="auto" w:before="56"/>
        <w:ind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3336" w:space="3397"/>
            <w:col w:w="2557"/>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374"/>
        <w:gridCol w:w="1678"/>
        <w:gridCol w:w="1664"/>
        <w:gridCol w:w="1659"/>
        <w:gridCol w:w="1675"/>
      </w:tblGrid>
      <w:tr>
        <w:trPr>
          <w:trHeight w:val="296" w:hRule="exact"/>
        </w:trPr>
        <w:tc>
          <w:tcPr>
            <w:tcW w:w="2374" w:type="dxa"/>
            <w:vMerge w:val="restart"/>
            <w:tcBorders>
              <w:top w:val="single" w:sz="4" w:space="0" w:color="000000"/>
              <w:left w:val="single" w:sz="4" w:space="0" w:color="000000"/>
              <w:right w:val="single" w:sz="4" w:space="0" w:color="000000"/>
            </w:tcBorders>
          </w:tcPr>
          <w:p>
            <w:pPr>
              <w:pStyle w:val="TableParagraph"/>
              <w:spacing w:line="240" w:lineRule="auto" w:before="115"/>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3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3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9" w:lineRule="exact"/>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554" w:hRule="exact"/>
        </w:trPr>
        <w:tc>
          <w:tcPr>
            <w:tcW w:w="2374" w:type="dxa"/>
            <w:vMerge/>
            <w:tcBorders>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应纳税暂时性</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差异</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递延所得税</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负债</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 w:right="0"/>
              <w:jc w:val="center"/>
              <w:rPr>
                <w:rFonts w:ascii="宋体" w:hAnsi="宋体" w:cs="宋体" w:eastAsia="宋体" w:hint="default"/>
                <w:sz w:val="21"/>
                <w:szCs w:val="21"/>
              </w:rPr>
            </w:pPr>
            <w:r>
              <w:rPr>
                <w:rFonts w:ascii="宋体" w:hAnsi="宋体" w:cs="宋体" w:eastAsia="宋体" w:hint="default"/>
                <w:sz w:val="21"/>
                <w:szCs w:val="21"/>
              </w:rPr>
              <w:t>应纳税暂时性</w:t>
            </w:r>
          </w:p>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差异</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 w:right="0"/>
              <w:jc w:val="center"/>
              <w:rPr>
                <w:rFonts w:ascii="宋体" w:hAnsi="宋体" w:cs="宋体" w:eastAsia="宋体" w:hint="default"/>
                <w:sz w:val="21"/>
                <w:szCs w:val="21"/>
              </w:rPr>
            </w:pPr>
            <w:r>
              <w:rPr>
                <w:rFonts w:ascii="宋体" w:hAnsi="宋体" w:cs="宋体" w:eastAsia="宋体" w:hint="default"/>
                <w:sz w:val="21"/>
                <w:szCs w:val="21"/>
              </w:rPr>
              <w:t>递延所得税</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负债</w:t>
            </w:r>
          </w:p>
        </w:tc>
      </w:tr>
      <w:tr>
        <w:trPr>
          <w:trHeight w:val="554" w:hRule="exact"/>
        </w:trPr>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非同一控制企业合并资</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产评估增值</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46,243,617</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8,693,979</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35,910,860</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7,100,643</w:t>
            </w:r>
          </w:p>
        </w:tc>
      </w:tr>
      <w:tr>
        <w:trPr>
          <w:trHeight w:val="554" w:hRule="exact"/>
        </w:trPr>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可供出售金融资产公允</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价值变动</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90,059,949</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19,908,522</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26,064,653</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3,909,698</w:t>
            </w:r>
          </w:p>
        </w:tc>
      </w:tr>
      <w:tr>
        <w:trPr>
          <w:trHeight w:val="295" w:hRule="exact"/>
        </w:trPr>
        <w:tc>
          <w:tcPr>
            <w:tcW w:w="237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64" w:type="dxa"/>
            <w:tcBorders>
              <w:top w:val="single" w:sz="4" w:space="0" w:color="000000"/>
              <w:left w:val="single" w:sz="4" w:space="0" w:color="000000"/>
              <w:bottom w:val="single" w:sz="4" w:space="0" w:color="000000"/>
              <w:right w:val="single" w:sz="4" w:space="0" w:color="000000"/>
            </w:tcBorders>
          </w:tcPr>
          <w:p>
            <w:pPr/>
          </w:p>
        </w:tc>
        <w:tc>
          <w:tcPr>
            <w:tcW w:w="1659"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2374"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64" w:type="dxa"/>
            <w:tcBorders>
              <w:top w:val="single" w:sz="4" w:space="0" w:color="000000"/>
              <w:left w:val="single" w:sz="4" w:space="0" w:color="000000"/>
              <w:bottom w:val="single" w:sz="4" w:space="0" w:color="000000"/>
              <w:right w:val="single" w:sz="4" w:space="0" w:color="000000"/>
            </w:tcBorders>
          </w:tcPr>
          <w:p>
            <w:pPr/>
          </w:p>
        </w:tc>
        <w:tc>
          <w:tcPr>
            <w:tcW w:w="1659"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136,303,566</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28,602,501</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61,975,513</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11,010,341</w:t>
            </w:r>
          </w:p>
        </w:tc>
      </w:tr>
    </w:tbl>
    <w:p>
      <w:pPr>
        <w:spacing w:line="240" w:lineRule="auto" w:before="2"/>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320" w:bottom="1380" w:left="1580" w:right="1040"/>
        </w:sectPr>
      </w:pPr>
    </w:p>
    <w:p>
      <w:pPr>
        <w:pStyle w:val="Heading3"/>
        <w:spacing w:line="240" w:lineRule="auto" w:before="36"/>
        <w:ind w:right="-18"/>
        <w:jc w:val="left"/>
        <w:rPr>
          <w:b w:val="0"/>
          <w:bCs w:val="0"/>
        </w:rPr>
      </w:pPr>
      <w:r>
        <w:rPr>
          <w:rFonts w:ascii="宋体" w:hAnsi="宋体" w:cs="宋体" w:eastAsia="宋体" w:hint="default"/>
        </w:rPr>
        <w:t>(3).</w:t>
      </w:r>
      <w:r>
        <w:rPr>
          <w:rFonts w:ascii="宋体" w:hAnsi="宋体" w:cs="宋体" w:eastAsia="宋体" w:hint="default"/>
          <w:spacing w:val="59"/>
        </w:rPr>
        <w:t> </w:t>
      </w:r>
      <w:r>
        <w:rPr/>
        <w:t>以抵销后净额列示的递延所得税资产或负债：</w:t>
      </w:r>
      <w:r>
        <w:rPr>
          <w:b w:val="0"/>
          <w:bCs w:val="0"/>
        </w:rPr>
      </w:r>
    </w:p>
    <w:p>
      <w:pPr>
        <w:pStyle w:val="BodyText"/>
        <w:spacing w:line="240" w:lineRule="auto" w:before="56"/>
        <w:ind w:right="-18"/>
        <w:jc w:val="left"/>
      </w:pPr>
      <w:r>
        <w:rPr/>
        <w:t>□适用</w:t>
      </w:r>
      <w:r>
        <w:rPr>
          <w:spacing w:val="-1"/>
        </w:rPr>
        <w:t> </w:t>
      </w:r>
      <w:r>
        <w:rPr/>
        <w:t>√不适用</w:t>
      </w:r>
    </w:p>
    <w:p>
      <w:pPr>
        <w:pStyle w:val="Heading3"/>
        <w:spacing w:line="240" w:lineRule="auto" w:before="58"/>
        <w:ind w:right="-18"/>
        <w:jc w:val="left"/>
        <w:rPr>
          <w:b w:val="0"/>
          <w:bCs w:val="0"/>
        </w:rPr>
      </w:pPr>
      <w:r>
        <w:rPr>
          <w:rFonts w:ascii="宋体" w:hAnsi="宋体" w:cs="宋体" w:eastAsia="宋体" w:hint="default"/>
        </w:rPr>
        <w:t>(4).</w:t>
      </w:r>
      <w:r>
        <w:rPr>
          <w:rFonts w:ascii="宋体" w:hAnsi="宋体" w:cs="宋体" w:eastAsia="宋体" w:hint="default"/>
          <w:spacing w:val="56"/>
        </w:rPr>
        <w:t> </w:t>
      </w:r>
      <w:r>
        <w:rPr/>
        <w:t>未确认递延所得税资产明细</w:t>
      </w:r>
      <w:r>
        <w:rPr>
          <w:b w:val="0"/>
          <w:bCs w:val="0"/>
        </w:rPr>
      </w:r>
    </w:p>
    <w:p>
      <w:pPr>
        <w:pStyle w:val="BodyText"/>
        <w:spacing w:line="240" w:lineRule="auto" w:before="56"/>
        <w:ind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9"/>
          <w:szCs w:val="19"/>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5026" w:space="1707"/>
            <w:col w:w="2557"/>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890"/>
        <w:gridCol w:w="3082"/>
        <w:gridCol w:w="3077"/>
      </w:tblGrid>
      <w:tr>
        <w:trPr>
          <w:trHeight w:val="295" w:hRule="exact"/>
        </w:trPr>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082"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95" w:hRule="exact"/>
        </w:trPr>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可抵扣暂时性差异</w:t>
            </w:r>
          </w:p>
        </w:tc>
        <w:tc>
          <w:tcPr>
            <w:tcW w:w="3082"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可抵扣亏损</w:t>
            </w:r>
          </w:p>
        </w:tc>
        <w:tc>
          <w:tcPr>
            <w:tcW w:w="30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124,773,504</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99,696,593</w:t>
            </w:r>
          </w:p>
        </w:tc>
      </w:tr>
      <w:tr>
        <w:trPr>
          <w:trHeight w:val="295" w:hRule="exact"/>
        </w:trPr>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30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94,452,085</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90,843,452</w:t>
            </w:r>
          </w:p>
        </w:tc>
      </w:tr>
      <w:tr>
        <w:trPr>
          <w:trHeight w:val="295" w:hRule="exact"/>
        </w:trPr>
        <w:tc>
          <w:tcPr>
            <w:tcW w:w="2890" w:type="dxa"/>
            <w:tcBorders>
              <w:top w:val="single" w:sz="4" w:space="0" w:color="000000"/>
              <w:left w:val="single" w:sz="4" w:space="0" w:color="000000"/>
              <w:bottom w:val="single" w:sz="4" w:space="0" w:color="000000"/>
              <w:right w:val="single" w:sz="4" w:space="0" w:color="000000"/>
            </w:tcBorders>
          </w:tcPr>
          <w:p>
            <w:pPr/>
          </w:p>
        </w:tc>
        <w:tc>
          <w:tcPr>
            <w:tcW w:w="3082"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0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219,225,589</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190,540,045</w:t>
            </w:r>
          </w:p>
        </w:tc>
      </w:tr>
    </w:tbl>
    <w:p>
      <w:pPr>
        <w:spacing w:line="240" w:lineRule="auto" w:before="13"/>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type w:val="continuous"/>
          <w:pgSz w:w="11910" w:h="16840"/>
          <w:pgMar w:top="1320" w:bottom="1380" w:left="1580" w:right="1040"/>
        </w:sectPr>
      </w:pPr>
    </w:p>
    <w:p>
      <w:pPr>
        <w:pStyle w:val="Heading3"/>
        <w:spacing w:line="240" w:lineRule="auto" w:before="36"/>
        <w:ind w:right="-17"/>
        <w:jc w:val="left"/>
        <w:rPr>
          <w:b w:val="0"/>
          <w:bCs w:val="0"/>
        </w:rPr>
      </w:pPr>
      <w:r>
        <w:rPr>
          <w:rFonts w:ascii="宋体" w:hAnsi="宋体" w:cs="宋体" w:eastAsia="宋体" w:hint="default"/>
        </w:rPr>
        <w:t>(5).</w:t>
      </w:r>
      <w:r>
        <w:rPr>
          <w:rFonts w:ascii="宋体" w:hAnsi="宋体" w:cs="宋体" w:eastAsia="宋体" w:hint="default"/>
          <w:spacing w:val="55"/>
        </w:rPr>
        <w:t> </w:t>
      </w:r>
      <w:r>
        <w:rPr/>
        <w:t>未确认递延所得税资产的可抵扣亏损将于以下年度到期</w:t>
      </w:r>
      <w:r>
        <w:rPr>
          <w:b w:val="0"/>
          <w:bCs w:val="0"/>
        </w:rPr>
      </w:r>
    </w:p>
    <w:p>
      <w:pPr>
        <w:pStyle w:val="BodyText"/>
        <w:spacing w:line="240" w:lineRule="auto" w:before="58"/>
        <w:ind w:right="-17"/>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5866" w:space="812"/>
            <w:col w:w="2612"/>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083"/>
        <w:gridCol w:w="2288"/>
        <w:gridCol w:w="2324"/>
        <w:gridCol w:w="2355"/>
      </w:tblGrid>
      <w:tr>
        <w:trPr>
          <w:trHeight w:val="295" w:hRule="exact"/>
        </w:trPr>
        <w:tc>
          <w:tcPr>
            <w:tcW w:w="2083"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823"/>
              <w:jc w:val="right"/>
              <w:rPr>
                <w:rFonts w:ascii="宋体" w:hAnsi="宋体" w:cs="宋体" w:eastAsia="宋体" w:hint="default"/>
                <w:sz w:val="21"/>
                <w:szCs w:val="21"/>
              </w:rPr>
            </w:pPr>
            <w:r>
              <w:rPr>
                <w:rFonts w:ascii="宋体" w:hAnsi="宋体" w:cs="宋体" w:eastAsia="宋体" w:hint="default"/>
                <w:sz w:val="21"/>
                <w:szCs w:val="21"/>
              </w:rPr>
              <w:t>年份</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718" w:right="0"/>
              <w:jc w:val="left"/>
              <w:rPr>
                <w:rFonts w:ascii="宋体" w:hAnsi="宋体" w:cs="宋体" w:eastAsia="宋体" w:hint="default"/>
                <w:sz w:val="21"/>
                <w:szCs w:val="21"/>
              </w:rPr>
            </w:pPr>
            <w:r>
              <w:rPr>
                <w:rFonts w:ascii="宋体" w:hAnsi="宋体" w:cs="宋体" w:eastAsia="宋体" w:hint="default"/>
                <w:sz w:val="21"/>
                <w:szCs w:val="21"/>
              </w:rPr>
              <w:t>期末金额</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737" w:right="0"/>
              <w:jc w:val="left"/>
              <w:rPr>
                <w:rFonts w:ascii="宋体" w:hAnsi="宋体" w:cs="宋体" w:eastAsia="宋体" w:hint="default"/>
                <w:sz w:val="21"/>
                <w:szCs w:val="21"/>
              </w:rPr>
            </w:pPr>
            <w:r>
              <w:rPr>
                <w:rFonts w:ascii="宋体" w:hAnsi="宋体" w:cs="宋体" w:eastAsia="宋体" w:hint="default"/>
                <w:sz w:val="21"/>
                <w:szCs w:val="21"/>
              </w:rPr>
              <w:t>期初金额</w:t>
            </w:r>
          </w:p>
        </w:tc>
        <w:tc>
          <w:tcPr>
            <w:tcW w:w="2355"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 w:right="0"/>
              <w:jc w:val="center"/>
              <w:rPr>
                <w:rFonts w:ascii="宋体" w:hAnsi="宋体" w:cs="宋体" w:eastAsia="宋体" w:hint="default"/>
                <w:sz w:val="21"/>
                <w:szCs w:val="21"/>
              </w:rPr>
            </w:pPr>
            <w:r>
              <w:rPr>
                <w:rFonts w:ascii="宋体" w:hAnsi="宋体" w:cs="宋体" w:eastAsia="宋体" w:hint="default"/>
                <w:sz w:val="21"/>
                <w:szCs w:val="21"/>
              </w:rPr>
              <w:t>备注</w:t>
            </w:r>
          </w:p>
        </w:tc>
      </w:tr>
      <w:tr>
        <w:trPr>
          <w:trHeight w:val="281" w:hRule="exact"/>
        </w:trPr>
        <w:tc>
          <w:tcPr>
            <w:tcW w:w="20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88" w:type="dxa"/>
            <w:tcBorders>
              <w:top w:val="single" w:sz="4" w:space="0" w:color="000000"/>
              <w:left w:val="single" w:sz="4" w:space="0" w:color="000000"/>
              <w:bottom w:val="single" w:sz="4" w:space="0" w:color="000000"/>
              <w:right w:val="single" w:sz="4" w:space="0" w:color="000000"/>
            </w:tcBorders>
          </w:tcPr>
          <w:p>
            <w:pP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51,183,236</w:t>
            </w:r>
          </w:p>
        </w:tc>
        <w:tc>
          <w:tcPr>
            <w:tcW w:w="235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0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47,356,611</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47,718,829</w:t>
            </w:r>
          </w:p>
        </w:tc>
        <w:tc>
          <w:tcPr>
            <w:tcW w:w="235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0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47,672,571</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53,512,498</w:t>
            </w:r>
          </w:p>
        </w:tc>
        <w:tc>
          <w:tcPr>
            <w:tcW w:w="2355"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0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2020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105,498,641</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106,619,138</w:t>
            </w:r>
          </w:p>
        </w:tc>
        <w:tc>
          <w:tcPr>
            <w:tcW w:w="235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0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2021</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166,040,468</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167,037,047</w:t>
            </w:r>
          </w:p>
        </w:tc>
        <w:tc>
          <w:tcPr>
            <w:tcW w:w="235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0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2022</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99,637,253</w:t>
            </w:r>
          </w:p>
        </w:tc>
        <w:tc>
          <w:tcPr>
            <w:tcW w:w="2324" w:type="dxa"/>
            <w:tcBorders>
              <w:top w:val="single" w:sz="4" w:space="0" w:color="000000"/>
              <w:left w:val="single" w:sz="4" w:space="0" w:color="000000"/>
              <w:bottom w:val="single" w:sz="4" w:space="0" w:color="000000"/>
              <w:right w:val="single" w:sz="4" w:space="0" w:color="000000"/>
            </w:tcBorders>
          </w:tcPr>
          <w:p>
            <w:pPr/>
          </w:p>
        </w:tc>
        <w:tc>
          <w:tcPr>
            <w:tcW w:w="2355" w:type="dxa"/>
            <w:tcBorders>
              <w:top w:val="single" w:sz="4" w:space="0" w:color="000000"/>
              <w:left w:val="single" w:sz="4" w:space="0" w:color="000000"/>
              <w:bottom w:val="single" w:sz="4" w:space="0" w:color="000000"/>
              <w:right w:val="single" w:sz="4" w:space="0" w:color="000000"/>
            </w:tcBorders>
          </w:tcPr>
          <w:p>
            <w:pPr/>
          </w:p>
        </w:tc>
      </w:tr>
      <w:tr>
        <w:trPr>
          <w:trHeight w:val="296" w:hRule="exact"/>
        </w:trPr>
        <w:tc>
          <w:tcPr>
            <w:tcW w:w="2083"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right="823"/>
              <w:jc w:val="right"/>
              <w:rPr>
                <w:rFonts w:ascii="宋体" w:hAnsi="宋体" w:cs="宋体" w:eastAsia="宋体" w:hint="default"/>
                <w:sz w:val="21"/>
                <w:szCs w:val="21"/>
              </w:rPr>
            </w:pPr>
            <w:r>
              <w:rPr>
                <w:rFonts w:ascii="宋体" w:hAnsi="宋体" w:cs="宋体" w:eastAsia="宋体" w:hint="default"/>
                <w:sz w:val="21"/>
                <w:szCs w:val="21"/>
              </w:rPr>
              <w:t>合计</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466,205,544</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426,070,748</w:t>
            </w:r>
          </w:p>
        </w:tc>
        <w:tc>
          <w:tcPr>
            <w:tcW w:w="23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w w:val="100"/>
                <w:sz w:val="21"/>
              </w:rPr>
              <w:t>/</w:t>
            </w:r>
          </w:p>
        </w:tc>
      </w:tr>
    </w:tbl>
    <w:p>
      <w:pPr>
        <w:spacing w:after="0" w:line="241" w:lineRule="exact"/>
        <w:jc w:val="center"/>
        <w:rPr>
          <w:rFonts w:ascii="宋体" w:hAnsi="宋体" w:cs="宋体" w:eastAsia="宋体" w:hint="default"/>
          <w:sz w:val="21"/>
          <w:szCs w:val="21"/>
        </w:rPr>
        <w:sectPr>
          <w:type w:val="continuous"/>
          <w:pgSz w:w="11910" w:h="16840"/>
          <w:pgMar w:top="1320" w:bottom="1380" w:left="1580" w:right="1040"/>
        </w:sectPr>
      </w:pPr>
    </w:p>
    <w:p>
      <w:pPr>
        <w:spacing w:line="240" w:lineRule="auto" w:before="2"/>
        <w:rPr>
          <w:rFonts w:ascii="宋体" w:hAnsi="宋体" w:cs="宋体" w:eastAsia="宋体" w:hint="default"/>
          <w:sz w:val="9"/>
          <w:szCs w:val="9"/>
        </w:rPr>
      </w:pPr>
    </w:p>
    <w:p>
      <w:pPr>
        <w:pStyle w:val="BodyText"/>
        <w:spacing w:line="274" w:lineRule="exact" w:before="36"/>
        <w:ind w:left="138" w:right="0"/>
        <w:jc w:val="left"/>
      </w:pPr>
      <w:r>
        <w:rPr/>
        <w:t>其他说明：</w:t>
      </w:r>
    </w:p>
    <w:p>
      <w:pPr>
        <w:pStyle w:val="BodyText"/>
        <w:spacing w:line="274" w:lineRule="exact"/>
        <w:ind w:left="138" w:right="0"/>
        <w:jc w:val="left"/>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left="138" w:right="0"/>
        <w:jc w:val="left"/>
        <w:rPr>
          <w:b w:val="0"/>
          <w:bCs w:val="0"/>
        </w:rPr>
      </w:pPr>
      <w:r>
        <w:rPr>
          <w:rFonts w:ascii="宋体" w:hAnsi="宋体" w:cs="宋体" w:eastAsia="宋体" w:hint="default"/>
        </w:rPr>
        <w:t>30</w:t>
      </w:r>
      <w:r>
        <w:rPr/>
        <w:t>、</w:t>
      </w:r>
      <w:r>
        <w:rPr>
          <w:spacing w:val="-24"/>
        </w:rPr>
        <w:t> </w:t>
      </w:r>
      <w:r>
        <w:rPr/>
        <w:t>其他非流动资产</w:t>
      </w:r>
      <w:r>
        <w:rPr>
          <w:b w:val="0"/>
          <w:bCs w:val="0"/>
        </w:rPr>
      </w:r>
    </w:p>
    <w:p>
      <w:pPr>
        <w:pStyle w:val="BodyText"/>
        <w:spacing w:line="240" w:lineRule="auto" w:before="56"/>
        <w:ind w:left="138" w:right="0"/>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57" w:footer="1195" w:top="1320" w:bottom="1380" w:left="1660" w:right="1120"/>
        </w:sectPr>
      </w:pPr>
    </w:p>
    <w:p>
      <w:pPr>
        <w:pStyle w:val="Heading3"/>
        <w:spacing w:line="240" w:lineRule="auto" w:before="36"/>
        <w:ind w:left="138" w:right="-18"/>
        <w:jc w:val="left"/>
        <w:rPr>
          <w:b w:val="0"/>
          <w:bCs w:val="0"/>
        </w:rPr>
      </w:pPr>
      <w:r>
        <w:rPr>
          <w:rFonts w:ascii="宋体" w:hAnsi="宋体" w:cs="宋体" w:eastAsia="宋体" w:hint="default"/>
        </w:rPr>
        <w:t>31</w:t>
      </w:r>
      <w:r>
        <w:rPr/>
        <w:t>、</w:t>
      </w:r>
      <w:r>
        <w:rPr>
          <w:spacing w:val="-25"/>
        </w:rPr>
        <w:t> </w:t>
      </w:r>
      <w:r>
        <w:rPr/>
        <w:t>短期借款</w:t>
      </w:r>
      <w:r>
        <w:rPr>
          <w:b w:val="0"/>
          <w:bCs w:val="0"/>
        </w:rPr>
      </w:r>
    </w:p>
    <w:p>
      <w:pPr>
        <w:pStyle w:val="Heading3"/>
        <w:tabs>
          <w:tab w:pos="769" w:val="left" w:leader="none"/>
        </w:tabs>
        <w:spacing w:line="240" w:lineRule="auto" w:before="56"/>
        <w:ind w:left="138" w:right="-18"/>
        <w:jc w:val="left"/>
        <w:rPr>
          <w:b w:val="0"/>
          <w:bCs w:val="0"/>
        </w:rPr>
      </w:pPr>
      <w:r>
        <w:rPr>
          <w:rFonts w:ascii="宋体" w:hAnsi="宋体" w:cs="宋体" w:eastAsia="宋体" w:hint="default"/>
          <w:w w:val="95"/>
        </w:rPr>
        <w:t>(1).</w:t>
        <w:tab/>
      </w:r>
      <w:r>
        <w:rPr/>
        <w:t>短期借款分类</w:t>
      </w:r>
      <w:r>
        <w:rPr>
          <w:b w:val="0"/>
          <w:bCs w:val="0"/>
        </w:rPr>
      </w:r>
    </w:p>
    <w:p>
      <w:pPr>
        <w:pStyle w:val="BodyText"/>
        <w:spacing w:line="240" w:lineRule="auto" w:before="58"/>
        <w:ind w:left="138"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spacing w:line="240" w:lineRule="auto"/>
        <w:ind w:left="138" w:right="0"/>
        <w:jc w:val="left"/>
      </w:pPr>
      <w:r>
        <w:rPr/>
        <w:t>单位：元币种：人民币</w:t>
      </w:r>
    </w:p>
    <w:p>
      <w:pPr>
        <w:spacing w:after="0" w:line="240" w:lineRule="auto"/>
        <w:jc w:val="left"/>
        <w:sectPr>
          <w:type w:val="continuous"/>
          <w:pgSz w:w="11910" w:h="16840"/>
          <w:pgMar w:top="1320" w:bottom="1380" w:left="1660" w:right="1120"/>
          <w:cols w:num="2" w:equalWidth="0">
            <w:col w:w="2037" w:space="4696"/>
            <w:col w:w="2397"/>
          </w:cols>
        </w:sectPr>
      </w:pPr>
    </w:p>
    <w:p>
      <w:pPr>
        <w:spacing w:line="240" w:lineRule="auto" w:before="7"/>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2871"/>
        <w:gridCol w:w="3005"/>
        <w:gridCol w:w="3020"/>
      </w:tblGrid>
      <w:tr>
        <w:trPr>
          <w:trHeight w:val="281"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15"/>
              <w:jc w:val="right"/>
              <w:rPr>
                <w:rFonts w:ascii="宋体" w:hAnsi="宋体" w:cs="宋体" w:eastAsia="宋体" w:hint="default"/>
                <w:sz w:val="21"/>
                <w:szCs w:val="21"/>
              </w:rPr>
            </w:pPr>
            <w:r>
              <w:rPr>
                <w:rFonts w:ascii="宋体" w:hAnsi="宋体" w:cs="宋体" w:eastAsia="宋体" w:hint="default"/>
                <w:sz w:val="21"/>
                <w:szCs w:val="21"/>
              </w:rPr>
              <w:t>项目</w:t>
            </w:r>
          </w:p>
        </w:tc>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83"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质押借款</w:t>
            </w:r>
          </w:p>
        </w:tc>
        <w:tc>
          <w:tcPr>
            <w:tcW w:w="3005" w:type="dxa"/>
            <w:tcBorders>
              <w:top w:val="single" w:sz="4" w:space="0" w:color="000000"/>
              <w:left w:val="single" w:sz="4" w:space="0" w:color="000000"/>
              <w:bottom w:val="single" w:sz="4" w:space="0" w:color="000000"/>
              <w:right w:val="single" w:sz="4" w:space="0" w:color="000000"/>
            </w:tcBorders>
          </w:tcPr>
          <w:p>
            <w:pPr/>
          </w:p>
        </w:tc>
        <w:tc>
          <w:tcPr>
            <w:tcW w:w="302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抵押借款</w:t>
            </w:r>
          </w:p>
        </w:tc>
        <w:tc>
          <w:tcPr>
            <w:tcW w:w="3005" w:type="dxa"/>
            <w:tcBorders>
              <w:top w:val="single" w:sz="4" w:space="0" w:color="000000"/>
              <w:left w:val="single" w:sz="4" w:space="0" w:color="000000"/>
              <w:bottom w:val="single" w:sz="4" w:space="0" w:color="000000"/>
              <w:right w:val="single" w:sz="4" w:space="0" w:color="000000"/>
            </w:tcBorders>
          </w:tcPr>
          <w:p>
            <w:pPr/>
          </w:p>
        </w:tc>
        <w:tc>
          <w:tcPr>
            <w:tcW w:w="3020"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保证借款</w:t>
            </w:r>
          </w:p>
        </w:tc>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02"/>
              <w:jc w:val="right"/>
              <w:rPr>
                <w:rFonts w:ascii="宋体" w:hAnsi="宋体" w:cs="宋体" w:eastAsia="宋体" w:hint="default"/>
                <w:sz w:val="21"/>
                <w:szCs w:val="21"/>
              </w:rPr>
            </w:pPr>
            <w:r>
              <w:rPr>
                <w:rFonts w:ascii="宋体"/>
                <w:spacing w:val="-1"/>
                <w:sz w:val="21"/>
              </w:rPr>
              <w:t>1,500,000,000</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01"/>
              <w:jc w:val="right"/>
              <w:rPr>
                <w:rFonts w:ascii="宋体" w:hAnsi="宋体" w:cs="宋体" w:eastAsia="宋体" w:hint="default"/>
                <w:sz w:val="21"/>
                <w:szCs w:val="21"/>
              </w:rPr>
            </w:pPr>
            <w:r>
              <w:rPr>
                <w:rFonts w:ascii="宋体"/>
                <w:spacing w:val="-1"/>
                <w:sz w:val="21"/>
              </w:rPr>
              <w:t>500,000,000</w:t>
            </w:r>
          </w:p>
        </w:tc>
      </w:tr>
      <w:tr>
        <w:trPr>
          <w:trHeight w:val="283"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信用借款</w:t>
            </w:r>
          </w:p>
        </w:tc>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02"/>
              <w:jc w:val="right"/>
              <w:rPr>
                <w:rFonts w:ascii="宋体" w:hAnsi="宋体" w:cs="宋体" w:eastAsia="宋体" w:hint="default"/>
                <w:sz w:val="21"/>
                <w:szCs w:val="21"/>
              </w:rPr>
            </w:pPr>
            <w:r>
              <w:rPr>
                <w:rFonts w:ascii="宋体"/>
                <w:spacing w:val="-1"/>
                <w:sz w:val="21"/>
              </w:rPr>
              <w:t>1,950,000,000</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01"/>
              <w:jc w:val="right"/>
              <w:rPr>
                <w:rFonts w:ascii="宋体" w:hAnsi="宋体" w:cs="宋体" w:eastAsia="宋体" w:hint="default"/>
                <w:sz w:val="21"/>
                <w:szCs w:val="21"/>
              </w:rPr>
            </w:pPr>
            <w:r>
              <w:rPr>
                <w:rFonts w:ascii="宋体"/>
                <w:spacing w:val="-1"/>
                <w:sz w:val="21"/>
              </w:rPr>
              <w:t>1,852,342,112</w:t>
            </w:r>
          </w:p>
        </w:tc>
      </w:tr>
      <w:tr>
        <w:trPr>
          <w:trHeight w:val="283" w:hRule="exact"/>
        </w:trPr>
        <w:tc>
          <w:tcPr>
            <w:tcW w:w="2871" w:type="dxa"/>
            <w:tcBorders>
              <w:top w:val="single" w:sz="4" w:space="0" w:color="000000"/>
              <w:left w:val="single" w:sz="4" w:space="0" w:color="000000"/>
              <w:bottom w:val="single" w:sz="4" w:space="0" w:color="000000"/>
              <w:right w:val="single" w:sz="4" w:space="0" w:color="000000"/>
            </w:tcBorders>
          </w:tcPr>
          <w:p>
            <w:pPr/>
          </w:p>
        </w:tc>
        <w:tc>
          <w:tcPr>
            <w:tcW w:w="3005" w:type="dxa"/>
            <w:tcBorders>
              <w:top w:val="single" w:sz="4" w:space="0" w:color="000000"/>
              <w:left w:val="single" w:sz="4" w:space="0" w:color="000000"/>
              <w:bottom w:val="single" w:sz="4" w:space="0" w:color="000000"/>
              <w:right w:val="single" w:sz="4" w:space="0" w:color="000000"/>
            </w:tcBorders>
          </w:tcPr>
          <w:p>
            <w:pPr/>
          </w:p>
        </w:tc>
        <w:tc>
          <w:tcPr>
            <w:tcW w:w="3020"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871" w:type="dxa"/>
            <w:tcBorders>
              <w:top w:val="single" w:sz="4" w:space="0" w:color="000000"/>
              <w:left w:val="single" w:sz="4" w:space="0" w:color="000000"/>
              <w:bottom w:val="single" w:sz="4" w:space="0" w:color="000000"/>
              <w:right w:val="single" w:sz="4" w:space="0" w:color="000000"/>
            </w:tcBorders>
          </w:tcPr>
          <w:p>
            <w:pPr/>
          </w:p>
        </w:tc>
        <w:tc>
          <w:tcPr>
            <w:tcW w:w="3005" w:type="dxa"/>
            <w:tcBorders>
              <w:top w:val="single" w:sz="4" w:space="0" w:color="000000"/>
              <w:left w:val="single" w:sz="4" w:space="0" w:color="000000"/>
              <w:bottom w:val="single" w:sz="4" w:space="0" w:color="000000"/>
              <w:right w:val="single" w:sz="4" w:space="0" w:color="000000"/>
            </w:tcBorders>
          </w:tcPr>
          <w:p>
            <w:pPr/>
          </w:p>
        </w:tc>
        <w:tc>
          <w:tcPr>
            <w:tcW w:w="302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15"/>
              <w:jc w:val="right"/>
              <w:rPr>
                <w:rFonts w:ascii="宋体" w:hAnsi="宋体" w:cs="宋体" w:eastAsia="宋体" w:hint="default"/>
                <w:sz w:val="21"/>
                <w:szCs w:val="21"/>
              </w:rPr>
            </w:pPr>
            <w:r>
              <w:rPr>
                <w:rFonts w:ascii="宋体" w:hAnsi="宋体" w:cs="宋体" w:eastAsia="宋体" w:hint="default"/>
                <w:sz w:val="21"/>
                <w:szCs w:val="21"/>
              </w:rPr>
              <w:t>合计</w:t>
            </w:r>
          </w:p>
        </w:tc>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02"/>
              <w:jc w:val="right"/>
              <w:rPr>
                <w:rFonts w:ascii="宋体" w:hAnsi="宋体" w:cs="宋体" w:eastAsia="宋体" w:hint="default"/>
                <w:sz w:val="21"/>
                <w:szCs w:val="21"/>
              </w:rPr>
            </w:pPr>
            <w:r>
              <w:rPr>
                <w:rFonts w:ascii="宋体"/>
                <w:spacing w:val="-1"/>
                <w:sz w:val="21"/>
              </w:rPr>
              <w:t>3,450,000,000</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01"/>
              <w:jc w:val="right"/>
              <w:rPr>
                <w:rFonts w:ascii="宋体" w:hAnsi="宋体" w:cs="宋体" w:eastAsia="宋体" w:hint="default"/>
                <w:sz w:val="21"/>
                <w:szCs w:val="21"/>
              </w:rPr>
            </w:pPr>
            <w:r>
              <w:rPr>
                <w:rFonts w:ascii="宋体"/>
                <w:spacing w:val="-1"/>
                <w:sz w:val="21"/>
              </w:rPr>
              <w:t>2,352,342,112</w:t>
            </w:r>
          </w:p>
        </w:tc>
      </w:tr>
    </w:tbl>
    <w:p>
      <w:pPr>
        <w:spacing w:line="240" w:lineRule="auto" w:before="5"/>
        <w:rPr>
          <w:rFonts w:ascii="宋体" w:hAnsi="宋体" w:cs="宋体" w:eastAsia="宋体" w:hint="default"/>
          <w:sz w:val="15"/>
          <w:szCs w:val="15"/>
        </w:rPr>
      </w:pPr>
    </w:p>
    <w:p>
      <w:pPr>
        <w:pStyle w:val="BodyText"/>
        <w:spacing w:line="274" w:lineRule="exact" w:before="36"/>
        <w:ind w:left="138" w:right="0"/>
        <w:jc w:val="left"/>
      </w:pPr>
      <w:r>
        <w:rPr/>
        <w:t>短期借款分类的说明：</w:t>
      </w:r>
    </w:p>
    <w:p>
      <w:pPr>
        <w:pStyle w:val="BodyText"/>
        <w:spacing w:line="272" w:lineRule="exact" w:before="27"/>
        <w:ind w:left="138" w:right="0"/>
        <w:jc w:val="left"/>
      </w:pPr>
      <w:r>
        <w:rPr/>
        <w:t>于</w:t>
      </w:r>
      <w:r>
        <w:rPr>
          <w:spacing w:val="-53"/>
        </w:rPr>
        <w:t> </w:t>
      </w:r>
      <w:r>
        <w:rPr>
          <w:rFonts w:ascii="宋体" w:hAnsi="宋体" w:cs="宋体" w:eastAsia="宋体" w:hint="default"/>
        </w:rPr>
        <w:t>2017</w:t>
      </w:r>
      <w:r>
        <w:rPr>
          <w:rFonts w:ascii="宋体" w:hAnsi="宋体" w:cs="宋体" w:eastAsia="宋体" w:hint="default"/>
          <w:spacing w:val="-53"/>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日，上述借款的年利率为</w:t>
      </w:r>
      <w:r>
        <w:rPr>
          <w:spacing w:val="-52"/>
        </w:rPr>
        <w:t> </w:t>
      </w:r>
      <w:r>
        <w:rPr>
          <w:rFonts w:ascii="宋体" w:hAnsi="宋体" w:cs="宋体" w:eastAsia="宋体" w:hint="default"/>
        </w:rPr>
        <w:t>0.84%</w:t>
      </w:r>
      <w:r>
        <w:rPr/>
        <w:t>至</w:t>
      </w:r>
      <w:r>
        <w:rPr>
          <w:spacing w:val="-53"/>
        </w:rPr>
        <w:t> </w:t>
      </w:r>
      <w:r>
        <w:rPr>
          <w:rFonts w:ascii="宋体" w:hAnsi="宋体" w:cs="宋体" w:eastAsia="宋体" w:hint="default"/>
        </w:rPr>
        <w:t>5.03%</w:t>
      </w:r>
      <w:r>
        <w:rPr>
          <w:rFonts w:ascii="宋体" w:hAnsi="宋体" w:cs="宋体" w:eastAsia="宋体" w:hint="default"/>
          <w:spacing w:val="-41"/>
        </w:rPr>
        <w:t> </w:t>
      </w:r>
      <w:r>
        <w:rPr>
          <w:rFonts w:ascii="宋体" w:hAnsi="宋体" w:cs="宋体" w:eastAsia="宋体" w:hint="default"/>
        </w:rPr>
        <w:t>(2016</w:t>
      </w:r>
      <w:r>
        <w:rPr>
          <w:rFonts w:ascii="宋体" w:hAnsi="宋体" w:cs="宋体" w:eastAsia="宋体" w:hint="default"/>
          <w:spacing w:val="-55"/>
        </w:rPr>
        <w:t> </w:t>
      </w:r>
      <w:r>
        <w:rPr/>
        <w:t>年</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2"/>
        </w:rPr>
        <w:t> </w:t>
      </w:r>
      <w:r>
        <w:rPr/>
        <w:t>日借款的年利率为</w:t>
      </w:r>
      <w:r>
        <w:rPr>
          <w:w w:val="100"/>
        </w:rPr>
        <w:t> </w:t>
      </w:r>
      <w:r>
        <w:rPr>
          <w:rFonts w:ascii="宋体" w:hAnsi="宋体" w:cs="宋体" w:eastAsia="宋体" w:hint="default"/>
        </w:rPr>
        <w:t>0.84%</w:t>
      </w:r>
      <w:r>
        <w:rPr/>
        <w:t>至</w:t>
      </w:r>
      <w:r>
        <w:rPr>
          <w:spacing w:val="-53"/>
        </w:rPr>
        <w:t> </w:t>
      </w:r>
      <w:r>
        <w:rPr>
          <w:rFonts w:ascii="宋体" w:hAnsi="宋体" w:cs="宋体" w:eastAsia="宋体" w:hint="default"/>
        </w:rPr>
        <w:t>4.40%)</w:t>
      </w:r>
      <w:r>
        <w:rPr/>
        <w:t>。</w:t>
      </w:r>
    </w:p>
    <w:p>
      <w:pPr>
        <w:spacing w:line="240" w:lineRule="auto" w:before="10"/>
        <w:rPr>
          <w:rFonts w:ascii="宋体" w:hAnsi="宋体" w:cs="宋体" w:eastAsia="宋体" w:hint="default"/>
          <w:sz w:val="18"/>
          <w:szCs w:val="18"/>
        </w:rPr>
      </w:pPr>
    </w:p>
    <w:p>
      <w:pPr>
        <w:pStyle w:val="BodyText"/>
        <w:spacing w:line="240" w:lineRule="auto"/>
        <w:ind w:left="138" w:right="0"/>
        <w:jc w:val="left"/>
      </w:pPr>
      <w:r>
        <w:rPr/>
        <w:t>于</w:t>
      </w:r>
      <w:r>
        <w:rPr>
          <w:spacing w:val="-53"/>
        </w:rPr>
        <w:t> </w:t>
      </w:r>
      <w:r>
        <w:rPr>
          <w:rFonts w:ascii="宋体" w:hAnsi="宋体" w:cs="宋体" w:eastAsia="宋体" w:hint="default"/>
        </w:rPr>
        <w:t>2017</w:t>
      </w:r>
      <w:r>
        <w:rPr>
          <w:rFonts w:ascii="宋体" w:hAnsi="宋体" w:cs="宋体" w:eastAsia="宋体" w:hint="default"/>
          <w:spacing w:val="-53"/>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日，本集团无已到期但未偿还的短期借款</w:t>
      </w:r>
      <w:r>
        <w:rPr>
          <w:rFonts w:ascii="宋体" w:hAnsi="宋体" w:cs="宋体" w:eastAsia="宋体" w:hint="default"/>
        </w:rPr>
        <w:t>(2016</w:t>
      </w:r>
      <w:r>
        <w:rPr>
          <w:rFonts w:ascii="宋体" w:hAnsi="宋体" w:cs="宋体" w:eastAsia="宋体" w:hint="default"/>
          <w:spacing w:val="-55"/>
        </w:rPr>
        <w:t> </w:t>
      </w:r>
      <w:r>
        <w:rPr/>
        <w:t>年</w:t>
      </w:r>
      <w:r>
        <w:rPr>
          <w:spacing w:val="-53"/>
        </w:rPr>
        <w:t> </w:t>
      </w:r>
      <w:r>
        <w:rPr>
          <w:rFonts w:ascii="宋体" w:hAnsi="宋体" w:cs="宋体" w:eastAsia="宋体" w:hint="default"/>
        </w:rPr>
        <w:t>12</w:t>
      </w:r>
      <w:r>
        <w:rPr>
          <w:rFonts w:ascii="宋体" w:hAnsi="宋体" w:cs="宋体" w:eastAsia="宋体" w:hint="default"/>
          <w:spacing w:val="-53"/>
        </w:rPr>
        <w:t> </w:t>
      </w:r>
      <w:r>
        <w:rPr/>
        <w:t>月</w:t>
      </w:r>
      <w:r>
        <w:rPr>
          <w:spacing w:val="-53"/>
        </w:rPr>
        <w:t> </w:t>
      </w:r>
      <w:r>
        <w:rPr>
          <w:rFonts w:ascii="宋体" w:hAnsi="宋体" w:cs="宋体" w:eastAsia="宋体" w:hint="default"/>
        </w:rPr>
        <w:t>31</w:t>
      </w:r>
      <w:r>
        <w:rPr>
          <w:rFonts w:ascii="宋体" w:hAnsi="宋体" w:cs="宋体" w:eastAsia="宋体" w:hint="default"/>
          <w:spacing w:val="-52"/>
        </w:rPr>
        <w:t> </w:t>
      </w:r>
      <w:r>
        <w:rPr/>
        <w:t>日：无</w:t>
      </w:r>
      <w:r>
        <w:rPr>
          <w:rFonts w:ascii="宋体" w:hAnsi="宋体" w:cs="宋体" w:eastAsia="宋体" w:hint="default"/>
        </w:rPr>
        <w:t>)</w:t>
      </w:r>
      <w:r>
        <w:rPr/>
        <w:t>。</w:t>
      </w:r>
    </w:p>
    <w:p>
      <w:pPr>
        <w:spacing w:line="240" w:lineRule="auto" w:before="3"/>
        <w:rPr>
          <w:rFonts w:ascii="宋体" w:hAnsi="宋体" w:cs="宋体" w:eastAsia="宋体" w:hint="default"/>
          <w:sz w:val="25"/>
          <w:szCs w:val="25"/>
        </w:rPr>
      </w:pPr>
    </w:p>
    <w:p>
      <w:pPr>
        <w:pStyle w:val="Heading3"/>
        <w:tabs>
          <w:tab w:pos="769" w:val="left" w:leader="none"/>
        </w:tabs>
        <w:spacing w:line="240" w:lineRule="auto"/>
        <w:ind w:left="138" w:right="0"/>
        <w:jc w:val="left"/>
        <w:rPr>
          <w:b w:val="0"/>
          <w:bCs w:val="0"/>
        </w:rPr>
      </w:pPr>
      <w:r>
        <w:rPr>
          <w:rFonts w:ascii="宋体" w:hAnsi="宋体" w:cs="宋体" w:eastAsia="宋体" w:hint="default"/>
          <w:w w:val="95"/>
        </w:rPr>
        <w:t>(2).</w:t>
        <w:tab/>
      </w:r>
      <w:r>
        <w:rPr/>
        <w:t>已逾期未偿还的短期借款情况</w:t>
      </w:r>
      <w:r>
        <w:rPr>
          <w:b w:val="0"/>
          <w:bCs w:val="0"/>
        </w:rPr>
      </w:r>
    </w:p>
    <w:p>
      <w:pPr>
        <w:pStyle w:val="BodyText"/>
        <w:spacing w:line="240" w:lineRule="auto" w:before="58"/>
        <w:ind w:left="138" w:right="0"/>
        <w:jc w:val="left"/>
      </w:pPr>
      <w:r>
        <w:rPr/>
        <w:t>□适用</w:t>
      </w:r>
      <w:r>
        <w:rPr>
          <w:spacing w:val="-1"/>
        </w:rPr>
        <w:t> </w:t>
      </w:r>
      <w:r>
        <w:rPr/>
        <w:t>√不适用</w:t>
      </w:r>
    </w:p>
    <w:p>
      <w:pPr>
        <w:spacing w:line="240" w:lineRule="auto" w:before="8"/>
        <w:rPr>
          <w:rFonts w:ascii="宋体" w:hAnsi="宋体" w:cs="宋体" w:eastAsia="宋体" w:hint="default"/>
          <w:sz w:val="20"/>
          <w:szCs w:val="20"/>
        </w:rPr>
      </w:pPr>
    </w:p>
    <w:p>
      <w:pPr>
        <w:pStyle w:val="BodyText"/>
        <w:spacing w:line="273" w:lineRule="exact"/>
        <w:ind w:left="138" w:right="0"/>
        <w:jc w:val="left"/>
      </w:pPr>
      <w:r>
        <w:rPr/>
        <w:t>其中重要的已逾期未偿还的短期借款情况如下：</w:t>
      </w:r>
    </w:p>
    <w:p>
      <w:pPr>
        <w:pStyle w:val="BodyText"/>
        <w:spacing w:line="240" w:lineRule="auto"/>
        <w:ind w:left="138" w:right="7394"/>
        <w:jc w:val="left"/>
      </w:pPr>
      <w:r>
        <w:rPr/>
        <w:t>□适用</w:t>
      </w:r>
      <w:r>
        <w:rPr>
          <w:spacing w:val="-1"/>
        </w:rPr>
        <w:t> </w:t>
      </w:r>
      <w:r>
        <w:rPr/>
        <w:t>√不适用</w:t>
      </w:r>
      <w:r>
        <w:rPr>
          <w:w w:val="100"/>
        </w:rPr>
        <w:t> </w:t>
      </w:r>
      <w:r>
        <w:rPr/>
        <w:t>其他说明</w:t>
      </w:r>
    </w:p>
    <w:p>
      <w:pPr>
        <w:pStyle w:val="BodyText"/>
        <w:spacing w:line="271" w:lineRule="exact"/>
        <w:ind w:left="138" w:right="0"/>
        <w:jc w:val="left"/>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left="138" w:right="0"/>
        <w:jc w:val="left"/>
        <w:rPr>
          <w:b w:val="0"/>
          <w:bCs w:val="0"/>
        </w:rPr>
      </w:pPr>
      <w:r>
        <w:rPr>
          <w:rFonts w:ascii="宋体" w:hAnsi="宋体" w:cs="宋体" w:eastAsia="宋体" w:hint="default"/>
        </w:rPr>
        <w:t>32</w:t>
      </w:r>
      <w:r>
        <w:rPr/>
        <w:t>、</w:t>
      </w:r>
      <w:r>
        <w:rPr>
          <w:spacing w:val="-27"/>
        </w:rPr>
        <w:t> </w:t>
      </w:r>
      <w:r>
        <w:rPr/>
        <w:t>以公允价值计量且其变动计入当期损益的金融负债</w:t>
      </w:r>
      <w:r>
        <w:rPr>
          <w:b w:val="0"/>
          <w:bCs w:val="0"/>
        </w:rPr>
      </w:r>
    </w:p>
    <w:p>
      <w:pPr>
        <w:pStyle w:val="BodyText"/>
        <w:spacing w:line="240" w:lineRule="auto" w:before="58"/>
        <w:ind w:left="138" w:right="0"/>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5"/>
          <w:szCs w:val="25"/>
        </w:rPr>
      </w:pPr>
    </w:p>
    <w:p>
      <w:pPr>
        <w:pStyle w:val="Heading3"/>
        <w:spacing w:line="240" w:lineRule="auto"/>
        <w:ind w:left="138" w:right="0"/>
        <w:jc w:val="left"/>
        <w:rPr>
          <w:b w:val="0"/>
          <w:bCs w:val="0"/>
        </w:rPr>
      </w:pPr>
      <w:r>
        <w:rPr>
          <w:rFonts w:ascii="宋体" w:hAnsi="宋体" w:cs="宋体" w:eastAsia="宋体" w:hint="default"/>
        </w:rPr>
        <w:t>33</w:t>
      </w:r>
      <w:r>
        <w:rPr/>
        <w:t>、</w:t>
      </w:r>
      <w:r>
        <w:rPr>
          <w:spacing w:val="-24"/>
        </w:rPr>
        <w:t> </w:t>
      </w:r>
      <w:r>
        <w:rPr/>
        <w:t>衍生金融负债</w:t>
      </w:r>
      <w:r>
        <w:rPr>
          <w:b w:val="0"/>
          <w:bCs w:val="0"/>
        </w:rPr>
      </w:r>
    </w:p>
    <w:p>
      <w:pPr>
        <w:pStyle w:val="BodyText"/>
        <w:spacing w:line="240" w:lineRule="auto" w:before="58"/>
        <w:ind w:left="138" w:right="0"/>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5"/>
          <w:szCs w:val="25"/>
        </w:rPr>
      </w:pPr>
    </w:p>
    <w:p>
      <w:pPr>
        <w:pStyle w:val="Heading3"/>
        <w:spacing w:line="240" w:lineRule="auto"/>
        <w:ind w:left="138" w:right="0"/>
        <w:jc w:val="left"/>
        <w:rPr>
          <w:b w:val="0"/>
          <w:bCs w:val="0"/>
        </w:rPr>
      </w:pPr>
      <w:r>
        <w:rPr>
          <w:rFonts w:ascii="宋体" w:hAnsi="宋体" w:cs="宋体" w:eastAsia="宋体" w:hint="default"/>
        </w:rPr>
        <w:t>34</w:t>
      </w:r>
      <w:r>
        <w:rPr/>
        <w:t>、</w:t>
      </w:r>
      <w:r>
        <w:rPr>
          <w:spacing w:val="-25"/>
        </w:rPr>
        <w:t> </w:t>
      </w:r>
      <w:r>
        <w:rPr/>
        <w:t>应付票据</w:t>
      </w:r>
      <w:r>
        <w:rPr>
          <w:b w:val="0"/>
          <w:bCs w:val="0"/>
        </w:rPr>
      </w:r>
    </w:p>
    <w:p>
      <w:pPr>
        <w:pStyle w:val="BodyText"/>
        <w:spacing w:line="240" w:lineRule="auto" w:before="56"/>
        <w:ind w:left="138" w:right="0"/>
        <w:jc w:val="left"/>
      </w:pPr>
      <w:r>
        <w:rPr/>
        <w:t>□适用</w:t>
      </w:r>
      <w:r>
        <w:rPr>
          <w:spacing w:val="-1"/>
        </w:rPr>
        <w:t> </w:t>
      </w:r>
      <w:r>
        <w:rPr/>
        <w:t>√不适用</w:t>
      </w:r>
    </w:p>
    <w:p>
      <w:pPr>
        <w:spacing w:after="0" w:line="240" w:lineRule="auto"/>
        <w:jc w:val="left"/>
        <w:sectPr>
          <w:type w:val="continuous"/>
          <w:pgSz w:w="11910" w:h="16840"/>
          <w:pgMar w:top="1320" w:bottom="1380" w:left="1660" w:right="1120"/>
        </w:sectPr>
      </w:pPr>
    </w:p>
    <w:p>
      <w:pPr>
        <w:spacing w:line="240" w:lineRule="auto" w:before="2"/>
        <w:rPr>
          <w:rFonts w:ascii="宋体" w:hAnsi="宋体" w:cs="宋体" w:eastAsia="宋体" w:hint="default"/>
          <w:sz w:val="9"/>
          <w:szCs w:val="9"/>
        </w:rPr>
      </w:pPr>
    </w:p>
    <w:p>
      <w:pPr>
        <w:spacing w:after="0" w:line="240" w:lineRule="auto"/>
        <w:rPr>
          <w:rFonts w:ascii="宋体" w:hAnsi="宋体" w:cs="宋体" w:eastAsia="宋体" w:hint="default"/>
          <w:sz w:val="9"/>
          <w:szCs w:val="9"/>
        </w:rPr>
        <w:sectPr>
          <w:pgSz w:w="11910" w:h="16840"/>
          <w:pgMar w:header="857" w:footer="1195" w:top="1320" w:bottom="1380" w:left="1580" w:right="1040"/>
        </w:sectPr>
      </w:pPr>
    </w:p>
    <w:p>
      <w:pPr>
        <w:pStyle w:val="Heading3"/>
        <w:spacing w:line="240" w:lineRule="auto" w:before="36"/>
        <w:ind w:right="-19"/>
        <w:jc w:val="left"/>
        <w:rPr>
          <w:b w:val="0"/>
          <w:bCs w:val="0"/>
        </w:rPr>
      </w:pPr>
      <w:r>
        <w:rPr>
          <w:rFonts w:ascii="宋体" w:hAnsi="宋体" w:cs="宋体" w:eastAsia="宋体" w:hint="default"/>
        </w:rPr>
        <w:t>35</w:t>
      </w:r>
      <w:r>
        <w:rPr/>
        <w:t>、</w:t>
      </w:r>
      <w:r>
        <w:rPr>
          <w:spacing w:val="-25"/>
        </w:rPr>
        <w:t> </w:t>
      </w:r>
      <w:r>
        <w:rPr/>
        <w:t>应付账款</w:t>
      </w:r>
      <w:r>
        <w:rPr>
          <w:b w:val="0"/>
          <w:bCs w:val="0"/>
        </w:rPr>
      </w:r>
    </w:p>
    <w:p>
      <w:pPr>
        <w:pStyle w:val="Heading3"/>
        <w:spacing w:line="240" w:lineRule="auto" w:before="58"/>
        <w:ind w:right="-19"/>
        <w:jc w:val="left"/>
        <w:rPr>
          <w:b w:val="0"/>
          <w:bCs w:val="0"/>
        </w:rPr>
      </w:pPr>
      <w:r>
        <w:rPr>
          <w:rFonts w:ascii="宋体" w:hAnsi="宋体" w:cs="宋体" w:eastAsia="宋体" w:hint="default"/>
        </w:rPr>
        <w:t>(1).</w:t>
      </w:r>
      <w:r>
        <w:rPr>
          <w:rFonts w:ascii="宋体" w:hAnsi="宋体" w:cs="宋体" w:eastAsia="宋体" w:hint="default"/>
          <w:spacing w:val="60"/>
        </w:rPr>
        <w:t> </w:t>
      </w:r>
      <w:r>
        <w:rPr/>
        <w:t>应付账款列示</w:t>
      </w:r>
      <w:r>
        <w:rPr>
          <w:b w:val="0"/>
          <w:bCs w:val="0"/>
        </w:rPr>
      </w:r>
    </w:p>
    <w:p>
      <w:pPr>
        <w:pStyle w:val="BodyText"/>
        <w:spacing w:line="240" w:lineRule="auto" w:before="56"/>
        <w:ind w:right="-19"/>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2074" w:space="4659"/>
            <w:col w:w="2557"/>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842"/>
        <w:gridCol w:w="2866"/>
        <w:gridCol w:w="3341"/>
      </w:tblGrid>
      <w:tr>
        <w:trPr>
          <w:trHeight w:val="283" w:hRule="exact"/>
        </w:trPr>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03"/>
              <w:jc w:val="right"/>
              <w:rPr>
                <w:rFonts w:ascii="宋体" w:hAnsi="宋体" w:cs="宋体" w:eastAsia="宋体" w:hint="default"/>
                <w:sz w:val="21"/>
                <w:szCs w:val="21"/>
              </w:rPr>
            </w:pPr>
            <w:r>
              <w:rPr>
                <w:rFonts w:ascii="宋体" w:hAnsi="宋体" w:cs="宋体" w:eastAsia="宋体" w:hint="default"/>
                <w:sz w:val="21"/>
                <w:szCs w:val="21"/>
              </w:rPr>
              <w:t>项目</w:t>
            </w:r>
          </w:p>
        </w:tc>
        <w:tc>
          <w:tcPr>
            <w:tcW w:w="28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3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83" w:hRule="exact"/>
        </w:trPr>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0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8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312,694,930</w:t>
            </w:r>
          </w:p>
        </w:tc>
        <w:tc>
          <w:tcPr>
            <w:tcW w:w="33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207,545,766</w:t>
            </w:r>
          </w:p>
        </w:tc>
      </w:tr>
      <w:tr>
        <w:trPr>
          <w:trHeight w:val="281" w:hRule="exact"/>
        </w:trPr>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08"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8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70,136,080</w:t>
            </w:r>
          </w:p>
        </w:tc>
        <w:tc>
          <w:tcPr>
            <w:tcW w:w="33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26,205,278</w:t>
            </w:r>
          </w:p>
        </w:tc>
      </w:tr>
      <w:tr>
        <w:trPr>
          <w:trHeight w:val="283" w:hRule="exact"/>
        </w:trPr>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08" w:right="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8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12,483,467</w:t>
            </w:r>
          </w:p>
        </w:tc>
        <w:tc>
          <w:tcPr>
            <w:tcW w:w="33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155,786,207</w:t>
            </w:r>
          </w:p>
        </w:tc>
      </w:tr>
      <w:tr>
        <w:trPr>
          <w:trHeight w:val="283" w:hRule="exact"/>
        </w:trPr>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08"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8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57,598,431</w:t>
            </w:r>
          </w:p>
        </w:tc>
        <w:tc>
          <w:tcPr>
            <w:tcW w:w="33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46,470,546</w:t>
            </w:r>
          </w:p>
        </w:tc>
      </w:tr>
      <w:tr>
        <w:trPr>
          <w:trHeight w:val="281" w:hRule="exact"/>
        </w:trPr>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03"/>
              <w:jc w:val="right"/>
              <w:rPr>
                <w:rFonts w:ascii="宋体" w:hAnsi="宋体" w:cs="宋体" w:eastAsia="宋体" w:hint="default"/>
                <w:sz w:val="21"/>
                <w:szCs w:val="21"/>
              </w:rPr>
            </w:pPr>
            <w:r>
              <w:rPr>
                <w:rFonts w:ascii="宋体" w:hAnsi="宋体" w:cs="宋体" w:eastAsia="宋体" w:hint="default"/>
                <w:sz w:val="21"/>
                <w:szCs w:val="21"/>
              </w:rPr>
              <w:t>合计</w:t>
            </w:r>
          </w:p>
        </w:tc>
        <w:tc>
          <w:tcPr>
            <w:tcW w:w="28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452,912,908</w:t>
            </w:r>
          </w:p>
        </w:tc>
        <w:tc>
          <w:tcPr>
            <w:tcW w:w="33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436,007,797</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type w:val="continuous"/>
          <w:pgSz w:w="11910" w:h="16840"/>
          <w:pgMar w:top="1320" w:bottom="1380" w:left="1580" w:right="1040"/>
        </w:sectPr>
      </w:pPr>
    </w:p>
    <w:p>
      <w:pPr>
        <w:pStyle w:val="Heading3"/>
        <w:spacing w:line="240" w:lineRule="auto" w:before="36"/>
        <w:ind w:right="-17"/>
        <w:jc w:val="left"/>
        <w:rPr>
          <w:b w:val="0"/>
          <w:bCs w:val="0"/>
        </w:rPr>
      </w:pPr>
      <w:r>
        <w:rPr>
          <w:rFonts w:ascii="宋体" w:hAnsi="宋体" w:cs="宋体" w:eastAsia="宋体" w:hint="default"/>
        </w:rPr>
        <w:t>(2). </w:t>
      </w:r>
      <w:r>
        <w:rPr/>
        <w:t>账龄超过 </w:t>
      </w:r>
      <w:r>
        <w:rPr>
          <w:rFonts w:ascii="Cambria" w:hAnsi="Cambria" w:cs="Cambria" w:eastAsia="Cambria" w:hint="default"/>
        </w:rPr>
        <w:t>1</w:t>
      </w:r>
      <w:r>
        <w:rPr>
          <w:rFonts w:ascii="Cambria" w:hAnsi="Cambria" w:cs="Cambria" w:eastAsia="Cambria" w:hint="default"/>
          <w:spacing w:val="9"/>
        </w:rPr>
        <w:t> </w:t>
      </w:r>
      <w:r>
        <w:rPr/>
        <w:t>年的重要应付账款</w:t>
      </w:r>
      <w:r>
        <w:rPr>
          <w:b w:val="0"/>
          <w:bCs w:val="0"/>
        </w:rPr>
      </w:r>
    </w:p>
    <w:p>
      <w:pPr>
        <w:pStyle w:val="BodyText"/>
        <w:spacing w:line="240" w:lineRule="auto" w:before="39"/>
        <w:ind w:right="-17"/>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3567" w:space="3166"/>
            <w:col w:w="2557"/>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284"/>
        <w:gridCol w:w="2828"/>
        <w:gridCol w:w="2938"/>
      </w:tblGrid>
      <w:tr>
        <w:trPr>
          <w:trHeight w:val="283"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424"/>
              <w:jc w:val="right"/>
              <w:rPr>
                <w:rFonts w:ascii="宋体" w:hAnsi="宋体" w:cs="宋体" w:eastAsia="宋体" w:hint="default"/>
                <w:sz w:val="21"/>
                <w:szCs w:val="21"/>
              </w:rPr>
            </w:pPr>
            <w:r>
              <w:rPr>
                <w:rFonts w:ascii="宋体" w:hAnsi="宋体" w:cs="宋体" w:eastAsia="宋体" w:hint="default"/>
                <w:sz w:val="21"/>
                <w:szCs w:val="21"/>
              </w:rPr>
              <w:t>项目</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未偿还或结转的原因</w:t>
            </w:r>
          </w:p>
        </w:tc>
      </w:tr>
      <w:tr>
        <w:trPr>
          <w:trHeight w:val="281"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1</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5,714,417</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未到付款期</w:t>
            </w:r>
          </w:p>
        </w:tc>
      </w:tr>
      <w:tr>
        <w:trPr>
          <w:trHeight w:val="283"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2</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4,224,047</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 w:right="0"/>
              <w:jc w:val="center"/>
              <w:rPr>
                <w:rFonts w:ascii="宋体" w:hAnsi="宋体" w:cs="宋体" w:eastAsia="宋体" w:hint="default"/>
                <w:sz w:val="21"/>
                <w:szCs w:val="21"/>
              </w:rPr>
            </w:pPr>
            <w:r>
              <w:rPr>
                <w:rFonts w:ascii="宋体" w:hAnsi="宋体" w:cs="宋体" w:eastAsia="宋体" w:hint="default"/>
                <w:sz w:val="21"/>
                <w:szCs w:val="21"/>
              </w:rPr>
              <w:t>未到付款期</w:t>
            </w:r>
          </w:p>
        </w:tc>
      </w:tr>
      <w:tr>
        <w:trPr>
          <w:trHeight w:val="283"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3</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3,850,789</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未到付款期</w:t>
            </w:r>
          </w:p>
        </w:tc>
      </w:tr>
      <w:tr>
        <w:trPr>
          <w:trHeight w:val="281"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4</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3,755,629</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未到付款期</w:t>
            </w:r>
          </w:p>
        </w:tc>
      </w:tr>
      <w:tr>
        <w:trPr>
          <w:trHeight w:val="283"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5</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3,538,737</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 w:right="0"/>
              <w:jc w:val="center"/>
              <w:rPr>
                <w:rFonts w:ascii="宋体" w:hAnsi="宋体" w:cs="宋体" w:eastAsia="宋体" w:hint="default"/>
                <w:sz w:val="21"/>
                <w:szCs w:val="21"/>
              </w:rPr>
            </w:pPr>
            <w:r>
              <w:rPr>
                <w:rFonts w:ascii="宋体" w:hAnsi="宋体" w:cs="宋体" w:eastAsia="宋体" w:hint="default"/>
                <w:sz w:val="21"/>
                <w:szCs w:val="21"/>
              </w:rPr>
              <w:t>未到付款期</w:t>
            </w:r>
          </w:p>
        </w:tc>
      </w:tr>
      <w:tr>
        <w:trPr>
          <w:trHeight w:val="284"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424"/>
              <w:jc w:val="right"/>
              <w:rPr>
                <w:rFonts w:ascii="宋体" w:hAnsi="宋体" w:cs="宋体" w:eastAsia="宋体" w:hint="default"/>
                <w:sz w:val="21"/>
                <w:szCs w:val="21"/>
              </w:rPr>
            </w:pPr>
            <w:r>
              <w:rPr>
                <w:rFonts w:ascii="宋体" w:hAnsi="宋体" w:cs="宋体" w:eastAsia="宋体" w:hint="default"/>
                <w:sz w:val="21"/>
                <w:szCs w:val="21"/>
              </w:rPr>
              <w:t>合计</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21,083,619</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BodyText"/>
        <w:spacing w:line="273" w:lineRule="exact" w:before="36"/>
        <w:ind w:right="99"/>
        <w:jc w:val="left"/>
      </w:pPr>
      <w:r>
        <w:rPr/>
        <w:t>其他说明</w:t>
      </w:r>
    </w:p>
    <w:p>
      <w:pPr>
        <w:pStyle w:val="BodyText"/>
        <w:spacing w:line="240" w:lineRule="auto"/>
        <w:ind w:right="5061"/>
        <w:jc w:val="left"/>
      </w:pPr>
      <w:r>
        <w:rPr/>
        <w:t>√适用</w:t>
      </w:r>
      <w:r>
        <w:rPr>
          <w:spacing w:val="-2"/>
        </w:rPr>
        <w:t> </w:t>
      </w:r>
      <w:r>
        <w:rPr/>
        <w:t>□不适用</w:t>
      </w:r>
      <w:r>
        <w:rPr>
          <w:w w:val="100"/>
        </w:rPr>
        <w:t> </w:t>
      </w:r>
      <w:r>
        <w:rPr/>
        <w:t>应付账款不计息，并通常在</w:t>
      </w:r>
      <w:r>
        <w:rPr>
          <w:spacing w:val="-54"/>
        </w:rPr>
        <w:t> </w:t>
      </w:r>
      <w:r>
        <w:rPr>
          <w:rFonts w:ascii="宋体" w:hAnsi="宋体" w:cs="宋体" w:eastAsia="宋体" w:hint="default"/>
        </w:rPr>
        <w:t>2</w:t>
      </w:r>
      <w:r>
        <w:rPr>
          <w:rFonts w:ascii="宋体" w:hAnsi="宋体" w:cs="宋体" w:eastAsia="宋体" w:hint="default"/>
          <w:spacing w:val="-54"/>
        </w:rPr>
        <w:t> </w:t>
      </w:r>
      <w:r>
        <w:rPr/>
        <w:t>个月内清偿。</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320" w:bottom="1380" w:left="1580" w:right="1040"/>
        </w:sectPr>
      </w:pPr>
    </w:p>
    <w:p>
      <w:pPr>
        <w:pStyle w:val="Heading3"/>
        <w:spacing w:line="240" w:lineRule="auto" w:before="36"/>
        <w:ind w:right="-19"/>
        <w:jc w:val="left"/>
        <w:rPr>
          <w:b w:val="0"/>
          <w:bCs w:val="0"/>
        </w:rPr>
      </w:pPr>
      <w:r>
        <w:rPr>
          <w:rFonts w:ascii="宋体" w:hAnsi="宋体" w:cs="宋体" w:eastAsia="宋体" w:hint="default"/>
        </w:rPr>
        <w:t>36</w:t>
      </w:r>
      <w:r>
        <w:rPr/>
        <w:t>、</w:t>
      </w:r>
      <w:r>
        <w:rPr>
          <w:spacing w:val="-25"/>
        </w:rPr>
        <w:t> </w:t>
      </w:r>
      <w:r>
        <w:rPr/>
        <w:t>预收款项</w:t>
      </w:r>
      <w:r>
        <w:rPr>
          <w:b w:val="0"/>
          <w:bCs w:val="0"/>
        </w:rPr>
      </w:r>
    </w:p>
    <w:p>
      <w:pPr>
        <w:pStyle w:val="Heading3"/>
        <w:spacing w:line="240" w:lineRule="auto" w:before="58"/>
        <w:ind w:right="-19"/>
        <w:jc w:val="left"/>
        <w:rPr>
          <w:b w:val="0"/>
          <w:bCs w:val="0"/>
        </w:rPr>
      </w:pPr>
      <w:r>
        <w:rPr>
          <w:rFonts w:ascii="宋体" w:hAnsi="宋体" w:cs="宋体" w:eastAsia="宋体" w:hint="default"/>
        </w:rPr>
        <w:t>(1). </w:t>
      </w:r>
      <w:r>
        <w:rPr/>
        <w:t>预收账款项列示</w:t>
      </w:r>
      <w:r>
        <w:rPr>
          <w:b w:val="0"/>
          <w:bCs w:val="0"/>
        </w:rPr>
      </w:r>
    </w:p>
    <w:p>
      <w:pPr>
        <w:pStyle w:val="BodyText"/>
        <w:spacing w:line="240" w:lineRule="auto" w:before="56"/>
        <w:ind w:right="-19"/>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2225" w:space="4508"/>
            <w:col w:w="2557"/>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900"/>
        <w:gridCol w:w="3077"/>
        <w:gridCol w:w="3073"/>
      </w:tblGrid>
      <w:tr>
        <w:trPr>
          <w:trHeight w:val="284"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32"/>
              <w:jc w:val="right"/>
              <w:rPr>
                <w:rFonts w:ascii="宋体" w:hAnsi="宋体" w:cs="宋体" w:eastAsia="宋体" w:hint="default"/>
                <w:sz w:val="21"/>
                <w:szCs w:val="21"/>
              </w:rPr>
            </w:pPr>
            <w:r>
              <w:rPr>
                <w:rFonts w:ascii="宋体" w:hAnsi="宋体" w:cs="宋体" w:eastAsia="宋体" w:hint="default"/>
                <w:sz w:val="21"/>
                <w:szCs w:val="21"/>
              </w:rPr>
              <w:t>项目</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0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81"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579,489,620</w:t>
            </w:r>
          </w:p>
        </w:tc>
        <w:tc>
          <w:tcPr>
            <w:tcW w:w="30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534,089,436</w:t>
            </w:r>
          </w:p>
        </w:tc>
      </w:tr>
      <w:tr>
        <w:trPr>
          <w:trHeight w:val="283"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127,756,833</w:t>
            </w:r>
          </w:p>
        </w:tc>
        <w:tc>
          <w:tcPr>
            <w:tcW w:w="307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120,213,963</w:t>
            </w:r>
          </w:p>
        </w:tc>
      </w:tr>
      <w:tr>
        <w:trPr>
          <w:trHeight w:val="283"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51,731,540</w:t>
            </w:r>
          </w:p>
        </w:tc>
        <w:tc>
          <w:tcPr>
            <w:tcW w:w="30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52,922,544</w:t>
            </w:r>
          </w:p>
        </w:tc>
      </w:tr>
      <w:tr>
        <w:trPr>
          <w:trHeight w:val="281"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95,852,450</w:t>
            </w:r>
          </w:p>
        </w:tc>
        <w:tc>
          <w:tcPr>
            <w:tcW w:w="30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96,073,782</w:t>
            </w:r>
          </w:p>
        </w:tc>
      </w:tr>
      <w:tr>
        <w:trPr>
          <w:trHeight w:val="283"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232"/>
              <w:jc w:val="right"/>
              <w:rPr>
                <w:rFonts w:ascii="宋体" w:hAnsi="宋体" w:cs="宋体" w:eastAsia="宋体" w:hint="default"/>
                <w:sz w:val="21"/>
                <w:szCs w:val="21"/>
              </w:rPr>
            </w:pPr>
            <w:r>
              <w:rPr>
                <w:rFonts w:ascii="宋体" w:hAnsi="宋体" w:cs="宋体" w:eastAsia="宋体" w:hint="default"/>
                <w:sz w:val="21"/>
                <w:szCs w:val="21"/>
              </w:rPr>
              <w:t>合计</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854,830,443</w:t>
            </w:r>
          </w:p>
        </w:tc>
        <w:tc>
          <w:tcPr>
            <w:tcW w:w="307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803,299,725</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p>
      <w:pPr>
        <w:pStyle w:val="Heading3"/>
        <w:spacing w:line="240" w:lineRule="auto" w:before="36"/>
        <w:ind w:right="99"/>
        <w:jc w:val="left"/>
        <w:rPr>
          <w:b w:val="0"/>
          <w:bCs w:val="0"/>
        </w:rPr>
      </w:pPr>
      <w:r>
        <w:rPr>
          <w:rFonts w:ascii="宋体" w:hAnsi="宋体" w:cs="宋体" w:eastAsia="宋体" w:hint="default"/>
        </w:rPr>
        <w:t>(2).</w:t>
      </w:r>
      <w:r>
        <w:rPr>
          <w:rFonts w:ascii="宋体" w:hAnsi="宋体" w:cs="宋体" w:eastAsia="宋体" w:hint="default"/>
          <w:spacing w:val="-1"/>
        </w:rPr>
        <w:t> </w:t>
      </w:r>
      <w:r>
        <w:rPr/>
        <w:t>账龄超过</w:t>
      </w:r>
      <w:r>
        <w:rPr>
          <w:spacing w:val="-54"/>
        </w:rPr>
        <w:t> </w:t>
      </w:r>
      <w:r>
        <w:rPr>
          <w:rFonts w:ascii="Cambria" w:hAnsi="Cambria" w:cs="Cambria" w:eastAsia="Cambria" w:hint="default"/>
        </w:rPr>
        <w:t>1</w:t>
      </w:r>
      <w:r>
        <w:rPr>
          <w:rFonts w:ascii="Cambria" w:hAnsi="Cambria" w:cs="Cambria" w:eastAsia="Cambria" w:hint="default"/>
          <w:spacing w:val="3"/>
        </w:rPr>
        <w:t> </w:t>
      </w:r>
      <w:r>
        <w:rPr/>
        <w:t>年的重要预收款项</w:t>
      </w:r>
      <w:r>
        <w:rPr>
          <w:b w:val="0"/>
          <w:bCs w:val="0"/>
        </w:rPr>
      </w:r>
    </w:p>
    <w:p>
      <w:pPr>
        <w:pStyle w:val="BodyText"/>
        <w:spacing w:line="240" w:lineRule="auto" w:before="39"/>
        <w:ind w:right="99"/>
        <w:jc w:val="left"/>
      </w:pPr>
      <w:r>
        <w:rPr/>
        <w:t>□适用</w:t>
      </w:r>
      <w:r>
        <w:rPr>
          <w:spacing w:val="-1"/>
        </w:rPr>
        <w:t> </w:t>
      </w:r>
      <w:r>
        <w:rPr/>
        <w:t>√不适用</w:t>
      </w:r>
    </w:p>
    <w:p>
      <w:pPr>
        <w:pStyle w:val="Heading3"/>
        <w:spacing w:line="240" w:lineRule="auto" w:before="59"/>
        <w:ind w:right="99"/>
        <w:jc w:val="left"/>
        <w:rPr>
          <w:b w:val="0"/>
          <w:bCs w:val="0"/>
        </w:rPr>
      </w:pPr>
      <w:r>
        <w:rPr>
          <w:rFonts w:ascii="宋体" w:hAnsi="宋体" w:cs="宋体" w:eastAsia="宋体" w:hint="default"/>
        </w:rPr>
        <w:t>(3).</w:t>
      </w:r>
      <w:r>
        <w:rPr>
          <w:rFonts w:ascii="宋体" w:hAnsi="宋体" w:cs="宋体" w:eastAsia="宋体" w:hint="default"/>
          <w:spacing w:val="-1"/>
        </w:rPr>
        <w:t> </w:t>
      </w:r>
      <w:r>
        <w:rPr/>
        <w:t>期末建造合同形成的已结算未完工项目情况：</w:t>
      </w:r>
      <w:r>
        <w:rPr>
          <w:b w:val="0"/>
          <w:bCs w:val="0"/>
        </w:rPr>
      </w:r>
    </w:p>
    <w:p>
      <w:pPr>
        <w:pStyle w:val="BodyText"/>
        <w:spacing w:line="240" w:lineRule="auto" w:before="56"/>
        <w:ind w:right="99"/>
        <w:jc w:val="left"/>
      </w:pPr>
      <w:r>
        <w:rPr/>
        <w:t>□适用</w:t>
      </w:r>
      <w:r>
        <w:rPr>
          <w:spacing w:val="-1"/>
        </w:rPr>
        <w:t> </w:t>
      </w:r>
      <w:r>
        <w:rPr/>
        <w:t>√不适用</w:t>
      </w:r>
    </w:p>
    <w:p>
      <w:pPr>
        <w:spacing w:after="0" w:line="240" w:lineRule="auto"/>
        <w:jc w:val="left"/>
        <w:sectPr>
          <w:type w:val="continuous"/>
          <w:pgSz w:w="11910" w:h="16840"/>
          <w:pgMar w:top="1320" w:bottom="1380" w:left="1580" w:right="1040"/>
        </w:sectPr>
      </w:pPr>
    </w:p>
    <w:p>
      <w:pPr>
        <w:spacing w:line="240" w:lineRule="auto" w:before="2"/>
        <w:rPr>
          <w:rFonts w:ascii="宋体" w:hAnsi="宋体" w:cs="宋体" w:eastAsia="宋体" w:hint="default"/>
          <w:sz w:val="9"/>
          <w:szCs w:val="9"/>
        </w:rPr>
      </w:pPr>
    </w:p>
    <w:p>
      <w:pPr>
        <w:pStyle w:val="BodyText"/>
        <w:spacing w:line="274" w:lineRule="exact" w:before="36"/>
        <w:ind w:right="99"/>
        <w:jc w:val="left"/>
      </w:pPr>
      <w:r>
        <w:rPr/>
        <w:t>其他说明</w:t>
      </w:r>
    </w:p>
    <w:p>
      <w:pPr>
        <w:pStyle w:val="BodyText"/>
        <w:spacing w:line="237" w:lineRule="auto" w:before="2"/>
        <w:ind w:right="99"/>
        <w:jc w:val="left"/>
      </w:pPr>
      <w:r>
        <w:rPr/>
        <w:t>√适用</w:t>
      </w:r>
      <w:r>
        <w:rPr>
          <w:spacing w:val="-2"/>
        </w:rPr>
        <w:t> </w:t>
      </w:r>
      <w:r>
        <w:rPr/>
        <w:t>□不适用</w:t>
      </w:r>
      <w:r>
        <w:rPr>
          <w:w w:val="100"/>
        </w:rPr>
        <w:t> </w:t>
      </w:r>
      <w:r>
        <w:rPr>
          <w:spacing w:val="-2"/>
        </w:rPr>
        <w:t>预收款项为预收客户有关软件销售及维护服务收入的款项。该款项按照收入确认的会计政策应于</w:t>
      </w:r>
      <w:r>
        <w:rPr>
          <w:spacing w:val="-25"/>
        </w:rPr>
        <w:t> </w:t>
      </w:r>
      <w:r>
        <w:rPr>
          <w:spacing w:val="-25"/>
        </w:rPr>
      </w:r>
      <w:r>
        <w:rPr/>
        <w:t>以后年度确认收入。</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57" w:footer="1195" w:top="1320" w:bottom="1380" w:left="1580" w:right="1040"/>
        </w:sectPr>
      </w:pPr>
    </w:p>
    <w:p>
      <w:pPr>
        <w:pStyle w:val="Heading3"/>
        <w:spacing w:line="290" w:lineRule="auto" w:before="36"/>
        <w:ind w:right="-16"/>
        <w:jc w:val="left"/>
        <w:rPr>
          <w:b w:val="0"/>
          <w:bCs w:val="0"/>
        </w:rPr>
      </w:pPr>
      <w:r>
        <w:rPr>
          <w:rFonts w:ascii="宋体" w:hAnsi="宋体" w:cs="宋体" w:eastAsia="宋体" w:hint="default"/>
        </w:rPr>
        <w:t>37</w:t>
      </w:r>
      <w:r>
        <w:rPr/>
        <w:t>、</w:t>
      </w:r>
      <w:r>
        <w:rPr>
          <w:spacing w:val="-25"/>
        </w:rPr>
        <w:t> </w:t>
      </w:r>
      <w:r>
        <w:rPr/>
        <w:t>应付职工薪酬</w:t>
      </w:r>
      <w:r>
        <w:rPr>
          <w:w w:val="100"/>
        </w:rPr>
        <w:t> </w:t>
      </w:r>
      <w:r>
        <w:rPr>
          <w:rFonts w:ascii="宋体" w:hAnsi="宋体" w:cs="宋体" w:eastAsia="宋体" w:hint="default"/>
        </w:rPr>
        <w:t>(1).</w:t>
      </w:r>
      <w:r>
        <w:rPr/>
        <w:t>应付职工薪酬列示：</w:t>
      </w:r>
      <w:r>
        <w:rPr>
          <w:b w:val="0"/>
          <w:bCs w:val="0"/>
        </w:rPr>
      </w:r>
    </w:p>
    <w:p>
      <w:pPr>
        <w:pStyle w:val="BodyText"/>
        <w:spacing w:line="240" w:lineRule="auto" w:before="14"/>
        <w:ind w:right="-16"/>
        <w:jc w:val="left"/>
      </w:pPr>
      <w:r>
        <w:rPr/>
        <w:t>□适用 □不适用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2544" w:space="4189"/>
            <w:col w:w="2557"/>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468"/>
        <w:gridCol w:w="1452"/>
        <w:gridCol w:w="1748"/>
        <w:gridCol w:w="1765"/>
        <w:gridCol w:w="1618"/>
      </w:tblGrid>
      <w:tr>
        <w:trPr>
          <w:trHeight w:val="281" w:hRule="exact"/>
        </w:trPr>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6"/>
              <w:jc w:val="right"/>
              <w:rPr>
                <w:rFonts w:ascii="宋体" w:hAnsi="宋体" w:cs="宋体" w:eastAsia="宋体" w:hint="default"/>
                <w:sz w:val="21"/>
                <w:szCs w:val="21"/>
              </w:rPr>
            </w:pPr>
            <w:r>
              <w:rPr>
                <w:rFonts w:ascii="宋体" w:hAnsi="宋体" w:cs="宋体" w:eastAsia="宋体" w:hint="default"/>
                <w:sz w:val="21"/>
                <w:szCs w:val="21"/>
              </w:rPr>
              <w:t>项目</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99"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48"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55"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84"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283" w:hRule="exact"/>
        </w:trPr>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一、短期薪酬</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706,781,477</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3,277,398,211</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3,142,613,842</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841,565,846</w:t>
            </w:r>
          </w:p>
        </w:tc>
      </w:tr>
      <w:tr>
        <w:trPr>
          <w:trHeight w:val="555" w:hRule="exact"/>
        </w:trPr>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二、离职后福利</w:t>
            </w:r>
            <w:r>
              <w:rPr>
                <w:rFonts w:ascii="宋体" w:hAnsi="宋体" w:cs="宋体" w:eastAsia="宋体" w:hint="default"/>
                <w:sz w:val="21"/>
                <w:szCs w:val="21"/>
              </w:rPr>
              <w:t>-</w:t>
            </w:r>
            <w:r>
              <w:rPr>
                <w:rFonts w:ascii="宋体" w:hAnsi="宋体" w:cs="宋体" w:eastAsia="宋体" w:hint="default"/>
                <w:sz w:val="21"/>
                <w:szCs w:val="21"/>
              </w:rPr>
              <w:t>设定提</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存计划</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19,229,071</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319,750,077</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318,670,158</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20,308,990</w:t>
            </w:r>
          </w:p>
        </w:tc>
      </w:tr>
      <w:tr>
        <w:trPr>
          <w:trHeight w:val="283" w:hRule="exact"/>
        </w:trPr>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三、辞退福利</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138,214</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11,832,748</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11,919,409</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51,553</w:t>
            </w:r>
          </w:p>
        </w:tc>
      </w:tr>
      <w:tr>
        <w:trPr>
          <w:trHeight w:val="554" w:hRule="exact"/>
        </w:trPr>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7"/>
                <w:sz w:val="21"/>
                <w:szCs w:val="21"/>
              </w:rPr>
              <w:t>四、一年内到期的其他福</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利</w:t>
            </w:r>
          </w:p>
        </w:tc>
        <w:tc>
          <w:tcPr>
            <w:tcW w:w="1452" w:type="dxa"/>
            <w:tcBorders>
              <w:top w:val="single" w:sz="4" w:space="0" w:color="000000"/>
              <w:left w:val="single" w:sz="4" w:space="0" w:color="000000"/>
              <w:bottom w:val="single" w:sz="4" w:space="0" w:color="000000"/>
              <w:right w:val="single" w:sz="4" w:space="0" w:color="000000"/>
            </w:tcBorders>
          </w:tcPr>
          <w:p>
            <w:pPr/>
          </w:p>
        </w:tc>
        <w:tc>
          <w:tcPr>
            <w:tcW w:w="1748"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468"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748"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468"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748"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6"/>
              <w:jc w:val="right"/>
              <w:rPr>
                <w:rFonts w:ascii="宋体" w:hAnsi="宋体" w:cs="宋体" w:eastAsia="宋体" w:hint="default"/>
                <w:sz w:val="21"/>
                <w:szCs w:val="21"/>
              </w:rPr>
            </w:pPr>
            <w:r>
              <w:rPr>
                <w:rFonts w:ascii="宋体" w:hAnsi="宋体" w:cs="宋体" w:eastAsia="宋体" w:hint="default"/>
                <w:sz w:val="21"/>
                <w:szCs w:val="21"/>
              </w:rPr>
              <w:t>合计</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726,148,762</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3,608,981,036</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3,473,203,409</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861,926,389</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320" w:bottom="1380" w:left="1580" w:right="1040"/>
        </w:sectPr>
      </w:pPr>
    </w:p>
    <w:p>
      <w:pPr>
        <w:pStyle w:val="Heading3"/>
        <w:spacing w:line="240" w:lineRule="auto" w:before="36"/>
        <w:ind w:right="-16"/>
        <w:jc w:val="left"/>
        <w:rPr>
          <w:b w:val="0"/>
          <w:bCs w:val="0"/>
        </w:rPr>
      </w:pPr>
      <w:r>
        <w:rPr>
          <w:rFonts w:ascii="宋体" w:hAnsi="宋体" w:cs="宋体" w:eastAsia="宋体" w:hint="default"/>
        </w:rPr>
        <w:t>(2).</w:t>
      </w:r>
      <w:r>
        <w:rPr/>
        <w:t>短期薪酬列示：</w:t>
      </w:r>
      <w:r>
        <w:rPr>
          <w:b w:val="0"/>
          <w:bCs w:val="0"/>
        </w:rPr>
      </w:r>
    </w:p>
    <w:p>
      <w:pPr>
        <w:pStyle w:val="BodyText"/>
        <w:spacing w:line="240" w:lineRule="auto" w:before="56"/>
        <w:ind w:right="-16"/>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9"/>
          <w:szCs w:val="29"/>
        </w:rPr>
      </w:pPr>
    </w:p>
    <w:p>
      <w:pPr>
        <w:pStyle w:val="BodyText"/>
        <w:spacing w:line="240" w:lineRule="auto"/>
        <w:ind w:right="0"/>
        <w:jc w:val="left"/>
      </w:pPr>
      <w:r>
        <w:rPr/>
        <w:t>单位：元币种</w:t>
      </w:r>
      <w:r>
        <w:rPr>
          <w:rFonts w:ascii="宋体" w:hAnsi="宋体" w:cs="宋体" w:eastAsia="宋体" w:hint="default"/>
        </w:rPr>
        <w:t>:</w:t>
      </w:r>
      <w:r>
        <w:rPr/>
        <w:t>人民币</w:t>
      </w:r>
    </w:p>
    <w:p>
      <w:pPr>
        <w:spacing w:after="0" w:line="240" w:lineRule="auto"/>
        <w:jc w:val="left"/>
        <w:sectPr>
          <w:type w:val="continuous"/>
          <w:pgSz w:w="11910" w:h="16840"/>
          <w:pgMar w:top="1320" w:bottom="1380" w:left="1580" w:right="1040"/>
          <w:cols w:num="2" w:equalWidth="0">
            <w:col w:w="2122" w:space="4717"/>
            <w:col w:w="2451"/>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468"/>
        <w:gridCol w:w="1454"/>
        <w:gridCol w:w="1745"/>
        <w:gridCol w:w="1765"/>
        <w:gridCol w:w="1618"/>
      </w:tblGrid>
      <w:tr>
        <w:trPr>
          <w:trHeight w:val="283" w:hRule="exact"/>
        </w:trPr>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99"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44"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55"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84"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554" w:hRule="exact"/>
        </w:trPr>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7"/>
                <w:sz w:val="21"/>
                <w:szCs w:val="21"/>
              </w:rPr>
              <w:t>一、工资、奖金、津贴和</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补贴</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688,364,375</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2,830,390,615</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2,695,036,316</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823,718,674</w:t>
            </w:r>
          </w:p>
        </w:tc>
      </w:tr>
      <w:tr>
        <w:trPr>
          <w:trHeight w:val="283" w:hRule="exact"/>
        </w:trPr>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二、职工福利费</w:t>
            </w:r>
          </w:p>
        </w:tc>
        <w:tc>
          <w:tcPr>
            <w:tcW w:w="1454" w:type="dxa"/>
            <w:tcBorders>
              <w:top w:val="single" w:sz="4" w:space="0" w:color="000000"/>
              <w:left w:val="single" w:sz="4" w:space="0" w:color="000000"/>
              <w:bottom w:val="single" w:sz="4" w:space="0" w:color="000000"/>
              <w:right w:val="single" w:sz="4" w:space="0" w:color="000000"/>
            </w:tcBorders>
          </w:tcPr>
          <w:p>
            <w:pP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30,743,145</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30,743,145</w:t>
            </w: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三、社会保险费</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8,901,747</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154,887,199</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154,078,942</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9,710,004</w:t>
            </w:r>
          </w:p>
        </w:tc>
      </w:tr>
      <w:tr>
        <w:trPr>
          <w:trHeight w:val="283" w:hRule="exact"/>
        </w:trPr>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其中：医疗保险费</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7,950,986</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140,869,176</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140,286,682</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8,533,480</w:t>
            </w:r>
          </w:p>
        </w:tc>
      </w:tr>
      <w:tr>
        <w:trPr>
          <w:trHeight w:val="283" w:hRule="exact"/>
        </w:trPr>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工伤保险费</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302,351</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3,383,071</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3,355,215</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330,207</w:t>
            </w:r>
          </w:p>
        </w:tc>
      </w:tr>
      <w:tr>
        <w:trPr>
          <w:trHeight w:val="281" w:hRule="exact"/>
        </w:trPr>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生育保险费</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648,410</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10,634,952</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10,437,045</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846,317</w:t>
            </w:r>
          </w:p>
        </w:tc>
      </w:tr>
      <w:tr>
        <w:trPr>
          <w:trHeight w:val="283" w:hRule="exact"/>
        </w:trPr>
        <w:tc>
          <w:tcPr>
            <w:tcW w:w="2468"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1745"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468"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1745"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四、住房公积金</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1,464,684</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258,405,475</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259,667,213</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202,946</w:t>
            </w:r>
          </w:p>
        </w:tc>
      </w:tr>
      <w:tr>
        <w:trPr>
          <w:trHeight w:val="554" w:hRule="exact"/>
        </w:trPr>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7"/>
                <w:sz w:val="21"/>
                <w:szCs w:val="21"/>
              </w:rPr>
              <w:t>五、工会经费和职工教育</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经费</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4,658,044</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1,769,149</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1,717,639</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4,709,554</w:t>
            </w:r>
          </w:p>
        </w:tc>
      </w:tr>
      <w:tr>
        <w:trPr>
          <w:trHeight w:val="283" w:hRule="exact"/>
        </w:trPr>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六、短期带薪缺勤</w:t>
            </w:r>
          </w:p>
        </w:tc>
        <w:tc>
          <w:tcPr>
            <w:tcW w:w="1454" w:type="dxa"/>
            <w:tcBorders>
              <w:top w:val="single" w:sz="4" w:space="0" w:color="000000"/>
              <w:left w:val="single" w:sz="4" w:space="0" w:color="000000"/>
              <w:bottom w:val="single" w:sz="4" w:space="0" w:color="000000"/>
              <w:right w:val="single" w:sz="4" w:space="0" w:color="000000"/>
            </w:tcBorders>
          </w:tcPr>
          <w:p>
            <w:pPr/>
          </w:p>
        </w:tc>
        <w:tc>
          <w:tcPr>
            <w:tcW w:w="1745"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七、短期利润分享计划</w:t>
            </w:r>
          </w:p>
        </w:tc>
        <w:tc>
          <w:tcPr>
            <w:tcW w:w="1454" w:type="dxa"/>
            <w:tcBorders>
              <w:top w:val="single" w:sz="4" w:space="0" w:color="000000"/>
              <w:left w:val="single" w:sz="4" w:space="0" w:color="000000"/>
              <w:bottom w:val="single" w:sz="4" w:space="0" w:color="000000"/>
              <w:right w:val="single" w:sz="4" w:space="0" w:color="000000"/>
            </w:tcBorders>
          </w:tcPr>
          <w:p>
            <w:pPr/>
          </w:p>
        </w:tc>
        <w:tc>
          <w:tcPr>
            <w:tcW w:w="1745"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八、其他短期薪酬</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3,392,627</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1,202,628</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1,370,587</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3,224,668</w:t>
            </w:r>
          </w:p>
        </w:tc>
      </w:tr>
      <w:tr>
        <w:trPr>
          <w:trHeight w:val="283" w:hRule="exact"/>
        </w:trPr>
        <w:tc>
          <w:tcPr>
            <w:tcW w:w="2468"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1745"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706,781,477</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3,277,398,211</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3,142,613,842</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841,565,846</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320" w:bottom="1380" w:left="1580" w:right="1040"/>
        </w:sectPr>
      </w:pPr>
    </w:p>
    <w:p>
      <w:pPr>
        <w:pStyle w:val="Heading3"/>
        <w:spacing w:line="240" w:lineRule="auto" w:before="36"/>
        <w:ind w:right="-16"/>
        <w:jc w:val="left"/>
        <w:rPr>
          <w:b w:val="0"/>
          <w:bCs w:val="0"/>
        </w:rPr>
      </w:pPr>
      <w:r>
        <w:rPr>
          <w:rFonts w:ascii="宋体" w:hAnsi="宋体" w:cs="宋体" w:eastAsia="宋体" w:hint="default"/>
        </w:rPr>
        <w:t>(3).</w:t>
      </w:r>
      <w:r>
        <w:rPr/>
        <w:t>设定提存计划列示</w:t>
      </w:r>
      <w:r>
        <w:rPr>
          <w:b w:val="0"/>
          <w:bCs w:val="0"/>
        </w:rPr>
      </w:r>
    </w:p>
    <w:p>
      <w:pPr>
        <w:pStyle w:val="BodyText"/>
        <w:spacing w:line="240" w:lineRule="auto" w:before="56"/>
        <w:ind w:right="-16"/>
        <w:jc w:val="left"/>
      </w:pPr>
      <w:r>
        <w:rPr/>
        <w:t>□适用 □不适用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9"/>
          <w:szCs w:val="29"/>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2333" w:space="4400"/>
            <w:col w:w="2557"/>
          </w:cols>
        </w:sectPr>
      </w:pPr>
    </w:p>
    <w:p>
      <w:pPr>
        <w:spacing w:line="240" w:lineRule="auto" w:before="4"/>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2588"/>
        <w:gridCol w:w="1622"/>
        <w:gridCol w:w="1608"/>
        <w:gridCol w:w="1640"/>
        <w:gridCol w:w="1591"/>
      </w:tblGrid>
      <w:tr>
        <w:trPr>
          <w:trHeight w:val="288" w:hRule="exact"/>
        </w:trPr>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6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81"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6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76"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6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91"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5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67" w:right="0"/>
              <w:jc w:val="left"/>
              <w:rPr>
                <w:rFonts w:ascii="宋体" w:hAnsi="宋体" w:cs="宋体" w:eastAsia="宋体" w:hint="default"/>
                <w:sz w:val="21"/>
                <w:szCs w:val="21"/>
              </w:rPr>
            </w:pPr>
            <w:r>
              <w:rPr>
                <w:rFonts w:ascii="宋体" w:hAnsi="宋体" w:cs="宋体" w:eastAsia="宋体" w:hint="default"/>
                <w:sz w:val="21"/>
                <w:szCs w:val="21"/>
              </w:rPr>
              <w:t>期末余额</w:t>
            </w:r>
          </w:p>
        </w:tc>
      </w:tr>
    </w:tbl>
    <w:p>
      <w:pPr>
        <w:spacing w:after="0" w:line="241" w:lineRule="exact"/>
        <w:jc w:val="left"/>
        <w:rPr>
          <w:rFonts w:ascii="宋体" w:hAnsi="宋体" w:cs="宋体" w:eastAsia="宋体" w:hint="default"/>
          <w:sz w:val="21"/>
          <w:szCs w:val="21"/>
        </w:rPr>
        <w:sectPr>
          <w:type w:val="continuous"/>
          <w:pgSz w:w="11910" w:h="16840"/>
          <w:pgMar w:top="1320" w:bottom="1380" w:left="1580" w:right="1040"/>
        </w:sectPr>
      </w:pPr>
    </w:p>
    <w:p>
      <w:pPr>
        <w:spacing w:line="240" w:lineRule="auto" w:before="6"/>
        <w:rPr>
          <w:rFonts w:ascii="宋体" w:hAnsi="宋体" w:cs="宋体" w:eastAsia="宋体" w:hint="default"/>
          <w:sz w:val="14"/>
          <w:szCs w:val="14"/>
        </w:rPr>
      </w:pPr>
    </w:p>
    <w:tbl>
      <w:tblPr>
        <w:tblW w:w="0" w:type="auto"/>
        <w:jc w:val="left"/>
        <w:tblInd w:w="102" w:type="dxa"/>
        <w:tblLayout w:type="fixed"/>
        <w:tblCellMar>
          <w:top w:w="0" w:type="dxa"/>
          <w:left w:w="0" w:type="dxa"/>
          <w:bottom w:w="0" w:type="dxa"/>
          <w:right w:w="0" w:type="dxa"/>
        </w:tblCellMar>
        <w:tblLook w:val="01E0"/>
      </w:tblPr>
      <w:tblGrid>
        <w:gridCol w:w="2588"/>
        <w:gridCol w:w="1622"/>
        <w:gridCol w:w="1608"/>
        <w:gridCol w:w="1640"/>
        <w:gridCol w:w="1591"/>
      </w:tblGrid>
      <w:tr>
        <w:trPr>
          <w:trHeight w:val="288" w:hRule="exact"/>
        </w:trPr>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100"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、基本养老保险</w:t>
            </w:r>
          </w:p>
        </w:tc>
        <w:tc>
          <w:tcPr>
            <w:tcW w:w="1622" w:type="dxa"/>
            <w:tcBorders>
              <w:top w:val="single" w:sz="4" w:space="0" w:color="000000"/>
              <w:left w:val="single" w:sz="6" w:space="0" w:color="000000"/>
              <w:bottom w:val="single" w:sz="4" w:space="0" w:color="000000"/>
              <w:right w:val="single" w:sz="4" w:space="0" w:color="000000"/>
            </w:tcBorders>
          </w:tcPr>
          <w:p>
            <w:pPr>
              <w:pStyle w:val="TableParagraph"/>
              <w:spacing w:line="246" w:lineRule="exact"/>
              <w:ind w:right="101"/>
              <w:jc w:val="right"/>
              <w:rPr>
                <w:rFonts w:ascii="宋体" w:hAnsi="宋体" w:cs="宋体" w:eastAsia="宋体" w:hint="default"/>
                <w:sz w:val="21"/>
                <w:szCs w:val="21"/>
              </w:rPr>
            </w:pPr>
            <w:r>
              <w:rPr>
                <w:rFonts w:ascii="宋体"/>
                <w:spacing w:val="-1"/>
                <w:sz w:val="21"/>
              </w:rPr>
              <w:t>18,316,572</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99"/>
              <w:jc w:val="right"/>
              <w:rPr>
                <w:rFonts w:ascii="宋体" w:hAnsi="宋体" w:cs="宋体" w:eastAsia="宋体" w:hint="default"/>
                <w:sz w:val="21"/>
                <w:szCs w:val="21"/>
              </w:rPr>
            </w:pPr>
            <w:r>
              <w:rPr>
                <w:rFonts w:ascii="宋体"/>
                <w:spacing w:val="-1"/>
                <w:sz w:val="21"/>
              </w:rPr>
              <w:t>308,050,961</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99"/>
              <w:jc w:val="right"/>
              <w:rPr>
                <w:rFonts w:ascii="宋体" w:hAnsi="宋体" w:cs="宋体" w:eastAsia="宋体" w:hint="default"/>
                <w:sz w:val="21"/>
                <w:szCs w:val="21"/>
              </w:rPr>
            </w:pPr>
            <w:r>
              <w:rPr>
                <w:rFonts w:ascii="宋体"/>
                <w:spacing w:val="-1"/>
                <w:sz w:val="21"/>
              </w:rPr>
              <w:t>306,876,765</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98"/>
              <w:jc w:val="right"/>
              <w:rPr>
                <w:rFonts w:ascii="宋体" w:hAnsi="宋体" w:cs="宋体" w:eastAsia="宋体" w:hint="default"/>
                <w:sz w:val="21"/>
                <w:szCs w:val="21"/>
              </w:rPr>
            </w:pPr>
            <w:r>
              <w:rPr>
                <w:rFonts w:ascii="宋体"/>
                <w:spacing w:val="-1"/>
                <w:sz w:val="21"/>
              </w:rPr>
              <w:t>19,490,768</w:t>
            </w:r>
          </w:p>
        </w:tc>
      </w:tr>
      <w:tr>
        <w:trPr>
          <w:trHeight w:val="288" w:hRule="exact"/>
        </w:trPr>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、失业保险费</w:t>
            </w:r>
          </w:p>
        </w:tc>
        <w:tc>
          <w:tcPr>
            <w:tcW w:w="1622" w:type="dxa"/>
            <w:tcBorders>
              <w:top w:val="single" w:sz="4" w:space="0" w:color="000000"/>
              <w:left w:val="single" w:sz="6"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912,499</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11,699,116</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11,793,393</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818,222</w:t>
            </w:r>
          </w:p>
        </w:tc>
      </w:tr>
      <w:tr>
        <w:trPr>
          <w:trHeight w:val="288" w:hRule="exact"/>
        </w:trPr>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、企业年金缴费</w:t>
            </w:r>
          </w:p>
        </w:tc>
        <w:tc>
          <w:tcPr>
            <w:tcW w:w="1622" w:type="dxa"/>
            <w:tcBorders>
              <w:top w:val="single" w:sz="4" w:space="0" w:color="000000"/>
              <w:left w:val="single" w:sz="6" w:space="0" w:color="000000"/>
              <w:bottom w:val="single" w:sz="4" w:space="0" w:color="000000"/>
              <w:right w:val="single" w:sz="4" w:space="0" w:color="000000"/>
            </w:tcBorders>
          </w:tcPr>
          <w:p>
            <w:pPr/>
          </w:p>
        </w:tc>
        <w:tc>
          <w:tcPr>
            <w:tcW w:w="1608"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591"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2588" w:type="dxa"/>
            <w:tcBorders>
              <w:top w:val="single" w:sz="6" w:space="0" w:color="000000"/>
              <w:left w:val="single" w:sz="6" w:space="0" w:color="000000"/>
              <w:bottom w:val="single" w:sz="6" w:space="0" w:color="000000"/>
              <w:right w:val="single" w:sz="6" w:space="0" w:color="000000"/>
            </w:tcBorders>
          </w:tcPr>
          <w:p>
            <w:pPr/>
          </w:p>
        </w:tc>
        <w:tc>
          <w:tcPr>
            <w:tcW w:w="1622" w:type="dxa"/>
            <w:tcBorders>
              <w:top w:val="single" w:sz="4" w:space="0" w:color="000000"/>
              <w:left w:val="single" w:sz="6" w:space="0" w:color="000000"/>
              <w:bottom w:val="single" w:sz="4" w:space="0" w:color="000000"/>
              <w:right w:val="single" w:sz="4" w:space="0" w:color="000000"/>
            </w:tcBorders>
          </w:tcPr>
          <w:p>
            <w:pPr/>
          </w:p>
        </w:tc>
        <w:tc>
          <w:tcPr>
            <w:tcW w:w="1608"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591" w:type="dxa"/>
            <w:tcBorders>
              <w:top w:val="single" w:sz="4" w:space="0" w:color="000000"/>
              <w:left w:val="single" w:sz="4" w:space="0" w:color="000000"/>
              <w:bottom w:val="single" w:sz="4" w:space="0" w:color="000000"/>
              <w:right w:val="single" w:sz="4" w:space="0" w:color="000000"/>
            </w:tcBorders>
          </w:tcPr>
          <w:p>
            <w:pPr/>
          </w:p>
        </w:tc>
      </w:tr>
      <w:tr>
        <w:trPr>
          <w:trHeight w:val="288" w:hRule="exact"/>
        </w:trPr>
        <w:tc>
          <w:tcPr>
            <w:tcW w:w="2588" w:type="dxa"/>
            <w:tcBorders>
              <w:top w:val="single" w:sz="6" w:space="0" w:color="000000"/>
              <w:left w:val="single" w:sz="6" w:space="0" w:color="000000"/>
              <w:bottom w:val="single" w:sz="6" w:space="0" w:color="000000"/>
              <w:right w:val="single" w:sz="6" w:space="0" w:color="000000"/>
            </w:tcBorders>
          </w:tcPr>
          <w:p>
            <w:pPr/>
          </w:p>
        </w:tc>
        <w:tc>
          <w:tcPr>
            <w:tcW w:w="1622" w:type="dxa"/>
            <w:tcBorders>
              <w:top w:val="single" w:sz="4" w:space="0" w:color="000000"/>
              <w:left w:val="single" w:sz="6" w:space="0" w:color="000000"/>
              <w:bottom w:val="single" w:sz="4" w:space="0" w:color="000000"/>
              <w:right w:val="single" w:sz="4" w:space="0" w:color="000000"/>
            </w:tcBorders>
          </w:tcPr>
          <w:p>
            <w:pPr/>
          </w:p>
        </w:tc>
        <w:tc>
          <w:tcPr>
            <w:tcW w:w="1608"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591" w:type="dxa"/>
            <w:tcBorders>
              <w:top w:val="single" w:sz="4" w:space="0" w:color="000000"/>
              <w:left w:val="single" w:sz="4" w:space="0" w:color="000000"/>
              <w:bottom w:val="single" w:sz="4" w:space="0" w:color="000000"/>
              <w:right w:val="single" w:sz="4" w:space="0" w:color="000000"/>
            </w:tcBorders>
          </w:tcPr>
          <w:p>
            <w:pPr/>
          </w:p>
        </w:tc>
      </w:tr>
      <w:tr>
        <w:trPr>
          <w:trHeight w:val="288" w:hRule="exact"/>
        </w:trPr>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22" w:type="dxa"/>
            <w:tcBorders>
              <w:top w:val="single" w:sz="4" w:space="0" w:color="000000"/>
              <w:left w:val="single" w:sz="6"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19,229,071</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319,750,077</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318,670,158</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20,308,990</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BodyText"/>
        <w:spacing w:line="273" w:lineRule="exact" w:before="36"/>
        <w:ind w:right="99"/>
        <w:jc w:val="left"/>
      </w:pPr>
      <w:r>
        <w:rPr/>
        <w:t>其他说明：</w:t>
      </w:r>
    </w:p>
    <w:p>
      <w:pPr>
        <w:pStyle w:val="BodyText"/>
        <w:spacing w:line="273" w:lineRule="exact"/>
        <w:ind w:right="99"/>
        <w:jc w:val="left"/>
      </w:pPr>
      <w:r>
        <w:rPr/>
        <w:t>□适用</w:t>
      </w:r>
      <w:r>
        <w:rPr>
          <w:spacing w:val="-1"/>
        </w:rPr>
        <w:t> </w:t>
      </w:r>
      <w:r>
        <w:rPr/>
        <w:t>√不适用</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57" w:footer="1195" w:top="1320" w:bottom="1380" w:left="1580" w:right="1040"/>
        </w:sectPr>
      </w:pPr>
    </w:p>
    <w:p>
      <w:pPr>
        <w:pStyle w:val="Heading3"/>
        <w:spacing w:line="240" w:lineRule="auto" w:before="36"/>
        <w:ind w:right="-18"/>
        <w:jc w:val="left"/>
        <w:rPr>
          <w:b w:val="0"/>
          <w:bCs w:val="0"/>
        </w:rPr>
      </w:pPr>
      <w:r>
        <w:rPr>
          <w:rFonts w:ascii="宋体" w:hAnsi="宋体" w:cs="宋体" w:eastAsia="宋体" w:hint="default"/>
        </w:rPr>
        <w:t>38</w:t>
      </w:r>
      <w:r>
        <w:rPr/>
        <w:t>、</w:t>
      </w:r>
      <w:r>
        <w:rPr>
          <w:spacing w:val="-25"/>
        </w:rPr>
        <w:t> </w:t>
      </w:r>
      <w:r>
        <w:rPr/>
        <w:t>应交税费</w:t>
      </w:r>
      <w:r>
        <w:rPr>
          <w:b w:val="0"/>
          <w:bCs w:val="0"/>
        </w:rPr>
      </w:r>
    </w:p>
    <w:p>
      <w:pPr>
        <w:pStyle w:val="BodyText"/>
        <w:spacing w:line="240" w:lineRule="auto" w:before="58"/>
        <w:ind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1795" w:space="4938"/>
            <w:col w:w="2557"/>
          </w:cols>
        </w:sectPr>
      </w:pPr>
    </w:p>
    <w:p>
      <w:pPr>
        <w:spacing w:line="240" w:lineRule="auto" w:before="7"/>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2981"/>
        <w:gridCol w:w="2955"/>
        <w:gridCol w:w="2960"/>
      </w:tblGrid>
      <w:tr>
        <w:trPr>
          <w:trHeight w:val="281" w:hRule="exact"/>
        </w:trPr>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325"/>
              <w:jc w:val="right"/>
              <w:rPr>
                <w:rFonts w:ascii="宋体" w:hAnsi="宋体" w:cs="宋体" w:eastAsia="宋体" w:hint="default"/>
                <w:sz w:val="21"/>
                <w:szCs w:val="21"/>
              </w:rPr>
            </w:pPr>
            <w:r>
              <w:rPr>
                <w:rFonts w:ascii="宋体" w:hAnsi="宋体" w:cs="宋体" w:eastAsia="宋体" w:hint="default"/>
                <w:sz w:val="21"/>
                <w:szCs w:val="21"/>
              </w:rPr>
              <w:t>项目</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83" w:hRule="exact"/>
        </w:trPr>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160,016,568</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169,862,584</w:t>
            </w:r>
          </w:p>
        </w:tc>
      </w:tr>
      <w:tr>
        <w:trPr>
          <w:trHeight w:val="283" w:hRule="exact"/>
        </w:trPr>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消费税</w:t>
            </w:r>
          </w:p>
        </w:tc>
        <w:tc>
          <w:tcPr>
            <w:tcW w:w="2955" w:type="dxa"/>
            <w:tcBorders>
              <w:top w:val="single" w:sz="4" w:space="0" w:color="000000"/>
              <w:left w:val="single" w:sz="4" w:space="0" w:color="000000"/>
              <w:bottom w:val="single" w:sz="4" w:space="0" w:color="000000"/>
              <w:right w:val="single" w:sz="4" w:space="0" w:color="000000"/>
            </w:tcBorders>
          </w:tcPr>
          <w:p>
            <w:pPr/>
          </w:p>
        </w:tc>
        <w:tc>
          <w:tcPr>
            <w:tcW w:w="2960"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12,240,642</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12,240,642</w:t>
            </w:r>
          </w:p>
        </w:tc>
      </w:tr>
      <w:tr>
        <w:trPr>
          <w:trHeight w:val="283" w:hRule="exact"/>
        </w:trPr>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116,813,536</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61,793,463</w:t>
            </w:r>
          </w:p>
        </w:tc>
      </w:tr>
      <w:tr>
        <w:trPr>
          <w:trHeight w:val="283" w:hRule="exact"/>
        </w:trPr>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17,746,488</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15,153,626</w:t>
            </w:r>
          </w:p>
        </w:tc>
      </w:tr>
      <w:tr>
        <w:trPr>
          <w:trHeight w:val="281" w:hRule="exact"/>
        </w:trPr>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22,287,528</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20,022,721</w:t>
            </w:r>
          </w:p>
        </w:tc>
      </w:tr>
      <w:tr>
        <w:trPr>
          <w:trHeight w:val="283" w:hRule="exact"/>
        </w:trPr>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2,193,727</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1,896,245</w:t>
            </w:r>
          </w:p>
        </w:tc>
      </w:tr>
      <w:tr>
        <w:trPr>
          <w:trHeight w:val="283" w:hRule="exact"/>
        </w:trPr>
        <w:tc>
          <w:tcPr>
            <w:tcW w:w="2981" w:type="dxa"/>
            <w:tcBorders>
              <w:top w:val="single" w:sz="4" w:space="0" w:color="000000"/>
              <w:left w:val="single" w:sz="4" w:space="0" w:color="000000"/>
              <w:bottom w:val="single" w:sz="4" w:space="0" w:color="000000"/>
              <w:right w:val="single" w:sz="4" w:space="0" w:color="000000"/>
            </w:tcBorders>
          </w:tcPr>
          <w:p>
            <w:pPr/>
          </w:p>
        </w:tc>
        <w:tc>
          <w:tcPr>
            <w:tcW w:w="2955" w:type="dxa"/>
            <w:tcBorders>
              <w:top w:val="single" w:sz="4" w:space="0" w:color="000000"/>
              <w:left w:val="single" w:sz="4" w:space="0" w:color="000000"/>
              <w:bottom w:val="single" w:sz="4" w:space="0" w:color="000000"/>
              <w:right w:val="single" w:sz="4" w:space="0" w:color="000000"/>
            </w:tcBorders>
          </w:tcPr>
          <w:p>
            <w:pPr/>
          </w:p>
        </w:tc>
        <w:tc>
          <w:tcPr>
            <w:tcW w:w="2960"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325"/>
              <w:jc w:val="right"/>
              <w:rPr>
                <w:rFonts w:ascii="宋体" w:hAnsi="宋体" w:cs="宋体" w:eastAsia="宋体" w:hint="default"/>
                <w:sz w:val="21"/>
                <w:szCs w:val="21"/>
              </w:rPr>
            </w:pPr>
            <w:r>
              <w:rPr>
                <w:rFonts w:ascii="宋体" w:hAnsi="宋体" w:cs="宋体" w:eastAsia="宋体" w:hint="default"/>
                <w:sz w:val="21"/>
                <w:szCs w:val="21"/>
              </w:rPr>
              <w:t>合计</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331,298,489</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280,969,281</w:t>
            </w:r>
          </w:p>
        </w:tc>
      </w:tr>
    </w:tbl>
    <w:p>
      <w:pPr>
        <w:spacing w:line="240" w:lineRule="auto" w:before="2"/>
        <w:rPr>
          <w:rFonts w:ascii="宋体" w:hAnsi="宋体" w:cs="宋体" w:eastAsia="宋体" w:hint="default"/>
          <w:sz w:val="20"/>
          <w:szCs w:val="20"/>
        </w:rPr>
      </w:pPr>
    </w:p>
    <w:p>
      <w:pPr>
        <w:pStyle w:val="Heading3"/>
        <w:spacing w:line="240" w:lineRule="auto" w:before="36"/>
        <w:ind w:right="99"/>
        <w:jc w:val="left"/>
        <w:rPr>
          <w:b w:val="0"/>
          <w:bCs w:val="0"/>
        </w:rPr>
      </w:pPr>
      <w:r>
        <w:rPr>
          <w:rFonts w:ascii="宋体" w:hAnsi="宋体" w:cs="宋体" w:eastAsia="宋体" w:hint="default"/>
        </w:rPr>
        <w:t>39</w:t>
      </w:r>
      <w:r>
        <w:rPr/>
        <w:t>、</w:t>
      </w:r>
      <w:r>
        <w:rPr>
          <w:spacing w:val="-25"/>
        </w:rPr>
        <w:t> </w:t>
      </w:r>
      <w:r>
        <w:rPr/>
        <w:t>应付利息</w:t>
      </w:r>
      <w:r>
        <w:rPr>
          <w:b w:val="0"/>
          <w:bCs w:val="0"/>
        </w:rPr>
      </w:r>
    </w:p>
    <w:p>
      <w:pPr>
        <w:pStyle w:val="BodyText"/>
        <w:spacing w:line="240" w:lineRule="auto" w:before="56"/>
        <w:ind w:right="5042"/>
        <w:jc w:val="left"/>
      </w:pPr>
      <w:r>
        <w:rPr/>
        <w:t>□适用</w:t>
      </w:r>
      <w:r>
        <w:rPr>
          <w:spacing w:val="-2"/>
        </w:rPr>
        <w:t> </w:t>
      </w:r>
      <w:r>
        <w:rPr/>
        <w:t>√不适用</w:t>
      </w:r>
      <w:r>
        <w:rPr>
          <w:w w:val="100"/>
        </w:rPr>
        <w:t> </w:t>
      </w:r>
      <w:r>
        <w:rPr>
          <w:spacing w:val="-2"/>
        </w:rPr>
        <w:t>重要的已逾期未支付的利息情况：</w:t>
      </w:r>
    </w:p>
    <w:p>
      <w:pPr>
        <w:pStyle w:val="BodyText"/>
        <w:spacing w:line="290" w:lineRule="auto"/>
        <w:ind w:right="7474"/>
        <w:jc w:val="left"/>
      </w:pPr>
      <w:r>
        <w:rPr/>
        <w:t>□适用</w:t>
      </w:r>
      <w:r>
        <w:rPr>
          <w:spacing w:val="-1"/>
        </w:rPr>
        <w:t> </w:t>
      </w:r>
      <w:r>
        <w:rPr/>
        <w:t>√不适用</w:t>
      </w:r>
      <w:r>
        <w:rPr>
          <w:w w:val="100"/>
        </w:rPr>
        <w:t> </w:t>
      </w:r>
      <w:r>
        <w:rPr/>
        <w:t>其他说明：</w:t>
      </w:r>
    </w:p>
    <w:p>
      <w:pPr>
        <w:pStyle w:val="BodyText"/>
        <w:spacing w:line="240" w:lineRule="auto" w:before="12"/>
        <w:ind w:right="99"/>
        <w:jc w:val="left"/>
      </w:pPr>
      <w:r>
        <w:rPr/>
        <w:t>□适用</w:t>
      </w:r>
      <w:r>
        <w:rPr>
          <w:spacing w:val="-1"/>
        </w:rPr>
        <w:t> </w:t>
      </w:r>
      <w:r>
        <w:rPr/>
        <w:t>√不适用</w:t>
      </w:r>
    </w:p>
    <w:p>
      <w:pPr>
        <w:spacing w:line="240" w:lineRule="auto" w:before="0"/>
        <w:rPr>
          <w:rFonts w:ascii="宋体" w:hAnsi="宋体" w:cs="宋体" w:eastAsia="宋体" w:hint="default"/>
          <w:sz w:val="27"/>
          <w:szCs w:val="27"/>
        </w:rPr>
      </w:pPr>
    </w:p>
    <w:p>
      <w:pPr>
        <w:spacing w:after="0" w:line="240" w:lineRule="auto"/>
        <w:rPr>
          <w:rFonts w:ascii="宋体" w:hAnsi="宋体" w:cs="宋体" w:eastAsia="宋体" w:hint="default"/>
          <w:sz w:val="27"/>
          <w:szCs w:val="27"/>
        </w:rPr>
        <w:sectPr>
          <w:type w:val="continuous"/>
          <w:pgSz w:w="11910" w:h="16840"/>
          <w:pgMar w:top="1320" w:bottom="1380" w:left="1580" w:right="1040"/>
        </w:sectPr>
      </w:pPr>
    </w:p>
    <w:p>
      <w:pPr>
        <w:pStyle w:val="Heading3"/>
        <w:spacing w:line="240" w:lineRule="auto" w:before="36"/>
        <w:ind w:right="-18"/>
        <w:jc w:val="left"/>
        <w:rPr>
          <w:b w:val="0"/>
          <w:bCs w:val="0"/>
        </w:rPr>
      </w:pPr>
      <w:r>
        <w:rPr>
          <w:rFonts w:ascii="宋体" w:hAnsi="宋体" w:cs="宋体" w:eastAsia="宋体" w:hint="default"/>
        </w:rPr>
        <w:t>40</w:t>
      </w:r>
      <w:r>
        <w:rPr/>
        <w:t>、</w:t>
      </w:r>
      <w:r>
        <w:rPr>
          <w:spacing w:val="-25"/>
        </w:rPr>
        <w:t> </w:t>
      </w:r>
      <w:r>
        <w:rPr/>
        <w:t>应付股利</w:t>
      </w:r>
      <w:r>
        <w:rPr>
          <w:b w:val="0"/>
          <w:bCs w:val="0"/>
        </w:rPr>
      </w:r>
    </w:p>
    <w:p>
      <w:pPr>
        <w:pStyle w:val="BodyText"/>
        <w:spacing w:line="240" w:lineRule="auto" w:before="59"/>
        <w:ind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9"/>
          <w:szCs w:val="29"/>
        </w:rPr>
      </w:pPr>
    </w:p>
    <w:p>
      <w:pPr>
        <w:pStyle w:val="BodyText"/>
        <w:tabs>
          <w:tab w:pos="1269" w:val="left" w:leader="none"/>
        </w:tabs>
        <w:spacing w:line="240" w:lineRule="auto"/>
        <w:ind w:right="0"/>
        <w:jc w:val="left"/>
      </w:pPr>
      <w:r>
        <w:rPr>
          <w:spacing w:val="-1"/>
        </w:rPr>
        <w:t>单位：元</w:t>
        <w:tab/>
      </w:r>
      <w:r>
        <w:rPr>
          <w:spacing w:val="-2"/>
        </w:rPr>
        <w:t>币种：人民币</w:t>
      </w:r>
    </w:p>
    <w:p>
      <w:pPr>
        <w:spacing w:after="0" w:line="240" w:lineRule="auto"/>
        <w:jc w:val="left"/>
        <w:sectPr>
          <w:type w:val="continuous"/>
          <w:pgSz w:w="11910" w:h="16840"/>
          <w:pgMar w:top="1320" w:bottom="1380" w:left="1580" w:right="1040"/>
          <w:cols w:num="2" w:equalWidth="0">
            <w:col w:w="1795" w:space="4726"/>
            <w:col w:w="2769"/>
          </w:cols>
        </w:sectPr>
      </w:pPr>
    </w:p>
    <w:p>
      <w:pPr>
        <w:pStyle w:val="BodyText"/>
        <w:spacing w:line="272" w:lineRule="exact"/>
        <w:ind w:right="99"/>
        <w:jc w:val="left"/>
      </w:pPr>
      <w:r>
        <w:rPr/>
        <w:t>其他说明，包括重要的超过</w:t>
      </w:r>
      <w:r>
        <w:rPr>
          <w:spacing w:val="-55"/>
        </w:rPr>
        <w:t> </w:t>
      </w:r>
      <w:r>
        <w:rPr>
          <w:rFonts w:ascii="宋体" w:hAnsi="宋体" w:cs="宋体" w:eastAsia="宋体" w:hint="default"/>
        </w:rPr>
        <w:t>1</w:t>
      </w:r>
      <w:r>
        <w:rPr>
          <w:rFonts w:ascii="宋体" w:hAnsi="宋体" w:cs="宋体" w:eastAsia="宋体" w:hint="default"/>
          <w:spacing w:val="-55"/>
        </w:rPr>
        <w:t> </w:t>
      </w:r>
      <w:r>
        <w:rPr/>
        <w:t>年未支付的应付股利，应披露未支付原因：</w:t>
      </w:r>
    </w:p>
    <w:p>
      <w:pPr>
        <w:pStyle w:val="BodyText"/>
        <w:spacing w:line="272" w:lineRule="exact"/>
        <w:ind w:right="99"/>
        <w:jc w:val="left"/>
      </w:pPr>
      <w:r>
        <w:rPr/>
        <w:t>于</w:t>
      </w:r>
      <w:r>
        <w:rPr>
          <w:spacing w:val="-53"/>
        </w:rPr>
        <w:t> </w:t>
      </w:r>
      <w:r>
        <w:rPr>
          <w:rFonts w:ascii="宋体" w:hAnsi="宋体" w:cs="宋体" w:eastAsia="宋体" w:hint="default"/>
        </w:rPr>
        <w:t>2017</w:t>
      </w:r>
      <w:r>
        <w:rPr>
          <w:rFonts w:ascii="宋体" w:hAnsi="宋体" w:cs="宋体" w:eastAsia="宋体" w:hint="default"/>
          <w:spacing w:val="-53"/>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日和</w:t>
      </w:r>
      <w:r>
        <w:rPr>
          <w:spacing w:val="-54"/>
        </w:rPr>
        <w:t> </w:t>
      </w:r>
      <w:r>
        <w:rPr>
          <w:rFonts w:ascii="宋体" w:hAnsi="宋体" w:cs="宋体" w:eastAsia="宋体" w:hint="default"/>
        </w:rPr>
        <w:t>2016</w:t>
      </w:r>
      <w:r>
        <w:rPr>
          <w:rFonts w:ascii="宋体" w:hAnsi="宋体" w:cs="宋体" w:eastAsia="宋体" w:hint="default"/>
          <w:spacing w:val="-53"/>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日，应付股利主要为用友政务向少数股东支付的现金股</w:t>
      </w:r>
    </w:p>
    <w:p>
      <w:pPr>
        <w:pStyle w:val="BodyText"/>
        <w:spacing w:line="274" w:lineRule="exact"/>
        <w:ind w:right="99"/>
        <w:jc w:val="left"/>
      </w:pPr>
      <w:r>
        <w:rPr/>
        <w:t>利人民币</w:t>
      </w:r>
      <w:r>
        <w:rPr>
          <w:spacing w:val="-52"/>
        </w:rPr>
        <w:t> </w:t>
      </w:r>
      <w:r>
        <w:rPr>
          <w:rFonts w:ascii="宋体" w:hAnsi="宋体" w:cs="宋体" w:eastAsia="宋体" w:hint="default"/>
        </w:rPr>
        <w:t>312,500</w:t>
      </w:r>
      <w:r>
        <w:rPr>
          <w:rFonts w:ascii="宋体" w:hAnsi="宋体" w:cs="宋体" w:eastAsia="宋体" w:hint="default"/>
          <w:spacing w:val="-52"/>
        </w:rPr>
        <w:t> </w:t>
      </w:r>
      <w:r>
        <w:rPr>
          <w:spacing w:val="-3"/>
        </w:rPr>
        <w:t>元。</w:t>
      </w:r>
      <w:r>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320" w:bottom="1380" w:left="1580" w:right="1040"/>
        </w:sectPr>
      </w:pPr>
    </w:p>
    <w:p>
      <w:pPr>
        <w:pStyle w:val="Heading3"/>
        <w:spacing w:line="240" w:lineRule="auto" w:before="36"/>
        <w:ind w:right="-18"/>
        <w:jc w:val="left"/>
        <w:rPr>
          <w:b w:val="0"/>
          <w:bCs w:val="0"/>
        </w:rPr>
      </w:pPr>
      <w:r>
        <w:rPr>
          <w:rFonts w:ascii="宋体" w:hAnsi="宋体" w:cs="宋体" w:eastAsia="宋体" w:hint="default"/>
        </w:rPr>
        <w:t>41</w:t>
      </w:r>
      <w:r>
        <w:rPr/>
        <w:t>、</w:t>
      </w:r>
      <w:r>
        <w:rPr>
          <w:spacing w:val="-25"/>
        </w:rPr>
        <w:t> </w:t>
      </w:r>
      <w:r>
        <w:rPr/>
        <w:t>其他应付款</w:t>
      </w:r>
      <w:r>
        <w:rPr>
          <w:b w:val="0"/>
          <w:bCs w:val="0"/>
        </w:rPr>
      </w:r>
    </w:p>
    <w:p>
      <w:pPr>
        <w:pStyle w:val="Heading3"/>
        <w:spacing w:line="240" w:lineRule="auto" w:before="58"/>
        <w:ind w:right="-18"/>
        <w:jc w:val="left"/>
        <w:rPr>
          <w:b w:val="0"/>
          <w:bCs w:val="0"/>
        </w:rPr>
      </w:pPr>
      <w:r>
        <w:rPr>
          <w:rFonts w:ascii="宋体" w:hAnsi="宋体" w:cs="宋体" w:eastAsia="宋体" w:hint="default"/>
        </w:rPr>
        <w:t>(1).</w:t>
      </w:r>
      <w:r>
        <w:rPr>
          <w:rFonts w:ascii="宋体" w:hAnsi="宋体" w:cs="宋体" w:eastAsia="宋体" w:hint="default"/>
          <w:spacing w:val="-4"/>
        </w:rPr>
        <w:t> </w:t>
      </w:r>
      <w:r>
        <w:rPr/>
        <w:t>按款项性质列示其他应付款</w:t>
      </w:r>
      <w:r>
        <w:rPr>
          <w:b w:val="0"/>
          <w:bCs w:val="0"/>
        </w:rPr>
      </w:r>
    </w:p>
    <w:p>
      <w:pPr>
        <w:pStyle w:val="BodyText"/>
        <w:spacing w:line="240" w:lineRule="auto" w:before="56"/>
        <w:ind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3276" w:space="3457"/>
            <w:col w:w="2557"/>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924"/>
        <w:gridCol w:w="3000"/>
        <w:gridCol w:w="3125"/>
      </w:tblGrid>
      <w:tr>
        <w:trPr>
          <w:trHeight w:val="284"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81"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备付金款项</w:t>
            </w:r>
            <w:r>
              <w:rPr>
                <w:rFonts w:ascii="宋体" w:hAnsi="宋体" w:cs="宋体" w:eastAsia="宋体" w:hint="default"/>
                <w:sz w:val="21"/>
                <w:szCs w:val="21"/>
              </w:rPr>
              <w:t>(</w:t>
            </w: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1)</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135,005,931</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275,899,351</w:t>
            </w:r>
          </w:p>
        </w:tc>
      </w:tr>
      <w:tr>
        <w:trPr>
          <w:trHeight w:val="283"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应付软件园建设款</w:t>
            </w:r>
            <w:r>
              <w:rPr>
                <w:rFonts w:ascii="宋体" w:hAnsi="宋体" w:cs="宋体" w:eastAsia="宋体" w:hint="default"/>
                <w:sz w:val="21"/>
                <w:szCs w:val="21"/>
              </w:rPr>
              <w:t>(</w:t>
            </w:r>
            <w:r>
              <w:rPr>
                <w:rFonts w:ascii="宋体" w:hAnsi="宋体" w:cs="宋体" w:eastAsia="宋体" w:hint="default"/>
                <w:sz w:val="21"/>
                <w:szCs w:val="21"/>
              </w:rPr>
              <w:t>注</w:t>
            </w:r>
            <w:r>
              <w:rPr>
                <w:rFonts w:ascii="宋体" w:hAnsi="宋体" w:cs="宋体" w:eastAsia="宋体" w:hint="default"/>
                <w:spacing w:val="-53"/>
                <w:sz w:val="21"/>
                <w:szCs w:val="21"/>
              </w:rPr>
              <w:t> </w:t>
            </w:r>
            <w:r>
              <w:rPr>
                <w:rFonts w:ascii="宋体" w:hAnsi="宋体" w:cs="宋体" w:eastAsia="宋体" w:hint="default"/>
                <w:sz w:val="21"/>
                <w:szCs w:val="21"/>
              </w:rPr>
              <w:t>2)</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190,467,120</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142,740,820</w:t>
            </w:r>
          </w:p>
        </w:tc>
      </w:tr>
    </w:tbl>
    <w:p>
      <w:pPr>
        <w:spacing w:after="0" w:line="241" w:lineRule="exact"/>
        <w:jc w:val="right"/>
        <w:rPr>
          <w:rFonts w:ascii="宋体" w:hAnsi="宋体" w:cs="宋体" w:eastAsia="宋体" w:hint="default"/>
          <w:sz w:val="21"/>
          <w:szCs w:val="21"/>
        </w:rPr>
        <w:sectPr>
          <w:type w:val="continuous"/>
          <w:pgSz w:w="11910" w:h="16840"/>
          <w:pgMar w:top="1320" w:bottom="1380" w:left="1580" w:right="1040"/>
        </w:sectPr>
      </w:pPr>
    </w:p>
    <w:p>
      <w:pPr>
        <w:spacing w:line="240" w:lineRule="auto" w:before="6"/>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2924"/>
        <w:gridCol w:w="3000"/>
        <w:gridCol w:w="3125"/>
      </w:tblGrid>
      <w:tr>
        <w:trPr>
          <w:trHeight w:val="284"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押金</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8"/>
              <w:jc w:val="right"/>
              <w:rPr>
                <w:rFonts w:ascii="宋体" w:hAnsi="宋体" w:cs="宋体" w:eastAsia="宋体" w:hint="default"/>
                <w:sz w:val="21"/>
                <w:szCs w:val="21"/>
              </w:rPr>
            </w:pPr>
            <w:r>
              <w:rPr>
                <w:rFonts w:ascii="宋体"/>
                <w:spacing w:val="-1"/>
                <w:sz w:val="21"/>
              </w:rPr>
              <w:t>72,301,468</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8"/>
              <w:jc w:val="right"/>
              <w:rPr>
                <w:rFonts w:ascii="宋体" w:hAnsi="宋体" w:cs="宋体" w:eastAsia="宋体" w:hint="default"/>
                <w:sz w:val="21"/>
                <w:szCs w:val="21"/>
              </w:rPr>
            </w:pPr>
            <w:r>
              <w:rPr>
                <w:rFonts w:ascii="宋体"/>
                <w:spacing w:val="-1"/>
                <w:sz w:val="21"/>
              </w:rPr>
              <w:t>59,808,819</w:t>
            </w:r>
          </w:p>
        </w:tc>
      </w:tr>
      <w:tr>
        <w:trPr>
          <w:trHeight w:val="283"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应付土地开发建设费</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52,342,500</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52,342,500</w:t>
            </w:r>
          </w:p>
        </w:tc>
      </w:tr>
      <w:tr>
        <w:trPr>
          <w:trHeight w:val="281"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股权收购款</w:t>
            </w:r>
            <w:r>
              <w:rPr>
                <w:rFonts w:ascii="宋体" w:hAnsi="宋体" w:cs="宋体" w:eastAsia="宋体" w:hint="default"/>
                <w:sz w:val="21"/>
                <w:szCs w:val="21"/>
              </w:rPr>
              <w:t>(</w:t>
            </w: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3)</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35,850,397</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19,797,136</w:t>
            </w:r>
          </w:p>
        </w:tc>
      </w:tr>
      <w:tr>
        <w:trPr>
          <w:trHeight w:val="283"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库存股回购款</w:t>
            </w:r>
            <w:r>
              <w:rPr>
                <w:rFonts w:ascii="宋体" w:hAnsi="宋体" w:cs="宋体" w:eastAsia="宋体" w:hint="default"/>
                <w:sz w:val="21"/>
                <w:szCs w:val="21"/>
              </w:rPr>
              <w:t>(</w:t>
            </w:r>
            <w:r>
              <w:rPr>
                <w:rFonts w:ascii="宋体" w:hAnsi="宋体" w:cs="宋体" w:eastAsia="宋体" w:hint="default"/>
                <w:sz w:val="21"/>
                <w:szCs w:val="21"/>
              </w:rPr>
              <w:t>注</w:t>
            </w:r>
            <w:r>
              <w:rPr>
                <w:rFonts w:ascii="宋体" w:hAnsi="宋体" w:cs="宋体" w:eastAsia="宋体" w:hint="default"/>
                <w:spacing w:val="-53"/>
                <w:sz w:val="21"/>
                <w:szCs w:val="21"/>
              </w:rPr>
              <w:t> </w:t>
            </w:r>
            <w:r>
              <w:rPr>
                <w:rFonts w:ascii="宋体" w:hAnsi="宋体" w:cs="宋体" w:eastAsia="宋体" w:hint="default"/>
                <w:sz w:val="21"/>
                <w:szCs w:val="21"/>
              </w:rPr>
              <w:t>4)</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82,286,214</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19,296,552</w:t>
            </w:r>
          </w:p>
        </w:tc>
      </w:tr>
      <w:tr>
        <w:trPr>
          <w:trHeight w:val="283"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房租</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2,625,007</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1,856,142</w:t>
            </w:r>
          </w:p>
        </w:tc>
      </w:tr>
      <w:tr>
        <w:trPr>
          <w:trHeight w:val="281"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74,048,910</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31,504,481</w:t>
            </w:r>
          </w:p>
        </w:tc>
      </w:tr>
      <w:tr>
        <w:trPr>
          <w:trHeight w:val="283"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644,927,547</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603,245,801</w:t>
            </w:r>
          </w:p>
        </w:tc>
      </w:tr>
    </w:tbl>
    <w:p>
      <w:pPr>
        <w:spacing w:line="240" w:lineRule="auto" w:before="2"/>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57" w:footer="1195" w:top="1320" w:bottom="1380" w:left="1580" w:right="1040"/>
        </w:sectPr>
      </w:pPr>
    </w:p>
    <w:p>
      <w:pPr>
        <w:pStyle w:val="Heading3"/>
        <w:spacing w:line="240" w:lineRule="auto" w:before="36"/>
        <w:ind w:right="-15"/>
        <w:jc w:val="left"/>
        <w:rPr>
          <w:b w:val="0"/>
          <w:bCs w:val="0"/>
        </w:rPr>
      </w:pPr>
      <w:r>
        <w:rPr>
          <w:rFonts w:ascii="宋体" w:hAnsi="宋体" w:cs="宋体" w:eastAsia="宋体" w:hint="default"/>
        </w:rPr>
        <w:t>(2).</w:t>
      </w:r>
      <w:r>
        <w:rPr>
          <w:rFonts w:ascii="宋体" w:hAnsi="宋体" w:cs="宋体" w:eastAsia="宋体" w:hint="default"/>
          <w:spacing w:val="-1"/>
        </w:rPr>
        <w:t> </w:t>
      </w:r>
      <w:r>
        <w:rPr/>
        <w:t>账龄超过</w:t>
      </w:r>
      <w:r>
        <w:rPr>
          <w:spacing w:val="-54"/>
        </w:rPr>
        <w:t> </w:t>
      </w:r>
      <w:r>
        <w:rPr>
          <w:rFonts w:ascii="Cambria" w:hAnsi="Cambria" w:cs="Cambria" w:eastAsia="Cambria" w:hint="default"/>
        </w:rPr>
        <w:t>1</w:t>
      </w:r>
      <w:r>
        <w:rPr>
          <w:rFonts w:ascii="Cambria" w:hAnsi="Cambria" w:cs="Cambria" w:eastAsia="Cambria" w:hint="default"/>
          <w:spacing w:val="3"/>
        </w:rPr>
        <w:t> </w:t>
      </w:r>
      <w:r>
        <w:rPr/>
        <w:t>年的重要其他应付款</w:t>
      </w:r>
      <w:r>
        <w:rPr>
          <w:b w:val="0"/>
          <w:bCs w:val="0"/>
        </w:rPr>
      </w:r>
    </w:p>
    <w:p>
      <w:pPr>
        <w:pStyle w:val="BodyText"/>
        <w:spacing w:line="240" w:lineRule="auto" w:before="39"/>
        <w:ind w:right="-15"/>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3718" w:space="3015"/>
            <w:col w:w="2557"/>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909"/>
        <w:gridCol w:w="3027"/>
        <w:gridCol w:w="3113"/>
      </w:tblGrid>
      <w:tr>
        <w:trPr>
          <w:trHeight w:val="284" w:hRule="exact"/>
        </w:trPr>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38"/>
              <w:jc w:val="right"/>
              <w:rPr>
                <w:rFonts w:ascii="宋体" w:hAnsi="宋体" w:cs="宋体" w:eastAsia="宋体" w:hint="default"/>
                <w:sz w:val="21"/>
                <w:szCs w:val="21"/>
              </w:rPr>
            </w:pPr>
            <w:r>
              <w:rPr>
                <w:rFonts w:ascii="宋体" w:hAnsi="宋体" w:cs="宋体" w:eastAsia="宋体" w:hint="default"/>
                <w:sz w:val="21"/>
                <w:szCs w:val="21"/>
              </w:rPr>
              <w:t>项目</w:t>
            </w:r>
          </w:p>
        </w:tc>
        <w:tc>
          <w:tcPr>
            <w:tcW w:w="30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1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04" w:right="0"/>
              <w:jc w:val="left"/>
              <w:rPr>
                <w:rFonts w:ascii="宋体" w:hAnsi="宋体" w:cs="宋体" w:eastAsia="宋体" w:hint="default"/>
                <w:sz w:val="21"/>
                <w:szCs w:val="21"/>
              </w:rPr>
            </w:pPr>
            <w:r>
              <w:rPr>
                <w:rFonts w:ascii="宋体" w:hAnsi="宋体" w:cs="宋体" w:eastAsia="宋体" w:hint="default"/>
                <w:sz w:val="21"/>
                <w:szCs w:val="21"/>
              </w:rPr>
              <w:t>未偿还或结转的原因</w:t>
            </w:r>
          </w:p>
        </w:tc>
      </w:tr>
      <w:tr>
        <w:trPr>
          <w:trHeight w:val="281" w:hRule="exact"/>
        </w:trPr>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1</w:t>
            </w:r>
          </w:p>
        </w:tc>
        <w:tc>
          <w:tcPr>
            <w:tcW w:w="30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52,342,500</w:t>
            </w:r>
          </w:p>
        </w:tc>
        <w:tc>
          <w:tcPr>
            <w:tcW w:w="31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未到合同约定的付款日</w:t>
            </w:r>
          </w:p>
        </w:tc>
      </w:tr>
      <w:tr>
        <w:trPr>
          <w:trHeight w:val="283" w:hRule="exact"/>
        </w:trPr>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2</w:t>
            </w:r>
          </w:p>
        </w:tc>
        <w:tc>
          <w:tcPr>
            <w:tcW w:w="30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2,278,912</w:t>
            </w:r>
          </w:p>
        </w:tc>
        <w:tc>
          <w:tcPr>
            <w:tcW w:w="31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未到合同约定的付款日</w:t>
            </w:r>
          </w:p>
        </w:tc>
      </w:tr>
      <w:tr>
        <w:trPr>
          <w:trHeight w:val="283" w:hRule="exact"/>
        </w:trPr>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3</w:t>
            </w:r>
          </w:p>
        </w:tc>
        <w:tc>
          <w:tcPr>
            <w:tcW w:w="30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1,660,000</w:t>
            </w:r>
          </w:p>
        </w:tc>
        <w:tc>
          <w:tcPr>
            <w:tcW w:w="31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未到合同约定的付款日</w:t>
            </w:r>
          </w:p>
        </w:tc>
      </w:tr>
      <w:tr>
        <w:trPr>
          <w:trHeight w:val="281" w:hRule="exact"/>
        </w:trPr>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38"/>
              <w:jc w:val="right"/>
              <w:rPr>
                <w:rFonts w:ascii="宋体" w:hAnsi="宋体" w:cs="宋体" w:eastAsia="宋体" w:hint="default"/>
                <w:sz w:val="21"/>
                <w:szCs w:val="21"/>
              </w:rPr>
            </w:pPr>
            <w:r>
              <w:rPr>
                <w:rFonts w:ascii="宋体" w:hAnsi="宋体" w:cs="宋体" w:eastAsia="宋体" w:hint="default"/>
                <w:sz w:val="21"/>
                <w:szCs w:val="21"/>
              </w:rPr>
              <w:t>合计</w:t>
            </w:r>
          </w:p>
        </w:tc>
        <w:tc>
          <w:tcPr>
            <w:tcW w:w="30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56,281,412</w:t>
            </w:r>
          </w:p>
        </w:tc>
        <w:tc>
          <w:tcPr>
            <w:tcW w:w="31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w w:val="100"/>
                <w:sz w:val="21"/>
              </w:rPr>
              <w:t>/</w:t>
            </w:r>
          </w:p>
        </w:tc>
      </w:tr>
    </w:tbl>
    <w:p>
      <w:pPr>
        <w:spacing w:line="240" w:lineRule="auto" w:before="7"/>
        <w:rPr>
          <w:rFonts w:ascii="宋体" w:hAnsi="宋体" w:cs="宋体" w:eastAsia="宋体" w:hint="default"/>
          <w:sz w:val="15"/>
          <w:szCs w:val="15"/>
        </w:rPr>
      </w:pPr>
    </w:p>
    <w:p>
      <w:pPr>
        <w:pStyle w:val="BodyText"/>
        <w:spacing w:line="273" w:lineRule="exact" w:before="36"/>
        <w:ind w:right="99"/>
        <w:jc w:val="left"/>
      </w:pPr>
      <w:r>
        <w:rPr/>
        <w:t>其他说明</w:t>
      </w:r>
    </w:p>
    <w:p>
      <w:pPr>
        <w:pStyle w:val="BodyText"/>
        <w:spacing w:line="272" w:lineRule="exact"/>
        <w:ind w:right="99"/>
        <w:jc w:val="left"/>
      </w:pPr>
      <w:r>
        <w:rPr/>
        <w:t>√适用</w:t>
      </w:r>
      <w:r>
        <w:rPr>
          <w:spacing w:val="-1"/>
        </w:rPr>
        <w:t> </w:t>
      </w:r>
      <w:r>
        <w:rPr/>
        <w:t>□不适用</w:t>
      </w:r>
    </w:p>
    <w:p>
      <w:pPr>
        <w:pStyle w:val="BodyText"/>
        <w:spacing w:line="272" w:lineRule="exact" w:before="27"/>
        <w:ind w:right="285"/>
        <w:jc w:val="left"/>
      </w:pPr>
      <w:r>
        <w:rPr/>
        <w:t>注 </w:t>
      </w:r>
      <w:r>
        <w:rPr>
          <w:rFonts w:ascii="宋体" w:hAnsi="宋体" w:cs="宋体" w:eastAsia="宋体" w:hint="default"/>
        </w:rPr>
        <w:t>1.</w:t>
      </w:r>
      <w:r>
        <w:rPr>
          <w:rFonts w:ascii="宋体" w:hAnsi="宋体" w:cs="宋体" w:eastAsia="宋体" w:hint="default"/>
          <w:spacing w:val="-57"/>
        </w:rPr>
        <w:t> </w:t>
      </w:r>
      <w:r>
        <w:rPr/>
        <w:t>备付金款项指由畅捷通支付因提供支付业务收取的备付金，该款项将于次日转至客户的自</w:t>
      </w:r>
      <w:r>
        <w:rPr>
          <w:w w:val="100"/>
        </w:rPr>
        <w:t> </w:t>
      </w:r>
      <w:r>
        <w:rPr/>
        <w:t>有账户中。</w:t>
      </w:r>
    </w:p>
    <w:p>
      <w:pPr>
        <w:spacing w:line="240" w:lineRule="auto" w:before="10"/>
        <w:rPr>
          <w:rFonts w:ascii="宋体" w:hAnsi="宋体" w:cs="宋体" w:eastAsia="宋体" w:hint="default"/>
          <w:sz w:val="18"/>
          <w:szCs w:val="18"/>
        </w:rPr>
      </w:pPr>
    </w:p>
    <w:p>
      <w:pPr>
        <w:pStyle w:val="BodyText"/>
        <w:spacing w:line="240" w:lineRule="auto"/>
        <w:ind w:right="285"/>
        <w:jc w:val="left"/>
      </w:pPr>
      <w:r>
        <w:rPr/>
        <w:t>注 </w:t>
      </w:r>
      <w:r>
        <w:rPr>
          <w:rFonts w:ascii="宋体" w:hAnsi="宋体" w:cs="宋体" w:eastAsia="宋体" w:hint="default"/>
        </w:rPr>
        <w:t>2.</w:t>
      </w:r>
      <w:r>
        <w:rPr>
          <w:rFonts w:ascii="宋体" w:hAnsi="宋体" w:cs="宋体" w:eastAsia="宋体" w:hint="default"/>
          <w:spacing w:val="-57"/>
        </w:rPr>
        <w:t> </w:t>
      </w:r>
      <w:r>
        <w:rPr/>
        <w:t>应付软件园建设款主要核算与南昌产业园、用友软件园及三亚软件园建设相关的建筑工程</w:t>
      </w:r>
      <w:r>
        <w:rPr>
          <w:w w:val="100"/>
        </w:rPr>
        <w:t> </w:t>
      </w:r>
      <w:r>
        <w:rPr/>
        <w:t>设计、工程招标咨询、工程建造等应付未付款项。</w:t>
      </w:r>
    </w:p>
    <w:p>
      <w:pPr>
        <w:spacing w:line="240" w:lineRule="auto" w:before="8"/>
        <w:rPr>
          <w:rFonts w:ascii="宋体" w:hAnsi="宋体" w:cs="宋体" w:eastAsia="宋体" w:hint="default"/>
          <w:sz w:val="20"/>
          <w:szCs w:val="20"/>
        </w:rPr>
      </w:pPr>
    </w:p>
    <w:p>
      <w:pPr>
        <w:pStyle w:val="BodyText"/>
        <w:spacing w:line="273" w:lineRule="exact"/>
        <w:ind w:right="99"/>
        <w:jc w:val="left"/>
      </w:pPr>
      <w:r>
        <w:rPr/>
        <w:t>注</w:t>
      </w:r>
      <w:r>
        <w:rPr>
          <w:spacing w:val="-68"/>
        </w:rPr>
        <w:t> </w:t>
      </w:r>
      <w:r>
        <w:rPr>
          <w:rFonts w:ascii="宋体" w:hAnsi="宋体" w:cs="宋体" w:eastAsia="宋体" w:hint="default"/>
        </w:rPr>
        <w:t>3.</w:t>
      </w:r>
      <w:r>
        <w:rPr>
          <w:rFonts w:ascii="宋体" w:hAnsi="宋体" w:cs="宋体" w:eastAsia="宋体" w:hint="default"/>
          <w:spacing w:val="-1"/>
        </w:rPr>
        <w:t> </w:t>
      </w:r>
      <w:r>
        <w:rPr/>
        <w:t>股权收购款主要为收购秉均网络的应付股权收购款人民币</w:t>
      </w:r>
      <w:r>
        <w:rPr>
          <w:spacing w:val="-68"/>
        </w:rPr>
        <w:t> </w:t>
      </w:r>
      <w:r>
        <w:rPr>
          <w:rFonts w:ascii="宋体" w:hAnsi="宋体" w:cs="宋体" w:eastAsia="宋体" w:hint="default"/>
        </w:rPr>
        <w:t>12,500,000</w:t>
      </w:r>
      <w:r>
        <w:rPr>
          <w:rFonts w:ascii="宋体" w:hAnsi="宋体" w:cs="宋体" w:eastAsia="宋体" w:hint="default"/>
          <w:spacing w:val="-71"/>
        </w:rPr>
        <w:t> </w:t>
      </w:r>
      <w:r>
        <w:rPr/>
        <w:t>元以及收购民太安保</w:t>
      </w:r>
    </w:p>
    <w:p>
      <w:pPr>
        <w:pStyle w:val="BodyText"/>
        <w:spacing w:line="273" w:lineRule="exact"/>
        <w:ind w:right="99"/>
        <w:jc w:val="left"/>
      </w:pPr>
      <w:r>
        <w:rPr/>
        <w:t>险的应付股权收购款人民币</w:t>
      </w:r>
      <w:r>
        <w:rPr>
          <w:spacing w:val="-53"/>
        </w:rPr>
        <w:t> </w:t>
      </w:r>
      <w:r>
        <w:rPr>
          <w:rFonts w:ascii="宋体" w:hAnsi="宋体" w:cs="宋体" w:eastAsia="宋体" w:hint="default"/>
        </w:rPr>
        <w:t>11,952,000</w:t>
      </w:r>
      <w:r>
        <w:rPr>
          <w:rFonts w:ascii="宋体" w:hAnsi="宋体" w:cs="宋体" w:eastAsia="宋体" w:hint="default"/>
          <w:spacing w:val="-55"/>
        </w:rPr>
        <w:t> </w:t>
      </w:r>
      <w:r>
        <w:rPr/>
        <w:t>元。</w:t>
      </w:r>
    </w:p>
    <w:p>
      <w:pPr>
        <w:spacing w:line="604" w:lineRule="exact" w:before="32"/>
        <w:ind w:left="218" w:right="2174" w:firstLine="0"/>
        <w:jc w:val="left"/>
        <w:rPr>
          <w:rFonts w:ascii="宋体" w:hAnsi="宋体" w:cs="宋体" w:eastAsia="宋体" w:hint="default"/>
          <w:sz w:val="21"/>
          <w:szCs w:val="21"/>
        </w:rPr>
      </w:pPr>
      <w:r>
        <w:rPr>
          <w:rFonts w:ascii="宋体" w:hAnsi="宋体" w:cs="宋体" w:eastAsia="宋体" w:hint="default"/>
          <w:sz w:val="21"/>
          <w:szCs w:val="21"/>
        </w:rPr>
        <w:t>注 </w:t>
      </w:r>
      <w:r>
        <w:rPr>
          <w:rFonts w:ascii="宋体" w:hAnsi="宋体" w:cs="宋体" w:eastAsia="宋体" w:hint="default"/>
          <w:sz w:val="21"/>
          <w:szCs w:val="21"/>
        </w:rPr>
        <w:t>4.</w:t>
      </w:r>
      <w:r>
        <w:rPr>
          <w:rFonts w:ascii="宋体" w:hAnsi="宋体" w:cs="宋体" w:eastAsia="宋体" w:hint="default"/>
          <w:spacing w:val="-56"/>
          <w:sz w:val="21"/>
          <w:szCs w:val="21"/>
        </w:rPr>
        <w:t> </w:t>
      </w:r>
      <w:r>
        <w:rPr>
          <w:rFonts w:ascii="宋体" w:hAnsi="宋体" w:cs="宋体" w:eastAsia="宋体" w:hint="default"/>
          <w:sz w:val="21"/>
          <w:szCs w:val="21"/>
        </w:rPr>
        <w:t>该款项为库存股回购义务产生的其他应付款项，详情参见附注七、</w:t>
      </w:r>
      <w:r>
        <w:rPr>
          <w:rFonts w:ascii="宋体" w:hAnsi="宋体" w:cs="宋体" w:eastAsia="宋体" w:hint="default"/>
          <w:sz w:val="21"/>
          <w:szCs w:val="21"/>
        </w:rPr>
        <w:t>56</w:t>
      </w:r>
      <w:r>
        <w:rPr>
          <w:rFonts w:ascii="宋体" w:hAnsi="宋体" w:cs="宋体" w:eastAsia="宋体" w:hint="default"/>
          <w:w w:val="100"/>
          <w:sz w:val="21"/>
          <w:szCs w:val="21"/>
        </w:rPr>
        <w:t> </w:t>
      </w:r>
      <w:r>
        <w:rPr>
          <w:rFonts w:ascii="宋体" w:hAnsi="宋体" w:cs="宋体" w:eastAsia="宋体" w:hint="default"/>
          <w:b/>
          <w:bCs/>
          <w:sz w:val="21"/>
          <w:szCs w:val="21"/>
        </w:rPr>
        <w:t>42</w:t>
      </w:r>
      <w:r>
        <w:rPr>
          <w:rFonts w:ascii="宋体" w:hAnsi="宋体" w:cs="宋体" w:eastAsia="宋体" w:hint="default"/>
          <w:b/>
          <w:bCs/>
          <w:sz w:val="21"/>
          <w:szCs w:val="21"/>
        </w:rPr>
        <w:t>、</w:t>
      </w:r>
      <w:r>
        <w:rPr>
          <w:rFonts w:ascii="宋体" w:hAnsi="宋体" w:cs="宋体" w:eastAsia="宋体" w:hint="default"/>
          <w:b/>
          <w:bCs/>
          <w:spacing w:val="-24"/>
          <w:sz w:val="21"/>
          <w:szCs w:val="21"/>
        </w:rPr>
        <w:t> </w:t>
      </w:r>
      <w:r>
        <w:rPr>
          <w:rFonts w:ascii="宋体" w:hAnsi="宋体" w:cs="宋体" w:eastAsia="宋体" w:hint="default"/>
          <w:b/>
          <w:bCs/>
          <w:sz w:val="21"/>
          <w:szCs w:val="21"/>
        </w:rPr>
        <w:t>持有待售负债</w:t>
      </w:r>
      <w:r>
        <w:rPr>
          <w:rFonts w:ascii="宋体" w:hAnsi="宋体" w:cs="宋体" w:eastAsia="宋体" w:hint="default"/>
          <w:sz w:val="21"/>
          <w:szCs w:val="21"/>
        </w:rPr>
      </w:r>
    </w:p>
    <w:p>
      <w:pPr>
        <w:pStyle w:val="BodyText"/>
        <w:spacing w:line="242" w:lineRule="exact"/>
        <w:ind w:right="99"/>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320" w:bottom="1380" w:left="1580" w:right="1040"/>
        </w:sectPr>
      </w:pPr>
    </w:p>
    <w:p>
      <w:pPr>
        <w:pStyle w:val="Heading3"/>
        <w:spacing w:line="240" w:lineRule="auto" w:before="36"/>
        <w:ind w:right="-17"/>
        <w:jc w:val="left"/>
        <w:rPr>
          <w:b w:val="0"/>
          <w:bCs w:val="0"/>
        </w:rPr>
      </w:pPr>
      <w:r>
        <w:rPr>
          <w:rFonts w:ascii="宋体" w:hAnsi="宋体" w:cs="宋体" w:eastAsia="宋体" w:hint="default"/>
        </w:rPr>
        <w:t>43</w:t>
      </w:r>
      <w:r>
        <w:rPr/>
        <w:t>、 </w:t>
      </w:r>
      <w:r>
        <w:rPr>
          <w:rFonts w:ascii="宋体" w:hAnsi="宋体" w:cs="宋体" w:eastAsia="宋体" w:hint="default"/>
        </w:rPr>
        <w:t>1</w:t>
      </w:r>
      <w:r>
        <w:rPr>
          <w:rFonts w:ascii="宋体" w:hAnsi="宋体" w:cs="宋体" w:eastAsia="宋体" w:hint="default"/>
          <w:spacing w:val="-77"/>
        </w:rPr>
        <w:t> </w:t>
      </w:r>
      <w:r>
        <w:rPr/>
        <w:t>年内到期的非流动负债</w:t>
      </w:r>
      <w:r>
        <w:rPr>
          <w:b w:val="0"/>
          <w:bCs w:val="0"/>
        </w:rPr>
      </w:r>
    </w:p>
    <w:p>
      <w:pPr>
        <w:pStyle w:val="BodyText"/>
        <w:spacing w:line="240" w:lineRule="auto" w:before="56"/>
        <w:ind w:right="-17"/>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2993" w:space="3740"/>
            <w:col w:w="2557"/>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195"/>
        <w:gridCol w:w="2907"/>
        <w:gridCol w:w="2948"/>
      </w:tblGrid>
      <w:tr>
        <w:trPr>
          <w:trHeight w:val="283" w:hRule="exact"/>
        </w:trPr>
        <w:tc>
          <w:tcPr>
            <w:tcW w:w="319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9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94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83" w:hRule="exact"/>
        </w:trPr>
        <w:tc>
          <w:tcPr>
            <w:tcW w:w="31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年内到期的长期借款</w:t>
            </w:r>
          </w:p>
        </w:tc>
        <w:tc>
          <w:tcPr>
            <w:tcW w:w="29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152,361,331</w:t>
            </w:r>
          </w:p>
        </w:tc>
        <w:tc>
          <w:tcPr>
            <w:tcW w:w="29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81,486,720</w:t>
            </w:r>
          </w:p>
        </w:tc>
      </w:tr>
      <w:tr>
        <w:trPr>
          <w:trHeight w:val="281" w:hRule="exact"/>
        </w:trPr>
        <w:tc>
          <w:tcPr>
            <w:tcW w:w="31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年内到期的应付债券</w:t>
            </w:r>
          </w:p>
        </w:tc>
        <w:tc>
          <w:tcPr>
            <w:tcW w:w="2907" w:type="dxa"/>
            <w:tcBorders>
              <w:top w:val="single" w:sz="4" w:space="0" w:color="000000"/>
              <w:left w:val="single" w:sz="4" w:space="0" w:color="000000"/>
              <w:bottom w:val="single" w:sz="4" w:space="0" w:color="000000"/>
              <w:right w:val="single" w:sz="4" w:space="0" w:color="000000"/>
            </w:tcBorders>
          </w:tcPr>
          <w:p>
            <w:pPr/>
          </w:p>
        </w:tc>
        <w:tc>
          <w:tcPr>
            <w:tcW w:w="294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1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年内到期的长期应付款</w:t>
            </w:r>
          </w:p>
        </w:tc>
        <w:tc>
          <w:tcPr>
            <w:tcW w:w="2907" w:type="dxa"/>
            <w:tcBorders>
              <w:top w:val="single" w:sz="4" w:space="0" w:color="000000"/>
              <w:left w:val="single" w:sz="4" w:space="0" w:color="000000"/>
              <w:bottom w:val="single" w:sz="4" w:space="0" w:color="000000"/>
              <w:right w:val="single" w:sz="4" w:space="0" w:color="000000"/>
            </w:tcBorders>
          </w:tcPr>
          <w:p>
            <w:pPr/>
          </w:p>
        </w:tc>
        <w:tc>
          <w:tcPr>
            <w:tcW w:w="294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1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年内到期的递延收益</w:t>
            </w:r>
          </w:p>
        </w:tc>
        <w:tc>
          <w:tcPr>
            <w:tcW w:w="29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38,807,234</w:t>
            </w:r>
          </w:p>
        </w:tc>
        <w:tc>
          <w:tcPr>
            <w:tcW w:w="29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31,928,851</w:t>
            </w:r>
          </w:p>
        </w:tc>
      </w:tr>
      <w:tr>
        <w:trPr>
          <w:trHeight w:val="281" w:hRule="exact"/>
        </w:trPr>
        <w:tc>
          <w:tcPr>
            <w:tcW w:w="3195" w:type="dxa"/>
            <w:tcBorders>
              <w:top w:val="single" w:sz="4" w:space="0" w:color="000000"/>
              <w:left w:val="single" w:sz="4" w:space="0" w:color="000000"/>
              <w:bottom w:val="single" w:sz="4" w:space="0" w:color="000000"/>
              <w:right w:val="single" w:sz="4" w:space="0" w:color="000000"/>
            </w:tcBorders>
          </w:tcPr>
          <w:p>
            <w:pPr/>
          </w:p>
        </w:tc>
        <w:tc>
          <w:tcPr>
            <w:tcW w:w="2907" w:type="dxa"/>
            <w:tcBorders>
              <w:top w:val="single" w:sz="4" w:space="0" w:color="000000"/>
              <w:left w:val="single" w:sz="4" w:space="0" w:color="000000"/>
              <w:bottom w:val="single" w:sz="4" w:space="0" w:color="000000"/>
              <w:right w:val="single" w:sz="4" w:space="0" w:color="000000"/>
            </w:tcBorders>
          </w:tcPr>
          <w:p>
            <w:pPr/>
          </w:p>
        </w:tc>
        <w:tc>
          <w:tcPr>
            <w:tcW w:w="294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1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9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191,168,565</w:t>
            </w:r>
          </w:p>
        </w:tc>
        <w:tc>
          <w:tcPr>
            <w:tcW w:w="29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113,415,571</w:t>
            </w:r>
          </w:p>
        </w:tc>
      </w:tr>
    </w:tbl>
    <w:p>
      <w:pPr>
        <w:spacing w:line="240" w:lineRule="auto" w:before="2"/>
        <w:rPr>
          <w:rFonts w:ascii="宋体" w:hAnsi="宋体" w:cs="宋体" w:eastAsia="宋体" w:hint="default"/>
          <w:sz w:val="20"/>
          <w:szCs w:val="20"/>
        </w:rPr>
      </w:pPr>
    </w:p>
    <w:p>
      <w:pPr>
        <w:pStyle w:val="BodyText"/>
        <w:spacing w:line="240" w:lineRule="auto" w:before="36"/>
        <w:ind w:right="99"/>
        <w:jc w:val="left"/>
      </w:pPr>
      <w:r>
        <w:rPr/>
        <w:t>其他说明：</w:t>
      </w:r>
    </w:p>
    <w:p>
      <w:pPr>
        <w:pStyle w:val="BodyText"/>
        <w:spacing w:line="240" w:lineRule="auto" w:before="56"/>
        <w:ind w:right="99"/>
        <w:jc w:val="left"/>
      </w:pPr>
      <w:r>
        <w:rPr/>
        <w:t>注</w:t>
      </w:r>
      <w:r>
        <w:rPr>
          <w:spacing w:val="-55"/>
        </w:rPr>
        <w:t> </w:t>
      </w:r>
      <w:r>
        <w:rPr>
          <w:rFonts w:ascii="Calibri" w:hAnsi="Calibri" w:cs="Calibri" w:eastAsia="Calibri" w:hint="default"/>
        </w:rPr>
        <w:t>1</w:t>
      </w:r>
      <w:r>
        <w:rPr/>
        <w:t>．参见附注七、</w:t>
      </w:r>
      <w:r>
        <w:rPr>
          <w:rFonts w:ascii="宋体" w:hAnsi="宋体" w:cs="宋体" w:eastAsia="宋体" w:hint="default"/>
        </w:rPr>
        <w:t>45</w:t>
      </w:r>
      <w:r>
        <w:rPr/>
        <w:t>。</w:t>
      </w:r>
    </w:p>
    <w:p>
      <w:pPr>
        <w:spacing w:after="0" w:line="240" w:lineRule="auto"/>
        <w:jc w:val="left"/>
        <w:sectPr>
          <w:type w:val="continuous"/>
          <w:pgSz w:w="11910" w:h="16840"/>
          <w:pgMar w:top="1320" w:bottom="1380" w:left="1580" w:right="1040"/>
        </w:sectPr>
      </w:pPr>
    </w:p>
    <w:p>
      <w:pPr>
        <w:spacing w:line="240" w:lineRule="auto" w:before="2"/>
        <w:rPr>
          <w:rFonts w:ascii="宋体" w:hAnsi="宋体" w:cs="宋体" w:eastAsia="宋体" w:hint="default"/>
          <w:sz w:val="9"/>
          <w:szCs w:val="9"/>
        </w:rPr>
      </w:pPr>
    </w:p>
    <w:p>
      <w:pPr>
        <w:spacing w:after="0" w:line="240" w:lineRule="auto"/>
        <w:rPr>
          <w:rFonts w:ascii="宋体" w:hAnsi="宋体" w:cs="宋体" w:eastAsia="宋体" w:hint="default"/>
          <w:sz w:val="9"/>
          <w:szCs w:val="9"/>
        </w:rPr>
        <w:sectPr>
          <w:pgSz w:w="11910" w:h="16840"/>
          <w:pgMar w:header="857" w:footer="1195" w:top="1320" w:bottom="1380" w:left="1580" w:right="1040"/>
        </w:sectPr>
      </w:pPr>
    </w:p>
    <w:p>
      <w:pPr>
        <w:spacing w:line="290" w:lineRule="auto" w:before="36"/>
        <w:ind w:left="218" w:right="-16"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3"/>
          <w:sz w:val="21"/>
          <w:szCs w:val="21"/>
        </w:rPr>
        <w:t> </w:t>
      </w:r>
      <w:r>
        <w:rPr>
          <w:rFonts w:ascii="宋体" w:hAnsi="宋体" w:cs="宋体" w:eastAsia="宋体" w:hint="default"/>
          <w:sz w:val="21"/>
          <w:szCs w:val="21"/>
        </w:rPr>
        <w:t>2</w:t>
      </w:r>
      <w:r>
        <w:rPr>
          <w:rFonts w:ascii="宋体" w:hAnsi="宋体" w:cs="宋体" w:eastAsia="宋体" w:hint="default"/>
          <w:sz w:val="21"/>
          <w:szCs w:val="21"/>
        </w:rPr>
        <w:t>．参见附注七、</w:t>
      </w:r>
      <w:r>
        <w:rPr>
          <w:rFonts w:ascii="宋体" w:hAnsi="宋体" w:cs="宋体" w:eastAsia="宋体" w:hint="default"/>
          <w:sz w:val="21"/>
          <w:szCs w:val="21"/>
        </w:rPr>
        <w:t>51</w:t>
      </w:r>
      <w:r>
        <w:rPr>
          <w:rFonts w:ascii="宋体" w:hAnsi="宋体" w:cs="宋体" w:eastAsia="宋体" w:hint="default"/>
          <w:sz w:val="21"/>
          <w:szCs w:val="21"/>
        </w:rPr>
        <w:t>。</w:t>
      </w:r>
      <w:r>
        <w:rPr>
          <w:rFonts w:ascii="宋体" w:hAnsi="宋体" w:cs="宋体" w:eastAsia="宋体" w:hint="default"/>
          <w:w w:val="100"/>
          <w:sz w:val="21"/>
          <w:szCs w:val="21"/>
        </w:rPr>
        <w:t> </w:t>
      </w:r>
      <w:r>
        <w:rPr>
          <w:rFonts w:ascii="宋体" w:hAnsi="宋体" w:cs="宋体" w:eastAsia="宋体" w:hint="default"/>
          <w:b/>
          <w:bCs/>
          <w:sz w:val="21"/>
          <w:szCs w:val="21"/>
        </w:rPr>
        <w:t>44</w:t>
      </w:r>
      <w:r>
        <w:rPr>
          <w:rFonts w:ascii="宋体" w:hAnsi="宋体" w:cs="宋体" w:eastAsia="宋体" w:hint="default"/>
          <w:b/>
          <w:bCs/>
          <w:sz w:val="21"/>
          <w:szCs w:val="21"/>
        </w:rPr>
        <w:t>、</w:t>
      </w:r>
      <w:r>
        <w:rPr>
          <w:rFonts w:ascii="宋体" w:hAnsi="宋体" w:cs="宋体" w:eastAsia="宋体" w:hint="default"/>
          <w:b/>
          <w:bCs/>
          <w:spacing w:val="-25"/>
          <w:sz w:val="21"/>
          <w:szCs w:val="21"/>
        </w:rPr>
        <w:t> </w:t>
      </w:r>
      <w:r>
        <w:rPr>
          <w:rFonts w:ascii="宋体" w:hAnsi="宋体" w:cs="宋体" w:eastAsia="宋体" w:hint="default"/>
          <w:b/>
          <w:bCs/>
          <w:sz w:val="21"/>
          <w:szCs w:val="21"/>
        </w:rPr>
        <w:t>其他流动负债</w:t>
      </w:r>
      <w:r>
        <w:rPr>
          <w:rFonts w:ascii="宋体" w:hAnsi="宋体" w:cs="宋体" w:eastAsia="宋体" w:hint="default"/>
          <w:b/>
          <w:bCs/>
          <w:w w:val="100"/>
          <w:sz w:val="21"/>
          <w:szCs w:val="21"/>
        </w:rPr>
        <w:t> </w:t>
      </w:r>
      <w:r>
        <w:rPr>
          <w:rFonts w:ascii="宋体" w:hAnsi="宋体" w:cs="宋体" w:eastAsia="宋体" w:hint="default"/>
          <w:sz w:val="21"/>
          <w:szCs w:val="21"/>
        </w:rPr>
        <w:t>其他流动负债情况</w:t>
      </w:r>
    </w:p>
    <w:p>
      <w:pPr>
        <w:pStyle w:val="BodyText"/>
        <w:tabs>
          <w:tab w:pos="1060" w:val="left" w:leader="none"/>
        </w:tabs>
        <w:spacing w:line="230" w:lineRule="exact"/>
        <w:ind w:right="-16"/>
        <w:jc w:val="left"/>
      </w:pPr>
      <w:r>
        <w:rPr>
          <w:spacing w:val="-1"/>
        </w:rPr>
        <w:t>√适用</w:t>
        <w:tab/>
      </w:r>
      <w:r>
        <w:rPr>
          <w:spacing w:val="-2"/>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2480" w:space="4253"/>
            <w:col w:w="2557"/>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804"/>
        <w:gridCol w:w="3118"/>
        <w:gridCol w:w="3128"/>
      </w:tblGrid>
      <w:tr>
        <w:trPr>
          <w:trHeight w:val="281"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38"/>
              <w:jc w:val="right"/>
              <w:rPr>
                <w:rFonts w:ascii="宋体" w:hAnsi="宋体" w:cs="宋体" w:eastAsia="宋体" w:hint="default"/>
                <w:sz w:val="21"/>
                <w:szCs w:val="21"/>
              </w:rPr>
            </w:pPr>
            <w:r>
              <w:rPr>
                <w:rFonts w:ascii="宋体" w:hAnsi="宋体" w:cs="宋体" w:eastAsia="宋体" w:hint="default"/>
                <w:sz w:val="21"/>
                <w:szCs w:val="21"/>
              </w:rPr>
              <w:t>项目</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1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83"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短期应付债券</w:t>
            </w:r>
          </w:p>
        </w:tc>
        <w:tc>
          <w:tcPr>
            <w:tcW w:w="3118" w:type="dxa"/>
            <w:tcBorders>
              <w:top w:val="single" w:sz="4" w:space="0" w:color="000000"/>
              <w:left w:val="single" w:sz="4" w:space="0" w:color="000000"/>
              <w:bottom w:val="single" w:sz="4" w:space="0" w:color="000000"/>
              <w:right w:val="single" w:sz="4" w:space="0" w:color="000000"/>
            </w:tcBorders>
          </w:tcPr>
          <w:p>
            <w:pPr/>
          </w:p>
        </w:tc>
        <w:tc>
          <w:tcPr>
            <w:tcW w:w="312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待转销项税</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107,736,983</w:t>
            </w:r>
          </w:p>
        </w:tc>
        <w:tc>
          <w:tcPr>
            <w:tcW w:w="31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118,937,477</w:t>
            </w:r>
          </w:p>
        </w:tc>
      </w:tr>
      <w:tr>
        <w:trPr>
          <w:trHeight w:val="281"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审计费</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1,950,000</w:t>
            </w:r>
          </w:p>
        </w:tc>
        <w:tc>
          <w:tcPr>
            <w:tcW w:w="31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1,900,000</w:t>
            </w:r>
          </w:p>
        </w:tc>
      </w:tr>
      <w:tr>
        <w:trPr>
          <w:trHeight w:val="283"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房租</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z w:val="21"/>
              </w:rPr>
              <w:t>98,904</w:t>
            </w:r>
          </w:p>
        </w:tc>
        <w:tc>
          <w:tcPr>
            <w:tcW w:w="31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10,811</w:t>
            </w:r>
          </w:p>
        </w:tc>
      </w:tr>
      <w:tr>
        <w:trPr>
          <w:trHeight w:val="283"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27,629,576</w:t>
            </w:r>
          </w:p>
        </w:tc>
        <w:tc>
          <w:tcPr>
            <w:tcW w:w="31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22,871,901</w:t>
            </w:r>
          </w:p>
        </w:tc>
      </w:tr>
      <w:tr>
        <w:trPr>
          <w:trHeight w:val="281"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184"/>
              <w:jc w:val="right"/>
              <w:rPr>
                <w:rFonts w:ascii="宋体" w:hAnsi="宋体" w:cs="宋体" w:eastAsia="宋体" w:hint="default"/>
                <w:sz w:val="21"/>
                <w:szCs w:val="21"/>
              </w:rPr>
            </w:pPr>
            <w:r>
              <w:rPr>
                <w:rFonts w:ascii="宋体" w:hAnsi="宋体" w:cs="宋体" w:eastAsia="宋体" w:hint="default"/>
                <w:sz w:val="21"/>
                <w:szCs w:val="21"/>
              </w:rPr>
              <w:t>合计</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137,415,463</w:t>
            </w:r>
          </w:p>
        </w:tc>
        <w:tc>
          <w:tcPr>
            <w:tcW w:w="31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143,720,189</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pStyle w:val="BodyText"/>
        <w:spacing w:line="273" w:lineRule="exact" w:before="36"/>
        <w:ind w:right="99"/>
        <w:jc w:val="left"/>
      </w:pPr>
      <w:r>
        <w:rPr/>
        <w:t>短期应付债券的增减变动：</w:t>
      </w:r>
    </w:p>
    <w:p>
      <w:pPr>
        <w:pStyle w:val="BodyText"/>
        <w:spacing w:line="290" w:lineRule="auto"/>
        <w:ind w:right="7474"/>
        <w:jc w:val="left"/>
      </w:pPr>
      <w:r>
        <w:rPr/>
        <w:t>□适用</w:t>
      </w:r>
      <w:r>
        <w:rPr>
          <w:spacing w:val="-1"/>
        </w:rPr>
        <w:t> </w:t>
      </w:r>
      <w:r>
        <w:rPr/>
        <w:t>√不适用</w:t>
      </w:r>
      <w:r>
        <w:rPr>
          <w:w w:val="100"/>
        </w:rPr>
        <w:t> </w:t>
      </w:r>
      <w:r>
        <w:rPr/>
        <w:t>其他说明：</w:t>
      </w:r>
    </w:p>
    <w:p>
      <w:pPr>
        <w:pStyle w:val="BodyText"/>
        <w:spacing w:line="240" w:lineRule="auto" w:before="12"/>
        <w:ind w:right="99"/>
        <w:jc w:val="left"/>
      </w:pPr>
      <w:r>
        <w:rPr/>
        <w:t>□适用</w:t>
      </w:r>
      <w:r>
        <w:rPr>
          <w:spacing w:val="-1"/>
        </w:rPr>
        <w:t> </w:t>
      </w:r>
      <w:r>
        <w:rPr/>
        <w:t>√不适用</w:t>
      </w:r>
    </w:p>
    <w:p>
      <w:pPr>
        <w:spacing w:line="240" w:lineRule="auto" w:before="0"/>
        <w:rPr>
          <w:rFonts w:ascii="宋体" w:hAnsi="宋体" w:cs="宋体" w:eastAsia="宋体" w:hint="default"/>
          <w:sz w:val="27"/>
          <w:szCs w:val="27"/>
        </w:rPr>
      </w:pPr>
    </w:p>
    <w:p>
      <w:pPr>
        <w:spacing w:after="0" w:line="240" w:lineRule="auto"/>
        <w:rPr>
          <w:rFonts w:ascii="宋体" w:hAnsi="宋体" w:cs="宋体" w:eastAsia="宋体" w:hint="default"/>
          <w:sz w:val="27"/>
          <w:szCs w:val="27"/>
        </w:rPr>
        <w:sectPr>
          <w:type w:val="continuous"/>
          <w:pgSz w:w="11910" w:h="16840"/>
          <w:pgMar w:top="1320" w:bottom="1380" w:left="1580" w:right="1040"/>
        </w:sectPr>
      </w:pPr>
    </w:p>
    <w:p>
      <w:pPr>
        <w:pStyle w:val="Heading3"/>
        <w:spacing w:line="240" w:lineRule="auto" w:before="36"/>
        <w:ind w:right="-18"/>
        <w:jc w:val="left"/>
        <w:rPr>
          <w:b w:val="0"/>
          <w:bCs w:val="0"/>
        </w:rPr>
      </w:pPr>
      <w:r>
        <w:rPr>
          <w:rFonts w:ascii="宋体" w:hAnsi="宋体" w:cs="宋体" w:eastAsia="宋体" w:hint="default"/>
        </w:rPr>
        <w:t>45</w:t>
      </w:r>
      <w:r>
        <w:rPr/>
        <w:t>、</w:t>
      </w:r>
      <w:r>
        <w:rPr>
          <w:spacing w:val="-25"/>
        </w:rPr>
        <w:t> </w:t>
      </w:r>
      <w:r>
        <w:rPr/>
        <w:t>长期借款</w:t>
      </w:r>
      <w:r>
        <w:rPr>
          <w:b w:val="0"/>
          <w:bCs w:val="0"/>
        </w:rPr>
      </w:r>
    </w:p>
    <w:p>
      <w:pPr>
        <w:pStyle w:val="Heading3"/>
        <w:tabs>
          <w:tab w:pos="849" w:val="left" w:leader="none"/>
        </w:tabs>
        <w:spacing w:line="240" w:lineRule="auto" w:before="58"/>
        <w:ind w:right="-18"/>
        <w:jc w:val="left"/>
        <w:rPr>
          <w:b w:val="0"/>
          <w:bCs w:val="0"/>
        </w:rPr>
      </w:pPr>
      <w:r>
        <w:rPr>
          <w:rFonts w:ascii="宋体" w:hAnsi="宋体" w:cs="宋体" w:eastAsia="宋体" w:hint="default"/>
          <w:w w:val="95"/>
        </w:rPr>
        <w:t>(1).</w:t>
        <w:tab/>
      </w:r>
      <w:r>
        <w:rPr/>
        <w:t>长期借款分类</w:t>
      </w:r>
      <w:r>
        <w:rPr>
          <w:b w:val="0"/>
          <w:bCs w:val="0"/>
        </w:rPr>
      </w:r>
    </w:p>
    <w:p>
      <w:pPr>
        <w:pStyle w:val="BodyText"/>
        <w:spacing w:line="240" w:lineRule="auto" w:before="56"/>
        <w:ind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2117" w:space="4616"/>
            <w:col w:w="2557"/>
          </w:cols>
        </w:sectPr>
      </w:pPr>
    </w:p>
    <w:p>
      <w:pPr>
        <w:spacing w:line="240" w:lineRule="auto" w:before="4"/>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3001"/>
        <w:gridCol w:w="2998"/>
        <w:gridCol w:w="2897"/>
      </w:tblGrid>
      <w:tr>
        <w:trPr>
          <w:trHeight w:val="283"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9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81"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质押借款</w:t>
            </w:r>
          </w:p>
        </w:tc>
        <w:tc>
          <w:tcPr>
            <w:tcW w:w="2998" w:type="dxa"/>
            <w:tcBorders>
              <w:top w:val="single" w:sz="4" w:space="0" w:color="000000"/>
              <w:left w:val="single" w:sz="4" w:space="0" w:color="000000"/>
              <w:bottom w:val="single" w:sz="4" w:space="0" w:color="000000"/>
              <w:right w:val="single" w:sz="4" w:space="0" w:color="000000"/>
            </w:tcBorders>
          </w:tcPr>
          <w:p>
            <w:pPr/>
          </w:p>
        </w:tc>
        <w:tc>
          <w:tcPr>
            <w:tcW w:w="289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抵押借款</w:t>
            </w:r>
          </w:p>
        </w:tc>
        <w:tc>
          <w:tcPr>
            <w:tcW w:w="29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99"/>
              <w:jc w:val="right"/>
              <w:rPr>
                <w:rFonts w:ascii="宋体" w:hAnsi="宋体" w:cs="宋体" w:eastAsia="宋体" w:hint="default"/>
                <w:sz w:val="21"/>
                <w:szCs w:val="21"/>
              </w:rPr>
            </w:pPr>
            <w:r>
              <w:rPr>
                <w:rFonts w:ascii="宋体"/>
                <w:spacing w:val="-1"/>
                <w:sz w:val="21"/>
              </w:rPr>
              <w:t>347,495,314</w:t>
            </w:r>
          </w:p>
        </w:tc>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335,813,799</w:t>
            </w:r>
          </w:p>
        </w:tc>
      </w:tr>
      <w:tr>
        <w:trPr>
          <w:trHeight w:val="283"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保证借款</w:t>
            </w:r>
          </w:p>
        </w:tc>
        <w:tc>
          <w:tcPr>
            <w:tcW w:w="2998" w:type="dxa"/>
            <w:tcBorders>
              <w:top w:val="single" w:sz="4" w:space="0" w:color="000000"/>
              <w:left w:val="single" w:sz="4" w:space="0" w:color="000000"/>
              <w:bottom w:val="single" w:sz="4" w:space="0" w:color="000000"/>
              <w:right w:val="single" w:sz="4" w:space="0" w:color="000000"/>
            </w:tcBorders>
          </w:tcPr>
          <w:p>
            <w:pPr/>
          </w:p>
        </w:tc>
        <w:tc>
          <w:tcPr>
            <w:tcW w:w="2897"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信用借款</w:t>
            </w:r>
          </w:p>
        </w:tc>
        <w:tc>
          <w:tcPr>
            <w:tcW w:w="29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9"/>
              <w:jc w:val="right"/>
              <w:rPr>
                <w:rFonts w:ascii="宋体" w:hAnsi="宋体" w:cs="宋体" w:eastAsia="宋体" w:hint="default"/>
                <w:sz w:val="21"/>
                <w:szCs w:val="21"/>
              </w:rPr>
            </w:pPr>
            <w:r>
              <w:rPr>
                <w:rFonts w:ascii="宋体"/>
                <w:spacing w:val="-1"/>
                <w:sz w:val="21"/>
              </w:rPr>
              <w:t>110,000,000</w:t>
            </w:r>
          </w:p>
        </w:tc>
        <w:tc>
          <w:tcPr>
            <w:tcW w:w="289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减：一年内到期的长期借款</w:t>
            </w:r>
          </w:p>
        </w:tc>
        <w:tc>
          <w:tcPr>
            <w:tcW w:w="29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99"/>
              <w:jc w:val="right"/>
              <w:rPr>
                <w:rFonts w:ascii="宋体" w:hAnsi="宋体" w:cs="宋体" w:eastAsia="宋体" w:hint="default"/>
                <w:sz w:val="21"/>
                <w:szCs w:val="21"/>
              </w:rPr>
            </w:pPr>
            <w:r>
              <w:rPr>
                <w:rFonts w:ascii="宋体"/>
                <w:spacing w:val="-1"/>
                <w:sz w:val="21"/>
              </w:rPr>
              <w:t>-152,361,331</w:t>
            </w:r>
          </w:p>
        </w:tc>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-81,486,720</w:t>
            </w:r>
          </w:p>
        </w:tc>
      </w:tr>
      <w:tr>
        <w:trPr>
          <w:trHeight w:val="283" w:hRule="exact"/>
        </w:trPr>
        <w:tc>
          <w:tcPr>
            <w:tcW w:w="3001" w:type="dxa"/>
            <w:tcBorders>
              <w:top w:val="single" w:sz="4" w:space="0" w:color="000000"/>
              <w:left w:val="single" w:sz="4" w:space="0" w:color="000000"/>
              <w:bottom w:val="single" w:sz="4" w:space="0" w:color="000000"/>
              <w:right w:val="single" w:sz="4" w:space="0" w:color="000000"/>
            </w:tcBorders>
          </w:tcPr>
          <w:p>
            <w:pPr/>
          </w:p>
        </w:tc>
        <w:tc>
          <w:tcPr>
            <w:tcW w:w="2998" w:type="dxa"/>
            <w:tcBorders>
              <w:top w:val="single" w:sz="4" w:space="0" w:color="000000"/>
              <w:left w:val="single" w:sz="4" w:space="0" w:color="000000"/>
              <w:bottom w:val="single" w:sz="4" w:space="0" w:color="000000"/>
              <w:right w:val="single" w:sz="4" w:space="0" w:color="000000"/>
            </w:tcBorders>
          </w:tcPr>
          <w:p>
            <w:pPr/>
          </w:p>
        </w:tc>
        <w:tc>
          <w:tcPr>
            <w:tcW w:w="289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9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9"/>
              <w:jc w:val="right"/>
              <w:rPr>
                <w:rFonts w:ascii="宋体" w:hAnsi="宋体" w:cs="宋体" w:eastAsia="宋体" w:hint="default"/>
                <w:sz w:val="21"/>
                <w:szCs w:val="21"/>
              </w:rPr>
            </w:pPr>
            <w:r>
              <w:rPr>
                <w:rFonts w:ascii="宋体"/>
                <w:spacing w:val="-1"/>
                <w:sz w:val="21"/>
              </w:rPr>
              <w:t>305,133,983</w:t>
            </w:r>
          </w:p>
        </w:tc>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254,327,079</w:t>
            </w:r>
          </w:p>
        </w:tc>
      </w:tr>
    </w:tbl>
    <w:p>
      <w:pPr>
        <w:spacing w:line="240" w:lineRule="auto" w:before="7"/>
        <w:rPr>
          <w:rFonts w:ascii="宋体" w:hAnsi="宋体" w:cs="宋体" w:eastAsia="宋体" w:hint="default"/>
          <w:sz w:val="24"/>
          <w:szCs w:val="24"/>
        </w:rPr>
      </w:pPr>
    </w:p>
    <w:p>
      <w:pPr>
        <w:pStyle w:val="BodyText"/>
        <w:spacing w:line="273" w:lineRule="exact" w:before="36"/>
        <w:ind w:right="99"/>
        <w:jc w:val="left"/>
      </w:pPr>
      <w:r>
        <w:rPr/>
        <w:t>其他说明，包括利率区间：</w:t>
      </w:r>
    </w:p>
    <w:p>
      <w:pPr>
        <w:pStyle w:val="BodyText"/>
        <w:spacing w:line="272" w:lineRule="exact"/>
        <w:ind w:right="99"/>
        <w:jc w:val="left"/>
      </w:pPr>
      <w:r>
        <w:rPr/>
        <w:t>√适用</w:t>
      </w:r>
      <w:r>
        <w:rPr>
          <w:spacing w:val="-1"/>
        </w:rPr>
        <w:t> </w:t>
      </w:r>
      <w:r>
        <w:rPr/>
        <w:t>□不适用</w:t>
      </w:r>
    </w:p>
    <w:p>
      <w:pPr>
        <w:pStyle w:val="BodyText"/>
        <w:spacing w:line="272" w:lineRule="exact" w:before="27"/>
        <w:ind w:right="99"/>
        <w:jc w:val="left"/>
      </w:pPr>
      <w:r>
        <w:rPr/>
        <w:t>注</w:t>
      </w:r>
      <w:r>
        <w:rPr>
          <w:spacing w:val="-53"/>
        </w:rPr>
        <w:t> </w:t>
      </w:r>
      <w:r>
        <w:rPr>
          <w:rFonts w:ascii="宋体" w:hAnsi="宋体" w:cs="宋体" w:eastAsia="宋体" w:hint="default"/>
        </w:rPr>
        <w:t>1</w:t>
      </w:r>
      <w:r>
        <w:rPr>
          <w:rFonts w:ascii="宋体" w:hAnsi="宋体" w:cs="宋体" w:eastAsia="宋体" w:hint="default"/>
          <w:spacing w:val="-55"/>
        </w:rPr>
        <w:t> </w:t>
      </w:r>
      <w:r>
        <w:rPr/>
        <w:t>于</w:t>
      </w:r>
      <w:r>
        <w:rPr>
          <w:spacing w:val="-53"/>
        </w:rPr>
        <w:t> </w:t>
      </w:r>
      <w:r>
        <w:rPr>
          <w:rFonts w:ascii="宋体" w:hAnsi="宋体" w:cs="宋体" w:eastAsia="宋体" w:hint="default"/>
        </w:rPr>
        <w:t>2017</w:t>
      </w:r>
      <w:r>
        <w:rPr>
          <w:rFonts w:ascii="宋体" w:hAnsi="宋体" w:cs="宋体" w:eastAsia="宋体" w:hint="default"/>
          <w:spacing w:val="-53"/>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4"/>
        </w:rPr>
        <w:t> </w:t>
      </w:r>
      <w:r>
        <w:rPr/>
        <w:t>日，本公司以账面价值人民币</w:t>
      </w:r>
      <w:r>
        <w:rPr>
          <w:spacing w:val="-53"/>
        </w:rPr>
        <w:t> </w:t>
      </w:r>
      <w:r>
        <w:rPr>
          <w:rFonts w:ascii="宋体" w:hAnsi="宋体" w:cs="宋体" w:eastAsia="宋体" w:hint="default"/>
        </w:rPr>
        <w:t>22,972,109</w:t>
      </w:r>
      <w:r>
        <w:rPr>
          <w:rFonts w:ascii="宋体" w:hAnsi="宋体" w:cs="宋体" w:eastAsia="宋体" w:hint="default"/>
          <w:spacing w:val="-55"/>
        </w:rPr>
        <w:t> </w:t>
      </w:r>
      <w:r>
        <w:rPr/>
        <w:t>元</w:t>
      </w:r>
      <w:r>
        <w:rPr>
          <w:rFonts w:ascii="宋体" w:hAnsi="宋体" w:cs="宋体" w:eastAsia="宋体" w:hint="default"/>
        </w:rPr>
        <w:t>(2016</w:t>
      </w:r>
      <w:r>
        <w:rPr>
          <w:rFonts w:ascii="宋体" w:hAnsi="宋体" w:cs="宋体" w:eastAsia="宋体" w:hint="default"/>
          <w:spacing w:val="-55"/>
        </w:rPr>
        <w:t> </w:t>
      </w:r>
      <w:r>
        <w:rPr/>
        <w:t>年</w:t>
      </w:r>
      <w:r>
        <w:rPr>
          <w:spacing w:val="-52"/>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日人民币</w:t>
      </w:r>
      <w:r>
        <w:rPr>
          <w:w w:val="100"/>
        </w:rPr>
        <w:t> </w:t>
      </w:r>
      <w:r>
        <w:rPr>
          <w:rFonts w:ascii="宋体" w:hAnsi="宋体" w:cs="宋体" w:eastAsia="宋体" w:hint="default"/>
        </w:rPr>
        <w:t>23,477,259</w:t>
      </w:r>
      <w:r>
        <w:rPr>
          <w:rFonts w:ascii="宋体" w:hAnsi="宋体" w:cs="宋体" w:eastAsia="宋体" w:hint="default"/>
          <w:spacing w:val="-55"/>
        </w:rPr>
        <w:t> </w:t>
      </w:r>
      <w:r>
        <w:rPr/>
        <w:t>元</w:t>
      </w:r>
      <w:r>
        <w:rPr>
          <w:rFonts w:ascii="宋体" w:hAnsi="宋体" w:cs="宋体" w:eastAsia="宋体" w:hint="default"/>
        </w:rPr>
        <w:t>)</w:t>
      </w:r>
      <w:r>
        <w:rPr/>
        <w:t>的中关村永丰基地</w:t>
      </w:r>
      <w:r>
        <w:rPr>
          <w:spacing w:val="-54"/>
        </w:rPr>
        <w:t> </w:t>
      </w:r>
      <w:r>
        <w:rPr>
          <w:rFonts w:ascii="宋体" w:hAnsi="宋体" w:cs="宋体" w:eastAsia="宋体" w:hint="default"/>
        </w:rPr>
        <w:t>III-14</w:t>
      </w:r>
      <w:r>
        <w:rPr>
          <w:rFonts w:ascii="宋体" w:hAnsi="宋体" w:cs="宋体" w:eastAsia="宋体" w:hint="default"/>
          <w:spacing w:val="-55"/>
        </w:rPr>
        <w:t> </w:t>
      </w:r>
      <w:r>
        <w:rPr/>
        <w:t>及</w:t>
      </w:r>
      <w:r>
        <w:rPr>
          <w:spacing w:val="-57"/>
        </w:rPr>
        <w:t> </w:t>
      </w:r>
      <w:r>
        <w:rPr>
          <w:rFonts w:ascii="宋体" w:hAnsi="宋体" w:cs="宋体" w:eastAsia="宋体" w:hint="default"/>
        </w:rPr>
        <w:t>III-16</w:t>
      </w:r>
      <w:r>
        <w:rPr>
          <w:rFonts w:ascii="宋体" w:hAnsi="宋体" w:cs="宋体" w:eastAsia="宋体" w:hint="default"/>
          <w:spacing w:val="-54"/>
        </w:rPr>
        <w:t> </w:t>
      </w:r>
      <w:r>
        <w:rPr/>
        <w:t>地块土地使用权及其账面价值为人民币</w:t>
      </w:r>
    </w:p>
    <w:p>
      <w:pPr>
        <w:pStyle w:val="BodyText"/>
        <w:spacing w:line="272" w:lineRule="exact" w:before="1"/>
        <w:ind w:right="99"/>
        <w:jc w:val="left"/>
      </w:pPr>
      <w:r>
        <w:rPr>
          <w:rFonts w:ascii="宋体" w:hAnsi="宋体" w:cs="宋体" w:eastAsia="宋体" w:hint="default"/>
          <w:spacing w:val="-1"/>
          <w:w w:val="100"/>
        </w:rPr>
        <w:t>152,423,090</w:t>
      </w:r>
      <w:r>
        <w:rPr>
          <w:rFonts w:ascii="宋体" w:hAnsi="宋体" w:cs="宋体" w:eastAsia="宋体" w:hint="default"/>
          <w:spacing w:val="-51"/>
          <w:w w:val="100"/>
        </w:rPr>
        <w:t> </w:t>
      </w:r>
      <w:r>
        <w:rPr>
          <w:spacing w:val="-2"/>
          <w:w w:val="100"/>
        </w:rPr>
        <w:t>元的地上房产</w:t>
      </w:r>
      <w:r>
        <w:rPr>
          <w:rFonts w:ascii="宋体" w:hAnsi="宋体" w:cs="宋体" w:eastAsia="宋体" w:hint="default"/>
          <w:spacing w:val="-2"/>
          <w:w w:val="100"/>
        </w:rPr>
        <w:t>(2016</w:t>
      </w:r>
      <w:r>
        <w:rPr>
          <w:rFonts w:ascii="宋体" w:hAnsi="宋体" w:cs="宋体" w:eastAsia="宋体" w:hint="default"/>
          <w:spacing w:val="-51"/>
          <w:w w:val="100"/>
        </w:rPr>
        <w:t> </w:t>
      </w:r>
      <w:r>
        <w:rPr>
          <w:w w:val="100"/>
        </w:rPr>
        <w:t>年</w:t>
      </w:r>
      <w:r>
        <w:rPr>
          <w:spacing w:val="-53"/>
          <w:w w:val="100"/>
        </w:rPr>
        <w:t> </w:t>
      </w:r>
      <w:r>
        <w:rPr>
          <w:rFonts w:ascii="宋体" w:hAnsi="宋体" w:cs="宋体" w:eastAsia="宋体" w:hint="default"/>
          <w:w w:val="100"/>
        </w:rPr>
        <w:t>12</w:t>
      </w:r>
      <w:r>
        <w:rPr>
          <w:rFonts w:ascii="宋体" w:hAnsi="宋体" w:cs="宋体" w:eastAsia="宋体" w:hint="default"/>
          <w:spacing w:val="-53"/>
          <w:w w:val="100"/>
        </w:rPr>
        <w:t> </w:t>
      </w:r>
      <w:r>
        <w:rPr>
          <w:w w:val="100"/>
        </w:rPr>
        <w:t>月</w:t>
      </w:r>
      <w:r>
        <w:rPr>
          <w:spacing w:val="-51"/>
          <w:w w:val="100"/>
        </w:rPr>
        <w:t> </w:t>
      </w:r>
      <w:r>
        <w:rPr>
          <w:rFonts w:ascii="宋体" w:hAnsi="宋体" w:cs="宋体" w:eastAsia="宋体" w:hint="default"/>
          <w:w w:val="100"/>
        </w:rPr>
        <w:t>31</w:t>
      </w:r>
      <w:r>
        <w:rPr>
          <w:rFonts w:ascii="宋体" w:hAnsi="宋体" w:cs="宋体" w:eastAsia="宋体" w:hint="default"/>
          <w:spacing w:val="-53"/>
          <w:w w:val="100"/>
        </w:rPr>
        <w:t> </w:t>
      </w:r>
      <w:r>
        <w:rPr>
          <w:spacing w:val="-10"/>
          <w:w w:val="100"/>
        </w:rPr>
        <w:t>日无</w:t>
      </w:r>
      <w:r>
        <w:rPr>
          <w:rFonts w:ascii="宋体" w:hAnsi="宋体" w:cs="宋体" w:eastAsia="宋体" w:hint="default"/>
          <w:spacing w:val="-10"/>
          <w:w w:val="100"/>
        </w:rPr>
        <w:t>)</w:t>
      </w:r>
      <w:r>
        <w:rPr>
          <w:spacing w:val="-10"/>
          <w:w w:val="100"/>
        </w:rPr>
        <w:t>、账面价值为人民币</w:t>
      </w:r>
      <w:r>
        <w:rPr>
          <w:spacing w:val="-51"/>
          <w:w w:val="100"/>
        </w:rPr>
        <w:t> </w:t>
      </w:r>
      <w:r>
        <w:rPr>
          <w:rFonts w:ascii="宋体" w:hAnsi="宋体" w:cs="宋体" w:eastAsia="宋体" w:hint="default"/>
          <w:spacing w:val="-1"/>
          <w:w w:val="100"/>
        </w:rPr>
        <w:t>43,542,115</w:t>
      </w:r>
      <w:r>
        <w:rPr>
          <w:rFonts w:ascii="宋体" w:hAnsi="宋体" w:cs="宋体" w:eastAsia="宋体" w:hint="default"/>
          <w:spacing w:val="-53"/>
          <w:w w:val="100"/>
        </w:rPr>
        <w:t> </w:t>
      </w:r>
      <w:r>
        <w:rPr>
          <w:spacing w:val="-1"/>
          <w:w w:val="100"/>
        </w:rPr>
        <w:t>元</w:t>
      </w:r>
      <w:r>
        <w:rPr>
          <w:rFonts w:ascii="宋体" w:hAnsi="宋体" w:cs="宋体" w:eastAsia="宋体" w:hint="default"/>
          <w:spacing w:val="-1"/>
          <w:w w:val="100"/>
        </w:rPr>
        <w:t>(2016</w:t>
      </w:r>
      <w:r>
        <w:rPr>
          <w:rFonts w:ascii="宋体" w:hAnsi="宋体" w:cs="宋体" w:eastAsia="宋体" w:hint="default"/>
          <w:spacing w:val="-53"/>
          <w:w w:val="100"/>
        </w:rPr>
        <w:t> </w:t>
      </w:r>
      <w:r>
        <w:rPr>
          <w:w w:val="100"/>
        </w:rPr>
        <w:t>年</w:t>
      </w:r>
      <w:r>
        <w:rPr>
          <w:spacing w:val="-51"/>
          <w:w w:val="100"/>
        </w:rPr>
        <w:t> </w:t>
      </w:r>
      <w:r>
        <w:rPr>
          <w:rFonts w:ascii="宋体" w:hAnsi="宋体" w:cs="宋体" w:eastAsia="宋体" w:hint="default"/>
          <w:w w:val="100"/>
        </w:rPr>
        <w:t>12 </w:t>
      </w:r>
      <w:r>
        <w:rPr/>
        <w:t>月</w:t>
      </w:r>
      <w:r>
        <w:rPr>
          <w:spacing w:val="-54"/>
        </w:rPr>
        <w:t> </w:t>
      </w:r>
      <w:r>
        <w:rPr>
          <w:rFonts w:ascii="宋体" w:hAnsi="宋体" w:cs="宋体" w:eastAsia="宋体" w:hint="default"/>
        </w:rPr>
        <w:t>31</w:t>
      </w:r>
      <w:r>
        <w:rPr>
          <w:rFonts w:ascii="宋体" w:hAnsi="宋体" w:cs="宋体" w:eastAsia="宋体" w:hint="default"/>
          <w:spacing w:val="-56"/>
        </w:rPr>
        <w:t> </w:t>
      </w:r>
      <w:r>
        <w:rPr/>
        <w:t>日人民币</w:t>
      </w:r>
      <w:r>
        <w:rPr>
          <w:spacing w:val="-56"/>
        </w:rPr>
        <w:t> </w:t>
      </w:r>
      <w:r>
        <w:rPr>
          <w:rFonts w:ascii="宋体" w:hAnsi="宋体" w:cs="宋体" w:eastAsia="宋体" w:hint="default"/>
        </w:rPr>
        <w:t>44,743,262</w:t>
      </w:r>
      <w:r>
        <w:rPr>
          <w:rFonts w:ascii="宋体" w:hAnsi="宋体" w:cs="宋体" w:eastAsia="宋体" w:hint="default"/>
          <w:spacing w:val="-53"/>
        </w:rPr>
        <w:t> </w:t>
      </w:r>
      <w:r>
        <w:rPr/>
        <w:t>元</w:t>
      </w:r>
      <w:r>
        <w:rPr>
          <w:rFonts w:ascii="宋体" w:hAnsi="宋体" w:cs="宋体" w:eastAsia="宋体" w:hint="default"/>
        </w:rPr>
        <w:t>)</w:t>
      </w:r>
      <w:r>
        <w:rPr/>
        <w:t>的中关村永丰基地</w:t>
      </w:r>
      <w:r>
        <w:rPr>
          <w:spacing w:val="-54"/>
        </w:rPr>
        <w:t> </w:t>
      </w:r>
      <w:r>
        <w:rPr>
          <w:rFonts w:ascii="宋体" w:hAnsi="宋体" w:cs="宋体" w:eastAsia="宋体" w:hint="default"/>
        </w:rPr>
        <w:t>III-10</w:t>
      </w:r>
      <w:r>
        <w:rPr>
          <w:rFonts w:ascii="宋体" w:hAnsi="宋体" w:cs="宋体" w:eastAsia="宋体" w:hint="default"/>
          <w:spacing w:val="-56"/>
        </w:rPr>
        <w:t> </w:t>
      </w:r>
      <w:r>
        <w:rPr/>
        <w:t>及</w:t>
      </w:r>
      <w:r>
        <w:rPr>
          <w:spacing w:val="-54"/>
        </w:rPr>
        <w:t> </w:t>
      </w:r>
      <w:r>
        <w:rPr>
          <w:rFonts w:ascii="宋体" w:hAnsi="宋体" w:cs="宋体" w:eastAsia="宋体" w:hint="default"/>
        </w:rPr>
        <w:t>III-12</w:t>
      </w:r>
      <w:r>
        <w:rPr>
          <w:rFonts w:ascii="宋体" w:hAnsi="宋体" w:cs="宋体" w:eastAsia="宋体" w:hint="default"/>
          <w:spacing w:val="-56"/>
        </w:rPr>
        <w:t> </w:t>
      </w:r>
      <w:r>
        <w:rPr/>
        <w:t>地块土地使用权及其价值为</w:t>
      </w:r>
    </w:p>
    <w:p>
      <w:pPr>
        <w:pStyle w:val="BodyText"/>
        <w:spacing w:line="247" w:lineRule="exact"/>
        <w:ind w:right="99"/>
        <w:jc w:val="left"/>
      </w:pPr>
      <w:r>
        <w:rPr>
          <w:rFonts w:ascii="宋体" w:hAnsi="宋体" w:cs="宋体" w:eastAsia="宋体" w:hint="default"/>
        </w:rPr>
        <w:t>411,430,734</w:t>
      </w:r>
      <w:r>
        <w:rPr>
          <w:rFonts w:ascii="宋体" w:hAnsi="宋体" w:cs="宋体" w:eastAsia="宋体" w:hint="default"/>
          <w:spacing w:val="-54"/>
        </w:rPr>
        <w:t> </w:t>
      </w:r>
      <w:r>
        <w:rPr/>
        <w:t>人民币元</w:t>
      </w:r>
      <w:r>
        <w:rPr>
          <w:rFonts w:ascii="宋体" w:hAnsi="宋体" w:cs="宋体" w:eastAsia="宋体" w:hint="default"/>
        </w:rPr>
        <w:t>(2016</w:t>
      </w:r>
      <w:r>
        <w:rPr>
          <w:rFonts w:ascii="宋体" w:hAnsi="宋体" w:cs="宋体" w:eastAsia="宋体" w:hint="default"/>
          <w:spacing w:val="-54"/>
        </w:rPr>
        <w:t> </w:t>
      </w:r>
      <w:r>
        <w:rPr/>
        <w:t>年</w:t>
      </w:r>
      <w:r>
        <w:rPr>
          <w:spacing w:val="-54"/>
        </w:rPr>
        <w:t> </w:t>
      </w:r>
      <w:r>
        <w:rPr>
          <w:rFonts w:ascii="宋体" w:hAnsi="宋体" w:cs="宋体" w:eastAsia="宋体" w:hint="default"/>
        </w:rPr>
        <w:t>12</w:t>
      </w:r>
      <w:r>
        <w:rPr>
          <w:rFonts w:ascii="宋体" w:hAnsi="宋体" w:cs="宋体" w:eastAsia="宋体" w:hint="default"/>
          <w:spacing w:val="-54"/>
        </w:rPr>
        <w:t> </w:t>
      </w:r>
      <w:r>
        <w:rPr/>
        <w:t>月</w:t>
      </w:r>
      <w:r>
        <w:rPr>
          <w:spacing w:val="-56"/>
        </w:rPr>
        <w:t> </w:t>
      </w:r>
      <w:r>
        <w:rPr>
          <w:rFonts w:ascii="宋体" w:hAnsi="宋体" w:cs="宋体" w:eastAsia="宋体" w:hint="default"/>
        </w:rPr>
        <w:t>31</w:t>
      </w:r>
      <w:r>
        <w:rPr>
          <w:rFonts w:ascii="宋体" w:hAnsi="宋体" w:cs="宋体" w:eastAsia="宋体" w:hint="default"/>
          <w:spacing w:val="-56"/>
        </w:rPr>
        <w:t> </w:t>
      </w:r>
      <w:r>
        <w:rPr/>
        <w:t>日人民币</w:t>
      </w:r>
      <w:r>
        <w:rPr>
          <w:spacing w:val="-53"/>
        </w:rPr>
        <w:t> </w:t>
      </w:r>
      <w:r>
        <w:rPr>
          <w:rFonts w:ascii="宋体" w:hAnsi="宋体" w:cs="宋体" w:eastAsia="宋体" w:hint="default"/>
        </w:rPr>
        <w:t>403,760,995</w:t>
      </w:r>
      <w:r>
        <w:rPr>
          <w:rFonts w:ascii="宋体" w:hAnsi="宋体" w:cs="宋体" w:eastAsia="宋体" w:hint="default"/>
          <w:spacing w:val="-56"/>
        </w:rPr>
        <w:t> </w:t>
      </w:r>
      <w:r>
        <w:rPr/>
        <w:t>元</w:t>
      </w:r>
      <w:r>
        <w:rPr>
          <w:rFonts w:ascii="宋体" w:hAnsi="宋体" w:cs="宋体" w:eastAsia="宋体" w:hint="default"/>
        </w:rPr>
        <w:t>)</w:t>
      </w:r>
      <w:r>
        <w:rPr/>
        <w:t>的房产为抵押，取得招商银行</w:t>
      </w:r>
    </w:p>
    <w:p>
      <w:pPr>
        <w:pStyle w:val="BodyText"/>
        <w:spacing w:line="240" w:lineRule="auto"/>
        <w:ind w:right="99"/>
        <w:jc w:val="left"/>
      </w:pPr>
      <w:r>
        <w:rPr/>
        <w:t>股份有限公司北京清华园支行借款人民币</w:t>
      </w:r>
      <w:r>
        <w:rPr>
          <w:spacing w:val="-54"/>
        </w:rPr>
        <w:t> </w:t>
      </w:r>
      <w:r>
        <w:rPr>
          <w:rFonts w:ascii="宋体" w:hAnsi="宋体" w:cs="宋体" w:eastAsia="宋体" w:hint="default"/>
        </w:rPr>
        <w:t>65,374,602</w:t>
      </w:r>
      <w:r>
        <w:rPr>
          <w:rFonts w:ascii="宋体" w:hAnsi="宋体" w:cs="宋体" w:eastAsia="宋体" w:hint="default"/>
          <w:spacing w:val="-54"/>
        </w:rPr>
        <w:t> </w:t>
      </w:r>
      <w:r>
        <w:rPr/>
        <w:t>元</w:t>
      </w:r>
      <w:r>
        <w:rPr>
          <w:rFonts w:ascii="宋体" w:hAnsi="宋体" w:cs="宋体" w:eastAsia="宋体" w:hint="default"/>
        </w:rPr>
        <w:t>(2016</w:t>
      </w:r>
      <w:r>
        <w:rPr>
          <w:rFonts w:ascii="宋体" w:hAnsi="宋体" w:cs="宋体" w:eastAsia="宋体" w:hint="default"/>
          <w:spacing w:val="-56"/>
        </w:rPr>
        <w:t> </w:t>
      </w:r>
      <w:r>
        <w:rPr/>
        <w:t>年</w:t>
      </w:r>
      <w:r>
        <w:rPr>
          <w:spacing w:val="-54"/>
        </w:rPr>
        <w:t> </w:t>
      </w:r>
      <w:r>
        <w:rPr>
          <w:rFonts w:ascii="宋体" w:hAnsi="宋体" w:cs="宋体" w:eastAsia="宋体" w:hint="default"/>
        </w:rPr>
        <w:t>12</w:t>
      </w:r>
      <w:r>
        <w:rPr>
          <w:rFonts w:ascii="宋体" w:hAnsi="宋体" w:cs="宋体" w:eastAsia="宋体" w:hint="default"/>
          <w:spacing w:val="-54"/>
        </w:rPr>
        <w:t> </w:t>
      </w:r>
      <w:r>
        <w:rPr/>
        <w:t>月</w:t>
      </w:r>
      <w:r>
        <w:rPr>
          <w:spacing w:val="-56"/>
        </w:rPr>
        <w:t> </w:t>
      </w:r>
      <w:r>
        <w:rPr>
          <w:rFonts w:ascii="宋体" w:hAnsi="宋体" w:cs="宋体" w:eastAsia="宋体" w:hint="default"/>
        </w:rPr>
        <w:t>31</w:t>
      </w:r>
      <w:r>
        <w:rPr>
          <w:rFonts w:ascii="宋体" w:hAnsi="宋体" w:cs="宋体" w:eastAsia="宋体" w:hint="default"/>
          <w:spacing w:val="-54"/>
        </w:rPr>
        <w:t> </w:t>
      </w:r>
      <w:r>
        <w:rPr/>
        <w:t>日人民币</w:t>
      </w:r>
      <w:r>
        <w:rPr>
          <w:spacing w:val="-53"/>
        </w:rPr>
        <w:t> </w:t>
      </w:r>
      <w:r>
        <w:rPr>
          <w:rFonts w:ascii="宋体" w:hAnsi="宋体" w:cs="宋体" w:eastAsia="宋体" w:hint="default"/>
        </w:rPr>
        <w:t>108,944,644</w:t>
      </w:r>
      <w:r>
        <w:rPr>
          <w:rFonts w:ascii="宋体" w:hAnsi="宋体" w:cs="宋体" w:eastAsia="宋体" w:hint="default"/>
          <w:w w:val="100"/>
        </w:rPr>
        <w:t> </w:t>
      </w:r>
      <w:r>
        <w:rPr/>
        <w:t>元</w:t>
      </w:r>
      <w:r>
        <w:rPr>
          <w:rFonts w:ascii="宋体" w:hAnsi="宋体" w:cs="宋体" w:eastAsia="宋体" w:hint="default"/>
        </w:rPr>
        <w:t>)</w:t>
      </w:r>
      <w:r>
        <w:rPr/>
        <w:t>。</w:t>
      </w:r>
    </w:p>
    <w:p>
      <w:pPr>
        <w:spacing w:line="240" w:lineRule="auto" w:before="8"/>
        <w:rPr>
          <w:rFonts w:ascii="宋体" w:hAnsi="宋体" w:cs="宋体" w:eastAsia="宋体" w:hint="default"/>
          <w:sz w:val="20"/>
          <w:szCs w:val="20"/>
        </w:rPr>
      </w:pPr>
    </w:p>
    <w:p>
      <w:pPr>
        <w:pStyle w:val="BodyText"/>
        <w:spacing w:line="273" w:lineRule="exact"/>
        <w:ind w:right="99"/>
        <w:jc w:val="left"/>
      </w:pPr>
      <w:r>
        <w:rPr/>
        <w:t>于</w:t>
      </w:r>
      <w:r>
        <w:rPr>
          <w:spacing w:val="-53"/>
        </w:rPr>
        <w:t> </w:t>
      </w:r>
      <w:r>
        <w:rPr>
          <w:rFonts w:ascii="宋体" w:hAnsi="宋体" w:cs="宋体" w:eastAsia="宋体" w:hint="default"/>
        </w:rPr>
        <w:t>2017</w:t>
      </w:r>
      <w:r>
        <w:rPr>
          <w:rFonts w:ascii="宋体" w:hAnsi="宋体" w:cs="宋体" w:eastAsia="宋体" w:hint="default"/>
          <w:spacing w:val="-53"/>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日，本公司以账面价值人民币</w:t>
      </w:r>
      <w:r>
        <w:rPr>
          <w:spacing w:val="-52"/>
        </w:rPr>
        <w:t> </w:t>
      </w:r>
      <w:r>
        <w:rPr>
          <w:rFonts w:ascii="宋体" w:hAnsi="宋体" w:cs="宋体" w:eastAsia="宋体" w:hint="default"/>
        </w:rPr>
        <w:t>45,444,596</w:t>
      </w:r>
      <w:r>
        <w:rPr>
          <w:rFonts w:ascii="宋体" w:hAnsi="宋体" w:cs="宋体" w:eastAsia="宋体" w:hint="default"/>
          <w:spacing w:val="-55"/>
        </w:rPr>
        <w:t> </w:t>
      </w:r>
      <w:r>
        <w:rPr/>
        <w:t>元</w:t>
      </w:r>
      <w:r>
        <w:rPr>
          <w:rFonts w:ascii="宋体" w:hAnsi="宋体" w:cs="宋体" w:eastAsia="宋体" w:hint="default"/>
        </w:rPr>
        <w:t>(2016</w:t>
      </w:r>
      <w:r>
        <w:rPr>
          <w:rFonts w:ascii="宋体" w:hAnsi="宋体" w:cs="宋体" w:eastAsia="宋体" w:hint="default"/>
          <w:spacing w:val="-55"/>
        </w:rPr>
        <w:t> </w:t>
      </w:r>
      <w:r>
        <w:rPr/>
        <w:t>年</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2"/>
        </w:rPr>
        <w:t> </w:t>
      </w:r>
      <w:r>
        <w:rPr>
          <w:rFonts w:ascii="宋体" w:hAnsi="宋体" w:cs="宋体" w:eastAsia="宋体" w:hint="default"/>
        </w:rPr>
        <w:t>31</w:t>
      </w:r>
      <w:r>
        <w:rPr>
          <w:rFonts w:ascii="宋体" w:hAnsi="宋体" w:cs="宋体" w:eastAsia="宋体" w:hint="default"/>
          <w:spacing w:val="-55"/>
        </w:rPr>
        <w:t> </w:t>
      </w:r>
      <w:r>
        <w:rPr/>
        <w:t>日人民币</w:t>
      </w:r>
    </w:p>
    <w:p>
      <w:pPr>
        <w:pStyle w:val="BodyText"/>
        <w:spacing w:line="273" w:lineRule="exact"/>
        <w:ind w:right="99"/>
        <w:jc w:val="left"/>
      </w:pPr>
      <w:r>
        <w:rPr>
          <w:rFonts w:ascii="宋体" w:hAnsi="宋体" w:cs="宋体" w:eastAsia="宋体" w:hint="default"/>
        </w:rPr>
        <w:t>46,464,664</w:t>
      </w:r>
      <w:r>
        <w:rPr>
          <w:rFonts w:ascii="宋体" w:hAnsi="宋体" w:cs="宋体" w:eastAsia="宋体" w:hint="default"/>
          <w:spacing w:val="-61"/>
        </w:rPr>
        <w:t> </w:t>
      </w:r>
      <w:r>
        <w:rPr/>
        <w:t>元</w:t>
      </w:r>
      <w:r>
        <w:rPr>
          <w:rFonts w:ascii="宋体" w:hAnsi="宋体" w:cs="宋体" w:eastAsia="宋体" w:hint="default"/>
        </w:rPr>
        <w:t>)</w:t>
      </w:r>
      <w:r>
        <w:rPr/>
        <w:t>的中关村永丰基地</w:t>
      </w:r>
      <w:r>
        <w:rPr>
          <w:spacing w:val="-63"/>
        </w:rPr>
        <w:t> </w:t>
      </w:r>
      <w:r>
        <w:rPr>
          <w:rFonts w:ascii="宋体" w:hAnsi="宋体" w:cs="宋体" w:eastAsia="宋体" w:hint="default"/>
        </w:rPr>
        <w:t>III-22</w:t>
      </w:r>
      <w:r>
        <w:rPr>
          <w:rFonts w:ascii="宋体" w:hAnsi="宋体" w:cs="宋体" w:eastAsia="宋体" w:hint="default"/>
          <w:spacing w:val="-63"/>
        </w:rPr>
        <w:t> </w:t>
      </w:r>
      <w:r>
        <w:rPr/>
        <w:t>地块土地使用权及价值为人民币为</w:t>
      </w:r>
      <w:r>
        <w:rPr>
          <w:spacing w:val="-63"/>
        </w:rPr>
        <w:t> </w:t>
      </w:r>
      <w:r>
        <w:rPr>
          <w:rFonts w:ascii="宋体" w:hAnsi="宋体" w:cs="宋体" w:eastAsia="宋体" w:hint="default"/>
        </w:rPr>
        <w:t>392,402,565</w:t>
      </w:r>
      <w:r>
        <w:rPr>
          <w:rFonts w:ascii="宋体" w:hAnsi="宋体" w:cs="宋体" w:eastAsia="宋体" w:hint="default"/>
          <w:spacing w:val="-63"/>
        </w:rPr>
        <w:t> </w:t>
      </w:r>
      <w:r>
        <w:rPr/>
        <w:t>元的房</w:t>
      </w:r>
    </w:p>
    <w:p>
      <w:pPr>
        <w:pStyle w:val="BodyText"/>
        <w:spacing w:line="273" w:lineRule="exact"/>
        <w:ind w:right="99"/>
        <w:jc w:val="left"/>
      </w:pPr>
      <w:r>
        <w:rPr/>
        <w:t>产为抵押，取得工商银行北京中关村支行借款人民币</w:t>
      </w:r>
      <w:r>
        <w:rPr>
          <w:spacing w:val="-54"/>
        </w:rPr>
        <w:t> </w:t>
      </w:r>
      <w:r>
        <w:rPr>
          <w:rFonts w:ascii="宋体" w:hAnsi="宋体" w:cs="宋体" w:eastAsia="宋体" w:hint="default"/>
        </w:rPr>
        <w:t>12,120,712</w:t>
      </w:r>
      <w:r>
        <w:rPr>
          <w:rFonts w:ascii="宋体" w:hAnsi="宋体" w:cs="宋体" w:eastAsia="宋体" w:hint="default"/>
          <w:spacing w:val="-56"/>
        </w:rPr>
        <w:t> </w:t>
      </w:r>
      <w:r>
        <w:rPr/>
        <w:t>元</w:t>
      </w:r>
      <w:r>
        <w:rPr>
          <w:rFonts w:ascii="宋体" w:hAnsi="宋体" w:cs="宋体" w:eastAsia="宋体" w:hint="default"/>
        </w:rPr>
        <w:t>(2016</w:t>
      </w:r>
      <w:r>
        <w:rPr>
          <w:rFonts w:ascii="宋体" w:hAnsi="宋体" w:cs="宋体" w:eastAsia="宋体" w:hint="default"/>
          <w:spacing w:val="-56"/>
        </w:rPr>
        <w:t> </w:t>
      </w:r>
      <w:r>
        <w:rPr/>
        <w:t>年</w:t>
      </w:r>
      <w:r>
        <w:rPr>
          <w:spacing w:val="-56"/>
        </w:rPr>
        <w:t> </w:t>
      </w:r>
      <w:r>
        <w:rPr>
          <w:rFonts w:ascii="宋体" w:hAnsi="宋体" w:cs="宋体" w:eastAsia="宋体" w:hint="default"/>
        </w:rPr>
        <w:t>12</w:t>
      </w:r>
      <w:r>
        <w:rPr>
          <w:rFonts w:ascii="宋体" w:hAnsi="宋体" w:cs="宋体" w:eastAsia="宋体" w:hint="default"/>
          <w:spacing w:val="-53"/>
        </w:rPr>
        <w:t> </w:t>
      </w:r>
      <w:r>
        <w:rPr/>
        <w:t>月</w:t>
      </w:r>
      <w:r>
        <w:rPr>
          <w:spacing w:val="-54"/>
        </w:rPr>
        <w:t> </w:t>
      </w:r>
      <w:r>
        <w:rPr>
          <w:rFonts w:ascii="宋体" w:hAnsi="宋体" w:cs="宋体" w:eastAsia="宋体" w:hint="default"/>
        </w:rPr>
        <w:t>31</w:t>
      </w:r>
      <w:r>
        <w:rPr>
          <w:rFonts w:ascii="宋体" w:hAnsi="宋体" w:cs="宋体" w:eastAsia="宋体" w:hint="default"/>
          <w:spacing w:val="-54"/>
        </w:rPr>
        <w:t> </w:t>
      </w:r>
      <w:r>
        <w:rPr/>
        <w:t>日人民币</w:t>
      </w:r>
    </w:p>
    <w:p>
      <w:pPr>
        <w:pStyle w:val="BodyText"/>
        <w:spacing w:line="273" w:lineRule="exact"/>
        <w:ind w:right="99"/>
        <w:jc w:val="left"/>
      </w:pPr>
      <w:r>
        <w:rPr>
          <w:rFonts w:ascii="宋体" w:hAnsi="宋体" w:cs="宋体" w:eastAsia="宋体" w:hint="default"/>
        </w:rPr>
        <w:t>26,869,155</w:t>
      </w:r>
      <w:r>
        <w:rPr>
          <w:rFonts w:ascii="宋体" w:hAnsi="宋体" w:cs="宋体" w:eastAsia="宋体" w:hint="default"/>
          <w:spacing w:val="-53"/>
        </w:rPr>
        <w:t> </w:t>
      </w:r>
      <w:r>
        <w:rPr/>
        <w:t>元</w:t>
      </w:r>
      <w:r>
        <w:rPr>
          <w:rFonts w:ascii="宋体" w:hAnsi="宋体" w:cs="宋体" w:eastAsia="宋体" w:hint="default"/>
        </w:rPr>
        <w:t>)</w:t>
      </w:r>
      <w:r>
        <w:rPr/>
        <w:t>。</w:t>
      </w:r>
    </w:p>
    <w:p>
      <w:pPr>
        <w:spacing w:after="0" w:line="273" w:lineRule="exact"/>
        <w:jc w:val="left"/>
        <w:sectPr>
          <w:type w:val="continuous"/>
          <w:pgSz w:w="11910" w:h="16840"/>
          <w:pgMar w:top="1320" w:bottom="1380" w:left="1580" w:right="1040"/>
        </w:sectPr>
      </w:pPr>
    </w:p>
    <w:p>
      <w:pPr>
        <w:spacing w:line="240" w:lineRule="auto" w:before="2"/>
        <w:rPr>
          <w:rFonts w:ascii="宋体" w:hAnsi="宋体" w:cs="宋体" w:eastAsia="宋体" w:hint="default"/>
          <w:sz w:val="9"/>
          <w:szCs w:val="9"/>
        </w:rPr>
      </w:pPr>
    </w:p>
    <w:p>
      <w:pPr>
        <w:pStyle w:val="BodyText"/>
        <w:spacing w:line="274" w:lineRule="exact" w:before="36"/>
        <w:ind w:left="138" w:right="0"/>
        <w:jc w:val="left"/>
      </w:pPr>
      <w:r>
        <w:rPr/>
        <w:t>于</w:t>
      </w:r>
      <w:r>
        <w:rPr>
          <w:spacing w:val="-54"/>
        </w:rPr>
        <w:t> </w:t>
      </w:r>
      <w:r>
        <w:rPr>
          <w:rFonts w:ascii="宋体" w:hAnsi="宋体" w:cs="宋体" w:eastAsia="宋体" w:hint="default"/>
        </w:rPr>
        <w:t>2017</w:t>
      </w:r>
      <w:r>
        <w:rPr>
          <w:rFonts w:ascii="宋体" w:hAnsi="宋体" w:cs="宋体" w:eastAsia="宋体" w:hint="default"/>
          <w:spacing w:val="-54"/>
        </w:rPr>
        <w:t> </w:t>
      </w:r>
      <w:r>
        <w:rPr/>
        <w:t>年</w:t>
      </w:r>
      <w:r>
        <w:rPr>
          <w:spacing w:val="-56"/>
        </w:rPr>
        <w:t> </w:t>
      </w:r>
      <w:r>
        <w:rPr>
          <w:rFonts w:ascii="宋体" w:hAnsi="宋体" w:cs="宋体" w:eastAsia="宋体" w:hint="default"/>
        </w:rPr>
        <w:t>12</w:t>
      </w:r>
      <w:r>
        <w:rPr>
          <w:rFonts w:ascii="宋体" w:hAnsi="宋体" w:cs="宋体" w:eastAsia="宋体" w:hint="default"/>
          <w:spacing w:val="-56"/>
        </w:rPr>
        <w:t> </w:t>
      </w:r>
      <w:r>
        <w:rPr/>
        <w:t>月</w:t>
      </w:r>
      <w:r>
        <w:rPr>
          <w:spacing w:val="-54"/>
        </w:rPr>
        <w:t> </w:t>
      </w:r>
      <w:r>
        <w:rPr>
          <w:rFonts w:ascii="宋体" w:hAnsi="宋体" w:cs="宋体" w:eastAsia="宋体" w:hint="default"/>
        </w:rPr>
        <w:t>31</w:t>
      </w:r>
      <w:r>
        <w:rPr>
          <w:rFonts w:ascii="宋体" w:hAnsi="宋体" w:cs="宋体" w:eastAsia="宋体" w:hint="default"/>
          <w:spacing w:val="-56"/>
        </w:rPr>
        <w:t> </w:t>
      </w:r>
      <w:r>
        <w:rPr/>
        <w:t>日，南昌基地以账面价值人民币</w:t>
      </w:r>
      <w:r>
        <w:rPr>
          <w:spacing w:val="-56"/>
        </w:rPr>
        <w:t> </w:t>
      </w:r>
      <w:r>
        <w:rPr>
          <w:rFonts w:ascii="宋体" w:hAnsi="宋体" w:cs="宋体" w:eastAsia="宋体" w:hint="default"/>
        </w:rPr>
        <w:t>400,521,310</w:t>
      </w:r>
      <w:r>
        <w:rPr>
          <w:rFonts w:ascii="宋体" w:hAnsi="宋体" w:cs="宋体" w:eastAsia="宋体" w:hint="default"/>
          <w:spacing w:val="-54"/>
        </w:rPr>
        <w:t> </w:t>
      </w:r>
      <w:r>
        <w:rPr/>
        <w:t>元</w:t>
      </w:r>
      <w:r>
        <w:rPr>
          <w:rFonts w:ascii="宋体" w:hAnsi="宋体" w:cs="宋体" w:eastAsia="宋体" w:hint="default"/>
        </w:rPr>
        <w:t>(2016</w:t>
      </w:r>
      <w:r>
        <w:rPr>
          <w:rFonts w:ascii="宋体" w:hAnsi="宋体" w:cs="宋体" w:eastAsia="宋体" w:hint="default"/>
          <w:spacing w:val="-54"/>
        </w:rPr>
        <w:t> </w:t>
      </w:r>
      <w:r>
        <w:rPr/>
        <w:t>年</w:t>
      </w:r>
      <w:r>
        <w:rPr>
          <w:spacing w:val="-56"/>
        </w:rPr>
        <w:t> </w:t>
      </w:r>
      <w:r>
        <w:rPr>
          <w:rFonts w:ascii="宋体" w:hAnsi="宋体" w:cs="宋体" w:eastAsia="宋体" w:hint="default"/>
        </w:rPr>
        <w:t>12</w:t>
      </w:r>
      <w:r>
        <w:rPr>
          <w:rFonts w:ascii="宋体" w:hAnsi="宋体" w:cs="宋体" w:eastAsia="宋体" w:hint="default"/>
          <w:spacing w:val="-53"/>
        </w:rPr>
        <w:t> </w:t>
      </w:r>
      <w:r>
        <w:rPr/>
        <w:t>月</w:t>
      </w:r>
      <w:r>
        <w:rPr>
          <w:spacing w:val="-54"/>
        </w:rPr>
        <w:t> </w:t>
      </w:r>
      <w:r>
        <w:rPr>
          <w:rFonts w:ascii="宋体" w:hAnsi="宋体" w:cs="宋体" w:eastAsia="宋体" w:hint="default"/>
        </w:rPr>
        <w:t>31</w:t>
      </w:r>
      <w:r>
        <w:rPr>
          <w:rFonts w:ascii="宋体" w:hAnsi="宋体" w:cs="宋体" w:eastAsia="宋体" w:hint="default"/>
          <w:spacing w:val="-54"/>
        </w:rPr>
        <w:t> </w:t>
      </w:r>
      <w:r>
        <w:rPr/>
        <w:t>日人民币</w:t>
      </w:r>
    </w:p>
    <w:p>
      <w:pPr>
        <w:pStyle w:val="BodyText"/>
        <w:spacing w:line="272" w:lineRule="exact"/>
        <w:ind w:left="138" w:right="0"/>
        <w:jc w:val="left"/>
        <w:rPr>
          <w:rFonts w:ascii="宋体" w:hAnsi="宋体" w:cs="宋体" w:eastAsia="宋体" w:hint="default"/>
        </w:rPr>
      </w:pPr>
      <w:r>
        <w:rPr>
          <w:rFonts w:ascii="宋体" w:hAnsi="宋体" w:cs="宋体" w:eastAsia="宋体" w:hint="default"/>
        </w:rPr>
        <w:t>333,293,032</w:t>
      </w:r>
      <w:r>
        <w:rPr>
          <w:rFonts w:ascii="宋体" w:hAnsi="宋体" w:cs="宋体" w:eastAsia="宋体" w:hint="default"/>
          <w:spacing w:val="-53"/>
        </w:rPr>
        <w:t> </w:t>
      </w:r>
      <w:r>
        <w:rPr/>
        <w:t>元</w:t>
      </w:r>
      <w:r>
        <w:rPr>
          <w:rFonts w:ascii="宋体" w:hAnsi="宋体" w:cs="宋体" w:eastAsia="宋体" w:hint="default"/>
        </w:rPr>
        <w:t>)</w:t>
      </w:r>
      <w:r>
        <w:rPr/>
        <w:t>的房产、账面价值为</w:t>
      </w:r>
      <w:r>
        <w:rPr>
          <w:spacing w:val="-52"/>
        </w:rPr>
        <w:t> </w:t>
      </w:r>
      <w:r>
        <w:rPr>
          <w:rFonts w:ascii="宋体" w:hAnsi="宋体" w:cs="宋体" w:eastAsia="宋体" w:hint="default"/>
        </w:rPr>
        <w:t>103,581,374</w:t>
      </w:r>
      <w:r>
        <w:rPr>
          <w:rFonts w:ascii="宋体" w:hAnsi="宋体" w:cs="宋体" w:eastAsia="宋体" w:hint="default"/>
          <w:spacing w:val="-55"/>
        </w:rPr>
        <w:t> </w:t>
      </w:r>
      <w:r>
        <w:rPr/>
        <w:t>元</w:t>
      </w:r>
      <w:r>
        <w:rPr>
          <w:rFonts w:ascii="宋体" w:hAnsi="宋体" w:cs="宋体" w:eastAsia="宋体" w:hint="default"/>
        </w:rPr>
        <w:t>(2016</w:t>
      </w:r>
      <w:r>
        <w:rPr>
          <w:rFonts w:ascii="宋体" w:hAnsi="宋体" w:cs="宋体" w:eastAsia="宋体" w:hint="default"/>
          <w:spacing w:val="-53"/>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日人民币</w:t>
      </w:r>
      <w:r>
        <w:rPr>
          <w:spacing w:val="-52"/>
        </w:rPr>
        <w:t> </w:t>
      </w:r>
      <w:r>
        <w:rPr>
          <w:rFonts w:ascii="宋体" w:hAnsi="宋体" w:cs="宋体" w:eastAsia="宋体" w:hint="default"/>
        </w:rPr>
        <w:t>15,951,552</w:t>
      </w:r>
      <w:r>
        <w:rPr>
          <w:rFonts w:ascii="宋体" w:hAnsi="宋体" w:cs="宋体" w:eastAsia="宋体" w:hint="default"/>
          <w:spacing w:val="-53"/>
        </w:rPr>
        <w:t> </w:t>
      </w:r>
      <w:r>
        <w:rPr/>
        <w:t>元</w:t>
      </w:r>
      <w:r>
        <w:rPr>
          <w:rFonts w:ascii="宋体" w:hAnsi="宋体" w:cs="宋体" w:eastAsia="宋体" w:hint="default"/>
        </w:rPr>
        <w:t>)</w:t>
      </w:r>
    </w:p>
    <w:p>
      <w:pPr>
        <w:pStyle w:val="BodyText"/>
        <w:spacing w:line="272" w:lineRule="exact"/>
        <w:ind w:left="138" w:right="0"/>
        <w:jc w:val="left"/>
      </w:pPr>
      <w:r>
        <w:rPr/>
        <w:t>的地上在建工程及账面价值为人民币</w:t>
      </w:r>
      <w:r>
        <w:rPr>
          <w:spacing w:val="-60"/>
        </w:rPr>
        <w:t> </w:t>
      </w:r>
      <w:r>
        <w:rPr>
          <w:rFonts w:ascii="宋体" w:hAnsi="宋体" w:cs="宋体" w:eastAsia="宋体" w:hint="default"/>
        </w:rPr>
        <w:t>31,919,262</w:t>
      </w:r>
      <w:r>
        <w:rPr>
          <w:rFonts w:ascii="宋体" w:hAnsi="宋体" w:cs="宋体" w:eastAsia="宋体" w:hint="default"/>
          <w:spacing w:val="-58"/>
        </w:rPr>
        <w:t> </w:t>
      </w:r>
      <w:r>
        <w:rPr/>
        <w:t>元</w:t>
      </w:r>
      <w:r>
        <w:rPr>
          <w:rFonts w:ascii="宋体" w:hAnsi="宋体" w:cs="宋体" w:eastAsia="宋体" w:hint="default"/>
        </w:rPr>
        <w:t>(2016</w:t>
      </w:r>
      <w:r>
        <w:rPr>
          <w:rFonts w:ascii="宋体" w:hAnsi="宋体" w:cs="宋体" w:eastAsia="宋体" w:hint="default"/>
          <w:spacing w:val="-60"/>
        </w:rPr>
        <w:t> </w:t>
      </w:r>
      <w:r>
        <w:rPr/>
        <w:t>年</w:t>
      </w:r>
      <w:r>
        <w:rPr>
          <w:spacing w:val="-57"/>
        </w:rPr>
        <w:t> </w:t>
      </w:r>
      <w:r>
        <w:rPr>
          <w:rFonts w:ascii="宋体" w:hAnsi="宋体" w:cs="宋体" w:eastAsia="宋体" w:hint="default"/>
        </w:rPr>
        <w:t>12</w:t>
      </w:r>
      <w:r>
        <w:rPr>
          <w:rFonts w:ascii="宋体" w:hAnsi="宋体" w:cs="宋体" w:eastAsia="宋体" w:hint="default"/>
          <w:spacing w:val="-60"/>
        </w:rPr>
        <w:t> </w:t>
      </w:r>
      <w:r>
        <w:rPr/>
        <w:t>月</w:t>
      </w:r>
      <w:r>
        <w:rPr>
          <w:spacing w:val="-57"/>
        </w:rPr>
        <w:t> </w:t>
      </w:r>
      <w:r>
        <w:rPr>
          <w:rFonts w:ascii="宋体" w:hAnsi="宋体" w:cs="宋体" w:eastAsia="宋体" w:hint="default"/>
        </w:rPr>
        <w:t>31</w:t>
      </w:r>
      <w:r>
        <w:rPr>
          <w:rFonts w:ascii="宋体" w:hAnsi="宋体" w:cs="宋体" w:eastAsia="宋体" w:hint="default"/>
          <w:spacing w:val="-57"/>
        </w:rPr>
        <w:t> </w:t>
      </w:r>
      <w:r>
        <w:rPr/>
        <w:t>日人民币</w:t>
      </w:r>
      <w:r>
        <w:rPr>
          <w:spacing w:val="-57"/>
        </w:rPr>
        <w:t> </w:t>
      </w:r>
      <w:r>
        <w:rPr>
          <w:rFonts w:ascii="宋体" w:hAnsi="宋体" w:cs="宋体" w:eastAsia="宋体" w:hint="default"/>
        </w:rPr>
        <w:t>32,671,779</w:t>
      </w:r>
      <w:r>
        <w:rPr>
          <w:rFonts w:ascii="宋体" w:hAnsi="宋体" w:cs="宋体" w:eastAsia="宋体" w:hint="default"/>
          <w:spacing w:val="-58"/>
        </w:rPr>
        <w:t> </w:t>
      </w:r>
      <w:r>
        <w:rPr/>
        <w:t>元</w:t>
      </w:r>
      <w:r>
        <w:rPr>
          <w:rFonts w:ascii="宋体" w:hAnsi="宋体" w:cs="宋体" w:eastAsia="宋体" w:hint="default"/>
        </w:rPr>
        <w:t>)</w:t>
      </w:r>
      <w:r>
        <w:rPr/>
        <w:t>的</w:t>
      </w:r>
    </w:p>
    <w:p>
      <w:pPr>
        <w:pStyle w:val="BodyText"/>
        <w:spacing w:line="272" w:lineRule="exact" w:before="27"/>
        <w:ind w:left="138" w:right="155"/>
        <w:jc w:val="left"/>
      </w:pPr>
      <w:r>
        <w:rPr/>
        <w:t>土地为抵押物，取得北京银行南昌分行借款人民币</w:t>
      </w:r>
      <w:r>
        <w:rPr>
          <w:spacing w:val="-57"/>
        </w:rPr>
        <w:t> </w:t>
      </w:r>
      <w:r>
        <w:rPr>
          <w:rFonts w:ascii="宋体" w:hAnsi="宋体" w:cs="宋体" w:eastAsia="宋体" w:hint="default"/>
        </w:rPr>
        <w:t>270,000,000</w:t>
      </w:r>
      <w:r>
        <w:rPr>
          <w:rFonts w:ascii="宋体" w:hAnsi="宋体" w:cs="宋体" w:eastAsia="宋体" w:hint="default"/>
          <w:spacing w:val="-55"/>
        </w:rPr>
        <w:t> </w:t>
      </w:r>
      <w:r>
        <w:rPr/>
        <w:t>元。本公司作为保证人为该笔贷</w:t>
      </w:r>
      <w:r>
        <w:rPr>
          <w:w w:val="100"/>
        </w:rPr>
        <w:t> </w:t>
      </w:r>
      <w:r>
        <w:rPr/>
        <w:t>款提供担保。</w:t>
      </w:r>
    </w:p>
    <w:p>
      <w:pPr>
        <w:spacing w:line="240" w:lineRule="auto" w:before="10"/>
        <w:rPr>
          <w:rFonts w:ascii="宋体" w:hAnsi="宋体" w:cs="宋体" w:eastAsia="宋体" w:hint="default"/>
          <w:sz w:val="18"/>
          <w:szCs w:val="18"/>
        </w:rPr>
      </w:pPr>
    </w:p>
    <w:p>
      <w:pPr>
        <w:pStyle w:val="BodyText"/>
        <w:spacing w:line="240" w:lineRule="auto"/>
        <w:ind w:left="138" w:right="0"/>
        <w:jc w:val="left"/>
      </w:pPr>
      <w:r>
        <w:rPr>
          <w:w w:val="100"/>
        </w:rPr>
        <w:t>注</w:t>
      </w:r>
      <w:r>
        <w:rPr>
          <w:spacing w:val="-52"/>
          <w:w w:val="100"/>
        </w:rPr>
        <w:t> </w:t>
      </w:r>
      <w:r>
        <w:rPr>
          <w:rFonts w:ascii="宋体" w:hAnsi="宋体" w:cs="宋体" w:eastAsia="宋体" w:hint="default"/>
          <w:w w:val="100"/>
        </w:rPr>
        <w:t>2</w:t>
      </w:r>
      <w:r>
        <w:rPr>
          <w:rFonts w:ascii="宋体" w:hAnsi="宋体" w:cs="宋体" w:eastAsia="宋体" w:hint="default"/>
          <w:spacing w:val="-54"/>
          <w:w w:val="100"/>
        </w:rPr>
        <w:t> </w:t>
      </w:r>
      <w:r>
        <w:rPr>
          <w:w w:val="100"/>
        </w:rPr>
        <w:t>于</w:t>
      </w:r>
      <w:r>
        <w:rPr>
          <w:spacing w:val="-52"/>
          <w:w w:val="100"/>
        </w:rPr>
        <w:t> </w:t>
      </w:r>
      <w:r>
        <w:rPr>
          <w:rFonts w:ascii="宋体" w:hAnsi="宋体" w:cs="宋体" w:eastAsia="宋体" w:hint="default"/>
          <w:spacing w:val="-1"/>
          <w:w w:val="100"/>
        </w:rPr>
        <w:t>2017</w:t>
      </w:r>
      <w:r>
        <w:rPr>
          <w:rFonts w:ascii="宋体" w:hAnsi="宋体" w:cs="宋体" w:eastAsia="宋体" w:hint="default"/>
          <w:spacing w:val="-52"/>
          <w:w w:val="100"/>
        </w:rPr>
        <w:t> </w:t>
      </w:r>
      <w:r>
        <w:rPr>
          <w:w w:val="100"/>
        </w:rPr>
        <w:t>年</w:t>
      </w:r>
      <w:r>
        <w:rPr>
          <w:spacing w:val="-54"/>
          <w:w w:val="100"/>
        </w:rPr>
        <w:t> </w:t>
      </w:r>
      <w:r>
        <w:rPr>
          <w:rFonts w:ascii="宋体" w:hAnsi="宋体" w:cs="宋体" w:eastAsia="宋体" w:hint="default"/>
          <w:w w:val="100"/>
        </w:rPr>
        <w:t>12</w:t>
      </w:r>
      <w:r>
        <w:rPr>
          <w:rFonts w:ascii="宋体" w:hAnsi="宋体" w:cs="宋体" w:eastAsia="宋体" w:hint="default"/>
          <w:spacing w:val="-54"/>
          <w:w w:val="100"/>
        </w:rPr>
        <w:t> </w:t>
      </w:r>
      <w:r>
        <w:rPr>
          <w:w w:val="100"/>
        </w:rPr>
        <w:t>月</w:t>
      </w:r>
      <w:r>
        <w:rPr>
          <w:spacing w:val="-52"/>
          <w:w w:val="100"/>
        </w:rPr>
        <w:t> </w:t>
      </w:r>
      <w:r>
        <w:rPr>
          <w:rFonts w:ascii="宋体" w:hAnsi="宋体" w:cs="宋体" w:eastAsia="宋体" w:hint="default"/>
          <w:w w:val="100"/>
        </w:rPr>
        <w:t>31</w:t>
      </w:r>
      <w:r>
        <w:rPr>
          <w:rFonts w:ascii="宋体" w:hAnsi="宋体" w:cs="宋体" w:eastAsia="宋体" w:hint="default"/>
          <w:spacing w:val="-53"/>
          <w:w w:val="100"/>
        </w:rPr>
        <w:t> </w:t>
      </w:r>
      <w:r>
        <w:rPr>
          <w:spacing w:val="-10"/>
          <w:w w:val="100"/>
        </w:rPr>
        <w:t>日，本公司在工商银行借款</w:t>
      </w:r>
      <w:r>
        <w:rPr>
          <w:spacing w:val="-52"/>
          <w:w w:val="100"/>
        </w:rPr>
        <w:t> </w:t>
      </w:r>
      <w:r>
        <w:rPr>
          <w:rFonts w:ascii="宋体" w:hAnsi="宋体" w:cs="宋体" w:eastAsia="宋体" w:hint="default"/>
          <w:spacing w:val="-1"/>
          <w:w w:val="100"/>
        </w:rPr>
        <w:t>110,000,000</w:t>
      </w:r>
      <w:r>
        <w:rPr>
          <w:rFonts w:ascii="宋体" w:hAnsi="宋体" w:cs="宋体" w:eastAsia="宋体" w:hint="default"/>
          <w:spacing w:val="-52"/>
          <w:w w:val="100"/>
        </w:rPr>
        <w:t> </w:t>
      </w:r>
      <w:r>
        <w:rPr>
          <w:spacing w:val="-2"/>
          <w:w w:val="100"/>
        </w:rPr>
        <w:t>用于支付收购畅捷通信息技术股</w:t>
      </w:r>
      <w:r>
        <w:rPr>
          <w:w w:val="100"/>
        </w:rPr>
        <w:t> </w:t>
      </w:r>
      <w:r>
        <w:rPr/>
        <w:t>份有限公司持有的北京畅捷通支付技术有限公司</w:t>
      </w:r>
      <w:r>
        <w:rPr>
          <w:spacing w:val="-58"/>
        </w:rPr>
        <w:t> </w:t>
      </w:r>
      <w:r>
        <w:rPr>
          <w:rFonts w:ascii="宋体" w:hAnsi="宋体" w:cs="宋体" w:eastAsia="宋体" w:hint="default"/>
        </w:rPr>
        <w:t>55.82%</w:t>
      </w:r>
      <w:r>
        <w:rPr/>
        <w:t>股权，借款利率为</w:t>
      </w:r>
      <w:r>
        <w:rPr>
          <w:spacing w:val="-58"/>
        </w:rPr>
        <w:t> </w:t>
      </w:r>
      <w:r>
        <w:rPr>
          <w:rFonts w:ascii="宋体" w:hAnsi="宋体" w:cs="宋体" w:eastAsia="宋体" w:hint="default"/>
        </w:rPr>
        <w:t>4.75%</w:t>
      </w:r>
      <w:r>
        <w:rPr/>
        <w:t>。</w:t>
      </w:r>
    </w:p>
    <w:p>
      <w:pPr>
        <w:spacing w:line="240" w:lineRule="auto" w:before="3"/>
        <w:rPr>
          <w:rFonts w:ascii="宋体" w:hAnsi="宋体" w:cs="宋体" w:eastAsia="宋体" w:hint="default"/>
          <w:sz w:val="25"/>
          <w:szCs w:val="25"/>
        </w:rPr>
      </w:pPr>
    </w:p>
    <w:p>
      <w:pPr>
        <w:pStyle w:val="Heading3"/>
        <w:tabs>
          <w:tab w:pos="809" w:val="left" w:leader="none"/>
        </w:tabs>
        <w:spacing w:line="290" w:lineRule="auto"/>
        <w:ind w:left="138" w:right="7469"/>
        <w:jc w:val="left"/>
        <w:rPr>
          <w:b w:val="0"/>
          <w:bCs w:val="0"/>
        </w:rPr>
      </w:pPr>
      <w:r>
        <w:rPr>
          <w:rFonts w:ascii="宋体" w:hAnsi="宋体" w:cs="宋体" w:eastAsia="宋体" w:hint="default"/>
        </w:rPr>
        <w:t>46</w:t>
      </w:r>
      <w:r>
        <w:rPr/>
        <w:t>、</w:t>
      </w:r>
      <w:r>
        <w:rPr>
          <w:spacing w:val="-25"/>
        </w:rPr>
        <w:t> </w:t>
      </w:r>
      <w:r>
        <w:rPr/>
        <w:t>应付债券</w:t>
      </w:r>
      <w:r>
        <w:rPr>
          <w:w w:val="100"/>
        </w:rPr>
        <w:t> </w:t>
      </w:r>
      <w:r>
        <w:rPr>
          <w:rFonts w:ascii="宋体" w:hAnsi="宋体" w:cs="宋体" w:eastAsia="宋体" w:hint="default"/>
          <w:w w:val="95"/>
        </w:rPr>
        <w:t>(1).</w:t>
        <w:tab/>
      </w:r>
      <w:r>
        <w:rPr/>
        <w:t>应付债券</w:t>
      </w:r>
      <w:r>
        <w:rPr>
          <w:b w:val="0"/>
          <w:bCs w:val="0"/>
        </w:rPr>
      </w:r>
    </w:p>
    <w:p>
      <w:pPr>
        <w:pStyle w:val="BodyText"/>
        <w:spacing w:line="240" w:lineRule="auto" w:before="15"/>
        <w:ind w:left="138" w:right="0"/>
        <w:jc w:val="left"/>
      </w:pPr>
      <w:r>
        <w:rPr/>
        <w:t>□适用</w:t>
      </w:r>
      <w:r>
        <w:rPr>
          <w:spacing w:val="-1"/>
        </w:rPr>
        <w:t> </w:t>
      </w:r>
      <w:r>
        <w:rPr/>
        <w:t>√不适用</w:t>
      </w:r>
    </w:p>
    <w:p>
      <w:pPr>
        <w:pStyle w:val="Heading3"/>
        <w:tabs>
          <w:tab w:pos="809" w:val="left" w:leader="none"/>
        </w:tabs>
        <w:spacing w:line="240" w:lineRule="auto" w:before="56"/>
        <w:ind w:left="138" w:right="0"/>
        <w:jc w:val="left"/>
        <w:rPr>
          <w:b w:val="0"/>
          <w:bCs w:val="0"/>
        </w:rPr>
      </w:pPr>
      <w:r>
        <w:rPr>
          <w:rFonts w:ascii="宋体" w:hAnsi="宋体" w:cs="宋体" w:eastAsia="宋体" w:hint="default"/>
          <w:w w:val="99"/>
        </w:rPr>
        <w:t>(2).</w:t>
      </w:r>
      <w:r>
        <w:rPr>
          <w:rFonts w:ascii="宋体" w:hAnsi="宋体" w:cs="宋体" w:eastAsia="宋体" w:hint="default"/>
        </w:rPr>
        <w:tab/>
      </w:r>
      <w:r>
        <w:rPr>
          <w:w w:val="100"/>
        </w:rPr>
        <w:t>应付债券的增减变动</w:t>
      </w:r>
      <w:r>
        <w:rPr>
          <w:spacing w:val="-108"/>
          <w:w w:val="100"/>
        </w:rPr>
        <w:t>：</w:t>
      </w:r>
      <w:r>
        <w:rPr>
          <w:w w:val="100"/>
        </w:rPr>
        <w:t>（</w:t>
      </w:r>
      <w:r>
        <w:rPr>
          <w:spacing w:val="-3"/>
          <w:w w:val="100"/>
        </w:rPr>
        <w:t>不</w:t>
      </w:r>
      <w:r>
        <w:rPr>
          <w:w w:val="100"/>
        </w:rPr>
        <w:t>包括划分为金融负</w:t>
      </w:r>
      <w:r>
        <w:rPr>
          <w:spacing w:val="-3"/>
          <w:w w:val="100"/>
        </w:rPr>
        <w:t>债</w:t>
      </w:r>
      <w:r>
        <w:rPr>
          <w:w w:val="100"/>
        </w:rPr>
        <w:t>的</w:t>
      </w:r>
      <w:r>
        <w:rPr>
          <w:spacing w:val="-3"/>
          <w:w w:val="100"/>
        </w:rPr>
        <w:t>优</w:t>
      </w:r>
      <w:r>
        <w:rPr>
          <w:w w:val="100"/>
        </w:rPr>
        <w:t>先股、永续债等其</w:t>
      </w:r>
      <w:r>
        <w:rPr>
          <w:spacing w:val="-3"/>
          <w:w w:val="100"/>
        </w:rPr>
        <w:t>他</w:t>
      </w:r>
      <w:r>
        <w:rPr>
          <w:w w:val="100"/>
        </w:rPr>
        <w:t>金</w:t>
      </w:r>
      <w:r>
        <w:rPr>
          <w:spacing w:val="-3"/>
          <w:w w:val="100"/>
        </w:rPr>
        <w:t>融</w:t>
      </w:r>
      <w:r>
        <w:rPr>
          <w:w w:val="100"/>
        </w:rPr>
        <w:t>工具）</w:t>
      </w:r>
      <w:r>
        <w:rPr>
          <w:b w:val="0"/>
          <w:bCs w:val="0"/>
          <w:w w:val="100"/>
        </w:rPr>
      </w:r>
    </w:p>
    <w:p>
      <w:pPr>
        <w:pStyle w:val="BodyText"/>
        <w:spacing w:line="240" w:lineRule="auto" w:before="58"/>
        <w:ind w:left="138" w:right="0"/>
        <w:jc w:val="left"/>
      </w:pPr>
      <w:r>
        <w:rPr/>
        <w:t>□适用</w:t>
      </w:r>
      <w:r>
        <w:rPr>
          <w:spacing w:val="-1"/>
        </w:rPr>
        <w:t> </w:t>
      </w:r>
      <w:r>
        <w:rPr/>
        <w:t>√不适用</w:t>
      </w:r>
    </w:p>
    <w:p>
      <w:pPr>
        <w:pStyle w:val="Heading3"/>
        <w:tabs>
          <w:tab w:pos="809" w:val="left" w:leader="none"/>
        </w:tabs>
        <w:spacing w:line="240" w:lineRule="auto" w:before="56"/>
        <w:ind w:left="138" w:right="0"/>
        <w:jc w:val="left"/>
        <w:rPr>
          <w:b w:val="0"/>
          <w:bCs w:val="0"/>
        </w:rPr>
      </w:pPr>
      <w:r>
        <w:rPr>
          <w:rFonts w:ascii="宋体" w:hAnsi="宋体" w:cs="宋体" w:eastAsia="宋体" w:hint="default"/>
          <w:w w:val="95"/>
        </w:rPr>
        <w:t>(3).</w:t>
        <w:tab/>
      </w:r>
      <w:r>
        <w:rPr/>
        <w:t>可转换公司债券的转股条件、转股时间说明：</w:t>
      </w:r>
      <w:r>
        <w:rPr>
          <w:b w:val="0"/>
          <w:bCs w:val="0"/>
        </w:rPr>
      </w:r>
    </w:p>
    <w:p>
      <w:pPr>
        <w:pStyle w:val="BodyText"/>
        <w:tabs>
          <w:tab w:pos="980" w:val="left" w:leader="none"/>
        </w:tabs>
        <w:spacing w:line="240" w:lineRule="auto" w:before="58"/>
        <w:ind w:left="138" w:right="0"/>
        <w:jc w:val="left"/>
      </w:pPr>
      <w:r>
        <w:rPr>
          <w:spacing w:val="-1"/>
        </w:rPr>
        <w:t>□适用</w:t>
        <w:tab/>
      </w:r>
      <w:r>
        <w:rPr>
          <w:spacing w:val="-2"/>
        </w:rPr>
        <w:t>√不适用</w:t>
      </w:r>
    </w:p>
    <w:p>
      <w:pPr>
        <w:spacing w:line="240" w:lineRule="auto" w:before="11"/>
        <w:rPr>
          <w:rFonts w:ascii="宋体" w:hAnsi="宋体" w:cs="宋体" w:eastAsia="宋体" w:hint="default"/>
          <w:sz w:val="29"/>
          <w:szCs w:val="29"/>
        </w:rPr>
      </w:pPr>
    </w:p>
    <w:p>
      <w:pPr>
        <w:tabs>
          <w:tab w:pos="809" w:val="left" w:leader="none"/>
        </w:tabs>
        <w:spacing w:line="290" w:lineRule="auto" w:before="0"/>
        <w:ind w:left="138" w:right="3729"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划分为金融负债的其他金融工具说明：</w:t>
      </w:r>
      <w:r>
        <w:rPr>
          <w:rFonts w:ascii="宋体" w:hAnsi="宋体" w:cs="宋体" w:eastAsia="宋体" w:hint="default"/>
          <w:b/>
          <w:bCs/>
          <w:w w:val="100"/>
          <w:sz w:val="21"/>
          <w:szCs w:val="21"/>
        </w:rPr>
        <w:t> </w:t>
      </w:r>
      <w:r>
        <w:rPr>
          <w:rFonts w:ascii="宋体" w:hAnsi="宋体" w:cs="宋体" w:eastAsia="宋体" w:hint="default"/>
          <w:spacing w:val="-2"/>
          <w:sz w:val="21"/>
          <w:szCs w:val="21"/>
        </w:rPr>
        <w:t>期末发行在外的优先股、永续债等其他金融工具基本情况</w:t>
      </w:r>
    </w:p>
    <w:p>
      <w:pPr>
        <w:pStyle w:val="BodyText"/>
        <w:spacing w:line="227" w:lineRule="exact"/>
        <w:ind w:left="138" w:right="0"/>
        <w:jc w:val="left"/>
      </w:pPr>
      <w:r>
        <w:rPr/>
        <w:t>□适用</w:t>
      </w:r>
      <w:r>
        <w:rPr>
          <w:spacing w:val="-1"/>
        </w:rPr>
        <w:t> </w:t>
      </w:r>
      <w:r>
        <w:rPr/>
        <w:t>√不适用</w:t>
      </w:r>
    </w:p>
    <w:p>
      <w:pPr>
        <w:spacing w:line="240" w:lineRule="auto" w:before="8"/>
        <w:rPr>
          <w:rFonts w:ascii="宋体" w:hAnsi="宋体" w:cs="宋体" w:eastAsia="宋体" w:hint="default"/>
          <w:sz w:val="20"/>
          <w:szCs w:val="20"/>
        </w:rPr>
      </w:pPr>
    </w:p>
    <w:p>
      <w:pPr>
        <w:pStyle w:val="BodyText"/>
        <w:spacing w:line="274" w:lineRule="exact"/>
        <w:ind w:left="138" w:right="0"/>
        <w:jc w:val="left"/>
      </w:pPr>
      <w:r>
        <w:rPr/>
        <w:t>期末发行在外的优先股、永续债等金融工具变动情况表</w:t>
      </w:r>
    </w:p>
    <w:p>
      <w:pPr>
        <w:pStyle w:val="BodyText"/>
        <w:spacing w:line="290" w:lineRule="auto"/>
        <w:ind w:left="138" w:right="3914"/>
        <w:jc w:val="left"/>
      </w:pPr>
      <w:r>
        <w:rPr/>
        <w:t>□适用</w:t>
      </w:r>
      <w:r>
        <w:rPr>
          <w:spacing w:val="-2"/>
        </w:rPr>
        <w:t> </w:t>
      </w:r>
      <w:r>
        <w:rPr/>
        <w:t>√不适用</w:t>
      </w:r>
      <w:r>
        <w:rPr>
          <w:w w:val="100"/>
        </w:rPr>
        <w:t> </w:t>
      </w:r>
      <w:r>
        <w:rPr>
          <w:spacing w:val="-2"/>
        </w:rPr>
        <w:t>其他金融工具划分为金融负债的依据说明</w:t>
      </w:r>
    </w:p>
    <w:p>
      <w:pPr>
        <w:pStyle w:val="BodyText"/>
        <w:spacing w:line="240" w:lineRule="auto" w:before="14"/>
        <w:ind w:left="138" w:right="0"/>
        <w:jc w:val="left"/>
      </w:pPr>
      <w:r>
        <w:rPr/>
        <w:t>□适用</w:t>
      </w:r>
      <w:r>
        <w:rPr>
          <w:spacing w:val="-1"/>
        </w:rPr>
        <w:t> </w:t>
      </w:r>
      <w:r>
        <w:rPr/>
        <w:t>√不适用</w:t>
      </w:r>
    </w:p>
    <w:p>
      <w:pPr>
        <w:spacing w:line="240" w:lineRule="auto" w:before="11"/>
        <w:rPr>
          <w:rFonts w:ascii="宋体" w:hAnsi="宋体" w:cs="宋体" w:eastAsia="宋体" w:hint="default"/>
          <w:sz w:val="29"/>
          <w:szCs w:val="29"/>
        </w:rPr>
      </w:pPr>
    </w:p>
    <w:p>
      <w:pPr>
        <w:pStyle w:val="BodyText"/>
        <w:spacing w:line="240" w:lineRule="auto"/>
        <w:ind w:left="138" w:right="0"/>
        <w:jc w:val="left"/>
      </w:pPr>
      <w:r>
        <w:rPr/>
        <w:t>其他说明：</w:t>
      </w:r>
    </w:p>
    <w:p>
      <w:pPr>
        <w:pStyle w:val="BodyText"/>
        <w:spacing w:line="240" w:lineRule="auto" w:before="56"/>
        <w:ind w:left="138" w:right="0"/>
        <w:jc w:val="left"/>
      </w:pPr>
      <w:r>
        <w:rPr/>
        <w:t>□适用</w:t>
      </w:r>
      <w:r>
        <w:rPr>
          <w:spacing w:val="-1"/>
        </w:rPr>
        <w:t> </w:t>
      </w:r>
      <w:r>
        <w:rPr/>
        <w:t>√不适用</w:t>
      </w:r>
    </w:p>
    <w:p>
      <w:pPr>
        <w:spacing w:line="240" w:lineRule="auto" w:before="11"/>
        <w:rPr>
          <w:rFonts w:ascii="宋体" w:hAnsi="宋体" w:cs="宋体" w:eastAsia="宋体" w:hint="default"/>
          <w:sz w:val="29"/>
          <w:szCs w:val="29"/>
        </w:rPr>
      </w:pPr>
    </w:p>
    <w:p>
      <w:pPr>
        <w:pStyle w:val="Heading3"/>
        <w:spacing w:line="240" w:lineRule="auto"/>
        <w:ind w:left="138" w:right="0"/>
        <w:jc w:val="left"/>
        <w:rPr>
          <w:b w:val="0"/>
          <w:bCs w:val="0"/>
        </w:rPr>
      </w:pPr>
      <w:r>
        <w:rPr>
          <w:rFonts w:ascii="宋体" w:hAnsi="宋体" w:cs="宋体" w:eastAsia="宋体" w:hint="default"/>
        </w:rPr>
        <w:t>47</w:t>
      </w:r>
      <w:r>
        <w:rPr/>
        <w:t>、</w:t>
      </w:r>
      <w:r>
        <w:rPr>
          <w:spacing w:val="-25"/>
        </w:rPr>
        <w:t> </w:t>
      </w:r>
      <w:r>
        <w:rPr/>
        <w:t>长期应付款</w:t>
      </w:r>
      <w:r>
        <w:rPr>
          <w:b w:val="0"/>
          <w:bCs w:val="0"/>
        </w:rPr>
      </w:r>
    </w:p>
    <w:p>
      <w:pPr>
        <w:pStyle w:val="Heading3"/>
        <w:spacing w:line="273" w:lineRule="exact" w:before="58"/>
        <w:ind w:left="138" w:right="0"/>
        <w:jc w:val="left"/>
        <w:rPr>
          <w:b w:val="0"/>
          <w:bCs w:val="0"/>
        </w:rPr>
      </w:pPr>
      <w:r>
        <w:rPr>
          <w:rFonts w:ascii="宋体" w:hAnsi="宋体" w:cs="宋体" w:eastAsia="宋体" w:hint="default"/>
        </w:rPr>
        <w:t>(1) </w:t>
      </w:r>
      <w:r>
        <w:rPr/>
        <w:t>按款项性质列示长期应付款：</w:t>
      </w:r>
      <w:r>
        <w:rPr>
          <w:b w:val="0"/>
          <w:bCs w:val="0"/>
        </w:rPr>
      </w:r>
    </w:p>
    <w:p>
      <w:pPr>
        <w:pStyle w:val="BodyText"/>
        <w:spacing w:line="273" w:lineRule="exact"/>
        <w:ind w:left="138" w:right="0"/>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pStyle w:val="Heading3"/>
        <w:spacing w:line="240" w:lineRule="auto"/>
        <w:ind w:left="138" w:right="0"/>
        <w:jc w:val="left"/>
        <w:rPr>
          <w:b w:val="0"/>
          <w:bCs w:val="0"/>
        </w:rPr>
      </w:pPr>
      <w:r>
        <w:rPr>
          <w:rFonts w:ascii="宋体" w:hAnsi="宋体" w:cs="宋体" w:eastAsia="宋体" w:hint="default"/>
        </w:rPr>
        <w:t>48</w:t>
      </w:r>
      <w:r>
        <w:rPr/>
        <w:t>、</w:t>
      </w:r>
      <w:r>
        <w:rPr>
          <w:spacing w:val="-24"/>
        </w:rPr>
        <w:t> </w:t>
      </w:r>
      <w:r>
        <w:rPr/>
        <w:t>长期应付职工薪酬</w:t>
      </w:r>
      <w:r>
        <w:rPr>
          <w:b w:val="0"/>
          <w:bCs w:val="0"/>
        </w:rPr>
      </w:r>
    </w:p>
    <w:p>
      <w:pPr>
        <w:pStyle w:val="BodyText"/>
        <w:spacing w:line="240" w:lineRule="auto" w:before="56"/>
        <w:ind w:left="138" w:right="0"/>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pStyle w:val="Heading3"/>
        <w:spacing w:line="240" w:lineRule="auto"/>
        <w:ind w:left="138" w:right="0"/>
        <w:jc w:val="left"/>
        <w:rPr>
          <w:b w:val="0"/>
          <w:bCs w:val="0"/>
        </w:rPr>
      </w:pPr>
      <w:r>
        <w:rPr>
          <w:rFonts w:ascii="宋体" w:hAnsi="宋体" w:cs="宋体" w:eastAsia="宋体" w:hint="default"/>
        </w:rPr>
        <w:t>49</w:t>
      </w:r>
      <w:r>
        <w:rPr/>
        <w:t>、</w:t>
      </w:r>
      <w:r>
        <w:rPr>
          <w:spacing w:val="-25"/>
        </w:rPr>
        <w:t> </w:t>
      </w:r>
      <w:r>
        <w:rPr/>
        <w:t>专项应付款</w:t>
      </w:r>
      <w:r>
        <w:rPr>
          <w:b w:val="0"/>
          <w:bCs w:val="0"/>
        </w:rPr>
      </w:r>
    </w:p>
    <w:p>
      <w:pPr>
        <w:pStyle w:val="BodyText"/>
        <w:spacing w:line="240" w:lineRule="auto" w:before="56"/>
        <w:ind w:left="138" w:right="0"/>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5"/>
          <w:szCs w:val="25"/>
        </w:rPr>
      </w:pPr>
    </w:p>
    <w:p>
      <w:pPr>
        <w:pStyle w:val="Heading3"/>
        <w:spacing w:line="240" w:lineRule="auto"/>
        <w:ind w:left="138" w:right="0"/>
        <w:jc w:val="left"/>
        <w:rPr>
          <w:b w:val="0"/>
          <w:bCs w:val="0"/>
        </w:rPr>
      </w:pPr>
      <w:r>
        <w:rPr>
          <w:rFonts w:ascii="宋体" w:hAnsi="宋体" w:cs="宋体" w:eastAsia="宋体" w:hint="default"/>
        </w:rPr>
        <w:t>50</w:t>
      </w:r>
      <w:r>
        <w:rPr/>
        <w:t>、</w:t>
      </w:r>
      <w:r>
        <w:rPr>
          <w:spacing w:val="-25"/>
        </w:rPr>
        <w:t> </w:t>
      </w:r>
      <w:r>
        <w:rPr/>
        <w:t>预计负债</w:t>
      </w:r>
      <w:r>
        <w:rPr>
          <w:b w:val="0"/>
          <w:bCs w:val="0"/>
        </w:rPr>
      </w:r>
    </w:p>
    <w:p>
      <w:pPr>
        <w:pStyle w:val="BodyText"/>
        <w:spacing w:line="240" w:lineRule="auto" w:before="59"/>
        <w:ind w:left="138" w:right="0"/>
        <w:jc w:val="left"/>
      </w:pPr>
      <w:r>
        <w:rPr/>
        <w:t>□适用</w:t>
      </w:r>
      <w:r>
        <w:rPr>
          <w:spacing w:val="-1"/>
        </w:rPr>
        <w:t> </w:t>
      </w:r>
      <w:r>
        <w:rPr/>
        <w:t>√不适用</w:t>
      </w:r>
    </w:p>
    <w:p>
      <w:pPr>
        <w:spacing w:after="0" w:line="240" w:lineRule="auto"/>
        <w:jc w:val="left"/>
        <w:sectPr>
          <w:pgSz w:w="11910" w:h="16840"/>
          <w:pgMar w:header="857" w:footer="1195" w:top="1320" w:bottom="1380" w:left="1660" w:right="112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pgSz w:w="11910" w:h="16840"/>
          <w:pgMar w:header="857" w:footer="1195" w:top="1320" w:bottom="1380" w:left="1660" w:right="1120"/>
        </w:sectPr>
      </w:pPr>
    </w:p>
    <w:p>
      <w:pPr>
        <w:spacing w:line="290" w:lineRule="auto" w:before="36"/>
        <w:ind w:left="138" w:right="315" w:firstLine="0"/>
        <w:jc w:val="left"/>
        <w:rPr>
          <w:rFonts w:ascii="宋体" w:hAnsi="宋体" w:cs="宋体" w:eastAsia="宋体" w:hint="default"/>
          <w:sz w:val="21"/>
          <w:szCs w:val="21"/>
        </w:rPr>
      </w:pPr>
      <w:r>
        <w:rPr>
          <w:rFonts w:ascii="宋体" w:hAnsi="宋体" w:cs="宋体" w:eastAsia="宋体" w:hint="default"/>
          <w:b/>
          <w:bCs/>
          <w:sz w:val="21"/>
          <w:szCs w:val="21"/>
        </w:rPr>
        <w:t>51</w:t>
      </w:r>
      <w:r>
        <w:rPr>
          <w:rFonts w:ascii="宋体" w:hAnsi="宋体" w:cs="宋体" w:eastAsia="宋体" w:hint="default"/>
          <w:b/>
          <w:bCs/>
          <w:sz w:val="21"/>
          <w:szCs w:val="21"/>
        </w:rPr>
        <w:t>、</w:t>
      </w:r>
      <w:r>
        <w:rPr>
          <w:rFonts w:ascii="宋体" w:hAnsi="宋体" w:cs="宋体" w:eastAsia="宋体" w:hint="default"/>
          <w:b/>
          <w:bCs/>
          <w:spacing w:val="-25"/>
          <w:sz w:val="21"/>
          <w:szCs w:val="21"/>
        </w:rPr>
        <w:t> </w:t>
      </w:r>
      <w:r>
        <w:rPr>
          <w:rFonts w:ascii="宋体" w:hAnsi="宋体" w:cs="宋体" w:eastAsia="宋体" w:hint="default"/>
          <w:b/>
          <w:bCs/>
          <w:sz w:val="21"/>
          <w:szCs w:val="21"/>
        </w:rPr>
        <w:t>递延收益</w:t>
      </w:r>
      <w:r>
        <w:rPr>
          <w:rFonts w:ascii="宋体" w:hAnsi="宋体" w:cs="宋体" w:eastAsia="宋体" w:hint="default"/>
          <w:b/>
          <w:bCs/>
          <w:w w:val="100"/>
          <w:sz w:val="21"/>
          <w:szCs w:val="21"/>
        </w:rPr>
        <w:t> </w:t>
      </w:r>
      <w:r>
        <w:rPr>
          <w:rFonts w:ascii="宋体" w:hAnsi="宋体" w:cs="宋体" w:eastAsia="宋体" w:hint="default"/>
          <w:sz w:val="21"/>
          <w:szCs w:val="21"/>
        </w:rPr>
        <w:t>递延收益情况</w:t>
      </w:r>
    </w:p>
    <w:p>
      <w:pPr>
        <w:pStyle w:val="BodyText"/>
        <w:tabs>
          <w:tab w:pos="980" w:val="left" w:leader="none"/>
        </w:tabs>
        <w:spacing w:line="230" w:lineRule="exact"/>
        <w:ind w:left="138" w:right="-12"/>
        <w:jc w:val="left"/>
      </w:pPr>
      <w:r>
        <w:rPr>
          <w:spacing w:val="-1"/>
        </w:rPr>
        <w:t>√适用</w:t>
        <w:tab/>
      </w:r>
      <w:r>
        <w:rPr>
          <w:spacing w:val="-2"/>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9"/>
          <w:szCs w:val="29"/>
        </w:rPr>
      </w:pPr>
    </w:p>
    <w:p>
      <w:pPr>
        <w:pStyle w:val="BodyText"/>
        <w:spacing w:line="240" w:lineRule="auto"/>
        <w:ind w:left="138" w:right="0"/>
        <w:jc w:val="left"/>
      </w:pPr>
      <w:r>
        <w:rPr/>
        <w:t>单位：元币种：人民币</w:t>
      </w:r>
    </w:p>
    <w:p>
      <w:pPr>
        <w:spacing w:after="0" w:line="240" w:lineRule="auto"/>
        <w:jc w:val="left"/>
        <w:sectPr>
          <w:type w:val="continuous"/>
          <w:pgSz w:w="11910" w:h="16840"/>
          <w:pgMar w:top="1320" w:bottom="1380" w:left="1660" w:right="1120"/>
          <w:cols w:num="2" w:equalWidth="0">
            <w:col w:w="1821" w:space="4912"/>
            <w:col w:w="2397"/>
          </w:cols>
        </w:sectPr>
      </w:pPr>
    </w:p>
    <w:p>
      <w:pPr>
        <w:spacing w:line="240" w:lineRule="auto" w:before="7"/>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1502"/>
        <w:gridCol w:w="1443"/>
        <w:gridCol w:w="1457"/>
        <w:gridCol w:w="1440"/>
        <w:gridCol w:w="1486"/>
        <w:gridCol w:w="1567"/>
      </w:tblGrid>
      <w:tr>
        <w:trPr>
          <w:trHeight w:val="346" w:hRule="exact"/>
        </w:trPr>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533"/>
              <w:jc w:val="right"/>
              <w:rPr>
                <w:rFonts w:ascii="宋体" w:hAnsi="宋体" w:cs="宋体" w:eastAsia="宋体" w:hint="default"/>
                <w:sz w:val="21"/>
                <w:szCs w:val="21"/>
              </w:rPr>
            </w:pPr>
            <w:r>
              <w:rPr>
                <w:rFonts w:ascii="宋体" w:hAnsi="宋体" w:cs="宋体" w:eastAsia="宋体" w:hint="default"/>
                <w:sz w:val="21"/>
                <w:szCs w:val="21"/>
              </w:rPr>
              <w:t>项目</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295"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302"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293"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319"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形成原因</w:t>
            </w:r>
          </w:p>
        </w:tc>
      </w:tr>
      <w:tr>
        <w:trPr>
          <w:trHeight w:val="281" w:hRule="exact"/>
        </w:trPr>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73,852,896</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41,200,000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41,823,851</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0"/>
              <w:jc w:val="right"/>
              <w:rPr>
                <w:rFonts w:ascii="宋体" w:hAnsi="宋体" w:cs="宋体" w:eastAsia="宋体" w:hint="default"/>
                <w:sz w:val="21"/>
                <w:szCs w:val="21"/>
              </w:rPr>
            </w:pPr>
            <w:r>
              <w:rPr>
                <w:rFonts w:ascii="宋体"/>
                <w:spacing w:val="-1"/>
                <w:sz w:val="21"/>
              </w:rPr>
              <w:t>73,229,045</w:t>
            </w:r>
          </w:p>
        </w:tc>
        <w:tc>
          <w:tcPr>
            <w:tcW w:w="1567"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pacing w:val="-6"/>
                <w:sz w:val="21"/>
                <w:szCs w:val="21"/>
              </w:rPr>
              <w:t>减：一年内到期</w:t>
            </w:r>
          </w:p>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的递延收益</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-31,928,851</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-21,277,234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-14,398,851</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0"/>
              <w:jc w:val="right"/>
              <w:rPr>
                <w:rFonts w:ascii="宋体" w:hAnsi="宋体" w:cs="宋体" w:eastAsia="宋体" w:hint="default"/>
                <w:sz w:val="21"/>
                <w:szCs w:val="21"/>
              </w:rPr>
            </w:pPr>
            <w:r>
              <w:rPr>
                <w:rFonts w:ascii="宋体"/>
                <w:spacing w:val="-1"/>
                <w:sz w:val="21"/>
              </w:rPr>
              <w:t>-38,807,234</w:t>
            </w:r>
          </w:p>
        </w:tc>
        <w:tc>
          <w:tcPr>
            <w:tcW w:w="156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502"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
        </w:tc>
        <w:tc>
          <w:tcPr>
            <w:tcW w:w="1457"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c>
          <w:tcPr>
            <w:tcW w:w="156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33"/>
              <w:jc w:val="right"/>
              <w:rPr>
                <w:rFonts w:ascii="宋体" w:hAnsi="宋体" w:cs="宋体" w:eastAsia="宋体" w:hint="default"/>
                <w:sz w:val="21"/>
                <w:szCs w:val="21"/>
              </w:rPr>
            </w:pPr>
            <w:r>
              <w:rPr>
                <w:rFonts w:ascii="宋体" w:hAnsi="宋体" w:cs="宋体" w:eastAsia="宋体" w:hint="default"/>
                <w:sz w:val="21"/>
                <w:szCs w:val="21"/>
              </w:rPr>
              <w:t>合计</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41,924,045</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19,922,766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27,425,000</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0"/>
              <w:jc w:val="right"/>
              <w:rPr>
                <w:rFonts w:ascii="宋体" w:hAnsi="宋体" w:cs="宋体" w:eastAsia="宋体" w:hint="default"/>
                <w:sz w:val="21"/>
                <w:szCs w:val="21"/>
              </w:rPr>
            </w:pPr>
            <w:r>
              <w:rPr>
                <w:rFonts w:ascii="宋体"/>
                <w:spacing w:val="-1"/>
                <w:sz w:val="21"/>
              </w:rPr>
              <w:t>34,421,811</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type w:val="continuous"/>
          <w:pgSz w:w="11910" w:h="16840"/>
          <w:pgMar w:top="1320" w:bottom="1380" w:left="1660" w:right="1120"/>
        </w:sectPr>
      </w:pPr>
    </w:p>
    <w:p>
      <w:pPr>
        <w:pStyle w:val="BodyText"/>
        <w:spacing w:line="240" w:lineRule="auto" w:before="36"/>
        <w:ind w:left="138" w:right="0"/>
        <w:jc w:val="left"/>
      </w:pPr>
      <w:r>
        <w:rPr>
          <w:spacing w:val="-2"/>
        </w:rPr>
        <w:t>涉及政府补助的项目：</w:t>
      </w:r>
    </w:p>
    <w:p>
      <w:pPr>
        <w:pStyle w:val="BodyText"/>
        <w:spacing w:line="240" w:lineRule="auto" w:before="58"/>
        <w:ind w:left="138" w:right="0"/>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pStyle w:val="BodyText"/>
        <w:spacing w:line="240" w:lineRule="auto" w:before="177"/>
        <w:ind w:left="138" w:right="0"/>
        <w:jc w:val="left"/>
      </w:pPr>
      <w:r>
        <w:rPr/>
        <w:t>单位：元币种：人民币</w:t>
      </w:r>
    </w:p>
    <w:p>
      <w:pPr>
        <w:spacing w:after="0" w:line="240" w:lineRule="auto"/>
        <w:jc w:val="left"/>
        <w:sectPr>
          <w:type w:val="continuous"/>
          <w:pgSz w:w="11910" w:h="16840"/>
          <w:pgMar w:top="1320" w:bottom="1380" w:left="1660" w:right="1120"/>
          <w:cols w:num="2" w:equalWidth="0">
            <w:col w:w="2241" w:space="4492"/>
            <w:col w:w="2397"/>
          </w:cols>
        </w:sectPr>
      </w:pPr>
    </w:p>
    <w:p>
      <w:pPr>
        <w:spacing w:line="240" w:lineRule="auto" w:before="1"/>
        <w:rPr>
          <w:rFonts w:ascii="宋体" w:hAnsi="宋体" w:cs="宋体" w:eastAsia="宋体" w:hint="default"/>
          <w:sz w:val="7"/>
          <w:szCs w:val="7"/>
        </w:rPr>
      </w:pPr>
    </w:p>
    <w:tbl>
      <w:tblPr>
        <w:tblW w:w="0" w:type="auto"/>
        <w:jc w:val="left"/>
        <w:tblInd w:w="102" w:type="dxa"/>
        <w:tblLayout w:type="fixed"/>
        <w:tblCellMar>
          <w:top w:w="0" w:type="dxa"/>
          <w:left w:w="0" w:type="dxa"/>
          <w:bottom w:w="0" w:type="dxa"/>
          <w:right w:w="0" w:type="dxa"/>
        </w:tblCellMar>
        <w:tblLook w:val="01E0"/>
      </w:tblPr>
      <w:tblGrid>
        <w:gridCol w:w="1855"/>
        <w:gridCol w:w="1285"/>
        <w:gridCol w:w="1286"/>
        <w:gridCol w:w="1287"/>
        <w:gridCol w:w="588"/>
        <w:gridCol w:w="1270"/>
        <w:gridCol w:w="1325"/>
      </w:tblGrid>
      <w:tr>
        <w:trPr>
          <w:trHeight w:val="826"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501" w:right="0"/>
              <w:jc w:val="left"/>
              <w:rPr>
                <w:rFonts w:ascii="宋体" w:hAnsi="宋体" w:cs="宋体" w:eastAsia="宋体" w:hint="default"/>
                <w:sz w:val="21"/>
                <w:szCs w:val="21"/>
              </w:rPr>
            </w:pPr>
            <w:r>
              <w:rPr>
                <w:rFonts w:ascii="宋体" w:hAnsi="宋体" w:cs="宋体" w:eastAsia="宋体" w:hint="default"/>
                <w:sz w:val="21"/>
                <w:szCs w:val="21"/>
              </w:rPr>
              <w:t>负债项目</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16"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30"/>
              <w:ind w:left="323" w:right="108" w:hanging="212"/>
              <w:jc w:val="left"/>
              <w:rPr>
                <w:rFonts w:ascii="宋体" w:hAnsi="宋体" w:cs="宋体" w:eastAsia="宋体" w:hint="default"/>
                <w:sz w:val="21"/>
                <w:szCs w:val="21"/>
              </w:rPr>
            </w:pPr>
            <w:r>
              <w:rPr>
                <w:rFonts w:ascii="宋体" w:hAnsi="宋体" w:cs="宋体" w:eastAsia="宋体" w:hint="default"/>
                <w:sz w:val="21"/>
                <w:szCs w:val="21"/>
              </w:rPr>
              <w:t>本期新增补</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助金额</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12" w:right="0"/>
              <w:jc w:val="left"/>
              <w:rPr>
                <w:rFonts w:ascii="宋体" w:hAnsi="宋体" w:cs="宋体" w:eastAsia="宋体" w:hint="default"/>
                <w:sz w:val="21"/>
                <w:szCs w:val="21"/>
              </w:rPr>
            </w:pPr>
            <w:r>
              <w:rPr>
                <w:rFonts w:ascii="宋体" w:hAnsi="宋体" w:cs="宋体" w:eastAsia="宋体" w:hint="default"/>
                <w:sz w:val="21"/>
                <w:szCs w:val="21"/>
              </w:rPr>
              <w:t>本期计入营</w:t>
            </w:r>
          </w:p>
          <w:p>
            <w:pPr>
              <w:pStyle w:val="TableParagraph"/>
              <w:spacing w:line="240" w:lineRule="auto"/>
              <w:ind w:left="533" w:right="108" w:hanging="421"/>
              <w:jc w:val="left"/>
              <w:rPr>
                <w:rFonts w:ascii="宋体" w:hAnsi="宋体" w:cs="宋体" w:eastAsia="宋体" w:hint="default"/>
                <w:sz w:val="21"/>
                <w:szCs w:val="21"/>
              </w:rPr>
            </w:pPr>
            <w:r>
              <w:rPr>
                <w:rFonts w:ascii="宋体" w:hAnsi="宋体" w:cs="宋体" w:eastAsia="宋体" w:hint="default"/>
                <w:sz w:val="21"/>
                <w:szCs w:val="21"/>
              </w:rPr>
              <w:t>业外收入金</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额</w:t>
            </w: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30"/>
              <w:ind w:left="76" w:right="77"/>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pacing w:val="-103"/>
                <w:sz w:val="21"/>
                <w:szCs w:val="21"/>
              </w:rPr>
              <w:t> </w:t>
            </w:r>
            <w:r>
              <w:rPr>
                <w:rFonts w:ascii="宋体" w:hAnsi="宋体" w:cs="宋体" w:eastAsia="宋体" w:hint="default"/>
                <w:sz w:val="21"/>
                <w:szCs w:val="21"/>
              </w:rPr>
              <w:t>变动</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08"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30"/>
              <w:ind w:left="129" w:right="77" w:hanging="51"/>
              <w:jc w:val="left"/>
              <w:rPr>
                <w:rFonts w:ascii="宋体" w:hAnsi="宋体" w:cs="宋体" w:eastAsia="宋体" w:hint="default"/>
                <w:sz w:val="21"/>
                <w:szCs w:val="21"/>
              </w:rPr>
            </w:pPr>
            <w:r>
              <w:rPr>
                <w:rFonts w:ascii="宋体" w:hAnsi="宋体" w:cs="宋体" w:eastAsia="宋体" w:hint="default"/>
                <w:sz w:val="21"/>
                <w:szCs w:val="21"/>
              </w:rPr>
              <w:t>与资产相关</w:t>
            </w:r>
            <w:r>
              <w:rPr>
                <w:rFonts w:ascii="宋体" w:hAnsi="宋体" w:cs="宋体" w:eastAsia="宋体" w:hint="default"/>
                <w:sz w:val="21"/>
                <w:szCs w:val="21"/>
              </w:rPr>
              <w:t>/</w:t>
            </w:r>
            <w:r>
              <w:rPr>
                <w:rFonts w:ascii="宋体" w:hAnsi="宋体" w:cs="宋体" w:eastAsia="宋体" w:hint="default"/>
                <w:w w:val="100"/>
                <w:sz w:val="21"/>
                <w:szCs w:val="21"/>
              </w:rPr>
              <w:t> </w:t>
            </w:r>
            <w:r>
              <w:rPr>
                <w:rFonts w:ascii="宋体" w:hAnsi="宋体" w:cs="宋体" w:eastAsia="宋体" w:hint="default"/>
                <w:sz w:val="21"/>
                <w:szCs w:val="21"/>
              </w:rPr>
              <w:t>与收益相关</w:t>
            </w:r>
          </w:p>
        </w:tc>
      </w:tr>
      <w:tr>
        <w:trPr>
          <w:trHeight w:val="828"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企业云平台与云</w:t>
            </w:r>
          </w:p>
          <w:p>
            <w:pPr>
              <w:pStyle w:val="TableParagraph"/>
              <w:spacing w:line="272" w:lineRule="exact" w:before="27"/>
              <w:ind w:left="26" w:right="187"/>
              <w:jc w:val="left"/>
              <w:rPr>
                <w:rFonts w:ascii="宋体" w:hAnsi="宋体" w:cs="宋体" w:eastAsia="宋体" w:hint="default"/>
                <w:sz w:val="21"/>
                <w:szCs w:val="21"/>
              </w:rPr>
            </w:pPr>
            <w:r>
              <w:rPr>
                <w:rFonts w:ascii="宋体" w:hAnsi="宋体" w:cs="宋体" w:eastAsia="宋体" w:hint="default"/>
                <w:sz w:val="21"/>
                <w:szCs w:val="21"/>
              </w:rPr>
              <w:t>ERP</w:t>
            </w:r>
            <w:r>
              <w:rPr>
                <w:rFonts w:ascii="宋体" w:hAnsi="宋体" w:cs="宋体" w:eastAsia="宋体" w:hint="default"/>
                <w:spacing w:val="-53"/>
                <w:sz w:val="21"/>
                <w:szCs w:val="21"/>
              </w:rPr>
              <w:t> </w:t>
            </w:r>
            <w:r>
              <w:rPr>
                <w:rFonts w:ascii="宋体" w:hAnsi="宋体" w:cs="宋体" w:eastAsia="宋体" w:hint="default"/>
                <w:sz w:val="21"/>
                <w:szCs w:val="21"/>
              </w:rPr>
              <w:t>系统研发及推</w:t>
            </w:r>
            <w:r>
              <w:rPr>
                <w:rFonts w:ascii="宋体" w:hAnsi="宋体" w:cs="宋体" w:eastAsia="宋体" w:hint="default"/>
                <w:w w:val="100"/>
                <w:sz w:val="21"/>
                <w:szCs w:val="21"/>
              </w:rPr>
              <w:t> </w:t>
            </w:r>
            <w:r>
              <w:rPr>
                <w:rFonts w:ascii="宋体" w:hAnsi="宋体" w:cs="宋体" w:eastAsia="宋体" w:hint="default"/>
                <w:sz w:val="21"/>
                <w:szCs w:val="21"/>
              </w:rPr>
              <w:t>广应用</w:t>
            </w:r>
          </w:p>
        </w:tc>
        <w:tc>
          <w:tcPr>
            <w:tcW w:w="1285" w:type="dxa"/>
            <w:tcBorders>
              <w:top w:val="single" w:sz="4" w:space="0" w:color="000000"/>
              <w:left w:val="single" w:sz="4" w:space="0" w:color="000000"/>
              <w:bottom w:val="single" w:sz="4" w:space="0" w:color="000000"/>
              <w:right w:val="single" w:sz="4" w:space="0" w:color="000000"/>
            </w:tcBorders>
          </w:tcPr>
          <w:p>
            <w:pP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30,000,000</w:t>
            </w:r>
          </w:p>
        </w:tc>
        <w:tc>
          <w:tcPr>
            <w:tcW w:w="1287"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30,000,000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1099"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基于云平台的大型</w:t>
            </w:r>
          </w:p>
          <w:p>
            <w:pPr>
              <w:pStyle w:val="TableParagraph"/>
              <w:spacing w:line="272" w:lineRule="exact"/>
              <w:ind w:left="26" w:right="0"/>
              <w:jc w:val="left"/>
              <w:rPr>
                <w:rFonts w:ascii="宋体" w:hAnsi="宋体" w:cs="宋体" w:eastAsia="宋体" w:hint="default"/>
                <w:sz w:val="21"/>
                <w:szCs w:val="21"/>
              </w:rPr>
            </w:pPr>
            <w:r>
              <w:rPr>
                <w:rFonts w:ascii="宋体" w:hAnsi="宋体" w:cs="宋体" w:eastAsia="宋体" w:hint="default"/>
                <w:sz w:val="21"/>
                <w:szCs w:val="21"/>
              </w:rPr>
              <w:t>企业资源管理系统</w:t>
            </w:r>
          </w:p>
          <w:p>
            <w:pPr>
              <w:pStyle w:val="TableParagraph"/>
              <w:spacing w:line="272" w:lineRule="exact" w:before="27"/>
              <w:ind w:left="26" w:right="29"/>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宋体" w:hAnsi="宋体" w:cs="宋体" w:eastAsia="宋体" w:hint="default"/>
                <w:spacing w:val="-1"/>
                <w:sz w:val="21"/>
                <w:szCs w:val="21"/>
              </w:rPr>
              <w:t>ERP</w:t>
            </w:r>
            <w:r>
              <w:rPr>
                <w:rFonts w:ascii="宋体" w:hAnsi="宋体" w:cs="宋体" w:eastAsia="宋体" w:hint="default"/>
                <w:spacing w:val="-1"/>
                <w:sz w:val="21"/>
                <w:szCs w:val="21"/>
              </w:rPr>
              <w:t>）解决方案应</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用推广</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20,000,000</w:t>
            </w:r>
          </w:p>
        </w:tc>
        <w:tc>
          <w:tcPr>
            <w:tcW w:w="1286"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10,000,000</w:t>
            </w:r>
          </w:p>
        </w:tc>
        <w:tc>
          <w:tcPr>
            <w:tcW w:w="588"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10,000,000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826"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支撑互联网</w:t>
            </w:r>
            <w:r>
              <w:rPr>
                <w:rFonts w:ascii="宋体" w:hAnsi="宋体" w:cs="宋体" w:eastAsia="宋体" w:hint="default"/>
                <w:sz w:val="21"/>
                <w:szCs w:val="21"/>
              </w:rPr>
              <w:t>+</w:t>
            </w:r>
            <w:r>
              <w:rPr>
                <w:rFonts w:ascii="宋体" w:hAnsi="宋体" w:cs="宋体" w:eastAsia="宋体" w:hint="default"/>
                <w:sz w:val="21"/>
                <w:szCs w:val="21"/>
              </w:rPr>
              <w:t>新模式</w:t>
            </w:r>
          </w:p>
          <w:p>
            <w:pPr>
              <w:pStyle w:val="TableParagraph"/>
              <w:spacing w:line="272" w:lineRule="exact" w:before="27"/>
              <w:ind w:left="26" w:right="134"/>
              <w:jc w:val="left"/>
              <w:rPr>
                <w:rFonts w:ascii="宋体" w:hAnsi="宋体" w:cs="宋体" w:eastAsia="宋体" w:hint="default"/>
                <w:sz w:val="21"/>
                <w:szCs w:val="21"/>
              </w:rPr>
            </w:pPr>
            <w:r>
              <w:rPr>
                <w:rFonts w:ascii="宋体" w:hAnsi="宋体" w:cs="宋体" w:eastAsia="宋体" w:hint="default"/>
                <w:sz w:val="21"/>
                <w:szCs w:val="21"/>
              </w:rPr>
              <w:t>的企业互联网开放</w:t>
            </w:r>
            <w:r>
              <w:rPr>
                <w:rFonts w:ascii="宋体" w:hAnsi="宋体" w:cs="宋体" w:eastAsia="宋体" w:hint="default"/>
                <w:w w:val="100"/>
                <w:sz w:val="21"/>
                <w:szCs w:val="21"/>
              </w:rPr>
              <w:t> </w:t>
            </w:r>
            <w:r>
              <w:rPr>
                <w:rFonts w:ascii="宋体" w:hAnsi="宋体" w:cs="宋体" w:eastAsia="宋体" w:hint="default"/>
                <w:sz w:val="21"/>
                <w:szCs w:val="21"/>
              </w:rPr>
              <w:t>平台建设与运营</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17,900,000</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7,100,000</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15,000,000</w:t>
            </w:r>
          </w:p>
        </w:tc>
        <w:tc>
          <w:tcPr>
            <w:tcW w:w="588"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10,000,000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828"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第三批省战略性新</w:t>
            </w:r>
          </w:p>
          <w:p>
            <w:pPr>
              <w:pStyle w:val="TableParagraph"/>
              <w:spacing w:line="240" w:lineRule="auto"/>
              <w:ind w:left="26" w:right="134"/>
              <w:jc w:val="left"/>
              <w:rPr>
                <w:rFonts w:ascii="宋体" w:hAnsi="宋体" w:cs="宋体" w:eastAsia="宋体" w:hint="default"/>
                <w:sz w:val="21"/>
                <w:szCs w:val="21"/>
              </w:rPr>
            </w:pPr>
            <w:r>
              <w:rPr>
                <w:rFonts w:ascii="宋体" w:hAnsi="宋体" w:cs="宋体" w:eastAsia="宋体" w:hint="default"/>
                <w:sz w:val="21"/>
                <w:szCs w:val="21"/>
              </w:rPr>
              <w:t>兴产业发展专项资</w:t>
            </w:r>
            <w:r>
              <w:rPr>
                <w:rFonts w:ascii="宋体" w:hAnsi="宋体" w:cs="宋体" w:eastAsia="宋体" w:hint="default"/>
                <w:w w:val="100"/>
                <w:sz w:val="21"/>
                <w:szCs w:val="21"/>
              </w:rPr>
              <w:t> </w:t>
            </w:r>
            <w:r>
              <w:rPr>
                <w:rFonts w:ascii="宋体" w:hAnsi="宋体" w:cs="宋体" w:eastAsia="宋体" w:hint="default"/>
                <w:sz w:val="21"/>
                <w:szCs w:val="21"/>
              </w:rPr>
              <w:t>金</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10,000,000</w:t>
            </w:r>
          </w:p>
        </w:tc>
        <w:tc>
          <w:tcPr>
            <w:tcW w:w="1286"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2"/>
              <w:jc w:val="right"/>
              <w:rPr>
                <w:rFonts w:ascii="宋体" w:hAnsi="宋体" w:cs="宋体" w:eastAsia="宋体" w:hint="default"/>
                <w:sz w:val="21"/>
                <w:szCs w:val="21"/>
              </w:rPr>
            </w:pPr>
            <w:r>
              <w:rPr>
                <w:rFonts w:ascii="宋体"/>
                <w:spacing w:val="-1"/>
                <w:sz w:val="21"/>
              </w:rPr>
              <w:t>10,000,000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829"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面向装备制造业的</w:t>
            </w:r>
          </w:p>
          <w:p>
            <w:pPr>
              <w:pStyle w:val="TableParagraph"/>
              <w:spacing w:line="272" w:lineRule="exact" w:before="27"/>
              <w:ind w:left="26" w:right="134"/>
              <w:jc w:val="left"/>
              <w:rPr>
                <w:rFonts w:ascii="宋体" w:hAnsi="宋体" w:cs="宋体" w:eastAsia="宋体" w:hint="default"/>
                <w:sz w:val="21"/>
                <w:szCs w:val="21"/>
              </w:rPr>
            </w:pPr>
            <w:r>
              <w:rPr>
                <w:rFonts w:ascii="宋体" w:hAnsi="宋体" w:cs="宋体" w:eastAsia="宋体" w:hint="default"/>
                <w:sz w:val="21"/>
                <w:szCs w:val="21"/>
              </w:rPr>
              <w:t>云平台建设及应用</w:t>
            </w:r>
            <w:r>
              <w:rPr>
                <w:rFonts w:ascii="宋体" w:hAnsi="宋体" w:cs="宋体" w:eastAsia="宋体" w:hint="default"/>
                <w:w w:val="100"/>
                <w:sz w:val="21"/>
                <w:szCs w:val="21"/>
              </w:rPr>
              <w:t> </w:t>
            </w:r>
            <w:r>
              <w:rPr>
                <w:rFonts w:ascii="宋体" w:hAnsi="宋体" w:cs="宋体" w:eastAsia="宋体" w:hint="default"/>
                <w:sz w:val="21"/>
                <w:szCs w:val="21"/>
              </w:rPr>
              <w:t>标准与试验验证</w:t>
            </w:r>
          </w:p>
        </w:tc>
        <w:tc>
          <w:tcPr>
            <w:tcW w:w="1285" w:type="dxa"/>
            <w:tcBorders>
              <w:top w:val="single" w:sz="4" w:space="0" w:color="000000"/>
              <w:left w:val="single" w:sz="4" w:space="0" w:color="000000"/>
              <w:bottom w:val="single" w:sz="4" w:space="0" w:color="000000"/>
              <w:right w:val="single" w:sz="4" w:space="0" w:color="000000"/>
            </w:tcBorders>
          </w:tcPr>
          <w:p>
            <w:pP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3,150,000</w:t>
            </w:r>
          </w:p>
        </w:tc>
        <w:tc>
          <w:tcPr>
            <w:tcW w:w="1287"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3,150,000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554"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广东省现代信息服</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务业发展专项资金</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3,000,000</w:t>
            </w:r>
          </w:p>
        </w:tc>
        <w:tc>
          <w:tcPr>
            <w:tcW w:w="1286"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3,000,000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281"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再生能源节能补助</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1,621,811</w:t>
            </w:r>
          </w:p>
        </w:tc>
        <w:tc>
          <w:tcPr>
            <w:tcW w:w="1286"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1,621,811</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557"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汽车行业大数据智</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能分析应用示范</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1,200,000</w:t>
            </w:r>
          </w:p>
        </w:tc>
        <w:tc>
          <w:tcPr>
            <w:tcW w:w="1286"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2"/>
              <w:jc w:val="right"/>
              <w:rPr>
                <w:rFonts w:ascii="宋体" w:hAnsi="宋体" w:cs="宋体" w:eastAsia="宋体" w:hint="default"/>
                <w:sz w:val="21"/>
                <w:szCs w:val="21"/>
              </w:rPr>
            </w:pPr>
            <w:r>
              <w:rPr>
                <w:rFonts w:ascii="宋体"/>
                <w:spacing w:val="-1"/>
                <w:sz w:val="21"/>
              </w:rPr>
              <w:t>1,200,000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826"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大型企业互联网开</w:t>
            </w:r>
          </w:p>
          <w:p>
            <w:pPr>
              <w:pStyle w:val="TableParagraph"/>
              <w:spacing w:line="240" w:lineRule="auto"/>
              <w:ind w:left="26" w:right="21"/>
              <w:jc w:val="left"/>
              <w:rPr>
                <w:rFonts w:ascii="宋体" w:hAnsi="宋体" w:cs="宋体" w:eastAsia="宋体" w:hint="default"/>
                <w:sz w:val="21"/>
                <w:szCs w:val="21"/>
              </w:rPr>
            </w:pPr>
            <w:r>
              <w:rPr>
                <w:rFonts w:ascii="宋体" w:hAnsi="宋体" w:cs="宋体" w:eastAsia="宋体" w:hint="default"/>
                <w:spacing w:val="-10"/>
                <w:sz w:val="21"/>
                <w:szCs w:val="21"/>
              </w:rPr>
              <w:t>放平台（</w:t>
            </w:r>
            <w:r>
              <w:rPr>
                <w:rFonts w:ascii="宋体" w:hAnsi="宋体" w:cs="宋体" w:eastAsia="宋体" w:hint="default"/>
                <w:spacing w:val="-10"/>
                <w:sz w:val="21"/>
                <w:szCs w:val="21"/>
              </w:rPr>
              <w:t>IUAP</w:t>
            </w:r>
            <w:r>
              <w:rPr>
                <w:rFonts w:ascii="宋体" w:hAnsi="宋体" w:cs="宋体" w:eastAsia="宋体" w:hint="default"/>
                <w:spacing w:val="-10"/>
                <w:sz w:val="21"/>
                <w:szCs w:val="21"/>
              </w:rPr>
              <w:t>）研发</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与推广</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5,000,000</w:t>
            </w:r>
          </w:p>
        </w:tc>
        <w:tc>
          <w:tcPr>
            <w:tcW w:w="1286"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5,000,000</w:t>
            </w:r>
          </w:p>
        </w:tc>
        <w:tc>
          <w:tcPr>
            <w:tcW w:w="588"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1100"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both"/>
              <w:rPr>
                <w:rFonts w:ascii="宋体" w:hAnsi="宋体" w:cs="宋体" w:eastAsia="宋体" w:hint="default"/>
                <w:sz w:val="21"/>
                <w:szCs w:val="21"/>
              </w:rPr>
            </w:pPr>
            <w:r>
              <w:rPr>
                <w:rFonts w:ascii="宋体" w:hAnsi="宋体" w:cs="宋体" w:eastAsia="宋体" w:hint="default"/>
                <w:sz w:val="21"/>
                <w:szCs w:val="21"/>
              </w:rPr>
              <w:t>基于移动互联网的</w:t>
            </w:r>
          </w:p>
          <w:p>
            <w:pPr>
              <w:pStyle w:val="TableParagraph"/>
              <w:spacing w:line="237" w:lineRule="auto" w:before="2"/>
              <w:ind w:left="26" w:right="134"/>
              <w:jc w:val="both"/>
              <w:rPr>
                <w:rFonts w:ascii="宋体" w:hAnsi="宋体" w:cs="宋体" w:eastAsia="宋体" w:hint="default"/>
                <w:sz w:val="21"/>
                <w:szCs w:val="21"/>
              </w:rPr>
            </w:pPr>
            <w:r>
              <w:rPr>
                <w:rFonts w:ascii="宋体" w:hAnsi="宋体" w:cs="宋体" w:eastAsia="宋体" w:hint="default"/>
                <w:sz w:val="21"/>
                <w:szCs w:val="21"/>
              </w:rPr>
              <w:t>制造企业经营管理</w:t>
            </w:r>
            <w:r>
              <w:rPr>
                <w:rFonts w:ascii="宋体" w:hAnsi="宋体" w:cs="宋体" w:eastAsia="宋体" w:hint="default"/>
                <w:w w:val="100"/>
                <w:sz w:val="21"/>
                <w:szCs w:val="21"/>
              </w:rPr>
              <w:t> </w:t>
            </w:r>
            <w:r>
              <w:rPr>
                <w:rFonts w:ascii="宋体" w:hAnsi="宋体" w:cs="宋体" w:eastAsia="宋体" w:hint="default"/>
                <w:sz w:val="21"/>
                <w:szCs w:val="21"/>
              </w:rPr>
              <w:t>与决策分析集成应</w:t>
            </w:r>
            <w:r>
              <w:rPr>
                <w:rFonts w:ascii="宋体" w:hAnsi="宋体" w:cs="宋体" w:eastAsia="宋体" w:hint="default"/>
                <w:w w:val="100"/>
                <w:sz w:val="21"/>
                <w:szCs w:val="21"/>
              </w:rPr>
              <w:t> </w:t>
            </w:r>
            <w:r>
              <w:rPr>
                <w:rFonts w:ascii="宋体" w:hAnsi="宋体" w:cs="宋体" w:eastAsia="宋体" w:hint="default"/>
                <w:sz w:val="21"/>
                <w:szCs w:val="21"/>
              </w:rPr>
              <w:t>用</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4,214,200</w:t>
            </w:r>
          </w:p>
        </w:tc>
        <w:tc>
          <w:tcPr>
            <w:tcW w:w="1286"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4,214,200</w:t>
            </w:r>
          </w:p>
        </w:tc>
        <w:tc>
          <w:tcPr>
            <w:tcW w:w="588"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与收益相关</w:t>
            </w:r>
          </w:p>
        </w:tc>
      </w:tr>
    </w:tbl>
    <w:p>
      <w:pPr>
        <w:spacing w:after="0" w:line="241" w:lineRule="exact"/>
        <w:jc w:val="center"/>
        <w:rPr>
          <w:rFonts w:ascii="宋体" w:hAnsi="宋体" w:cs="宋体" w:eastAsia="宋体" w:hint="default"/>
          <w:sz w:val="21"/>
          <w:szCs w:val="21"/>
        </w:rPr>
        <w:sectPr>
          <w:type w:val="continuous"/>
          <w:pgSz w:w="11910" w:h="16840"/>
          <w:pgMar w:top="1320" w:bottom="1380" w:left="1660" w:right="1120"/>
        </w:sectPr>
      </w:pPr>
    </w:p>
    <w:p>
      <w:pPr>
        <w:spacing w:line="240" w:lineRule="auto" w:before="6"/>
        <w:rPr>
          <w:rFonts w:ascii="宋体" w:hAnsi="宋体" w:cs="宋体" w:eastAsia="宋体" w:hint="default"/>
          <w:sz w:val="14"/>
          <w:szCs w:val="14"/>
        </w:rPr>
      </w:pPr>
    </w:p>
    <w:tbl>
      <w:tblPr>
        <w:tblW w:w="0" w:type="auto"/>
        <w:jc w:val="left"/>
        <w:tblInd w:w="182" w:type="dxa"/>
        <w:tblLayout w:type="fixed"/>
        <w:tblCellMar>
          <w:top w:w="0" w:type="dxa"/>
          <w:left w:w="0" w:type="dxa"/>
          <w:bottom w:w="0" w:type="dxa"/>
          <w:right w:w="0" w:type="dxa"/>
        </w:tblCellMar>
        <w:tblLook w:val="01E0"/>
      </w:tblPr>
      <w:tblGrid>
        <w:gridCol w:w="1855"/>
        <w:gridCol w:w="1285"/>
        <w:gridCol w:w="1286"/>
        <w:gridCol w:w="1287"/>
        <w:gridCol w:w="588"/>
        <w:gridCol w:w="1270"/>
        <w:gridCol w:w="1325"/>
      </w:tblGrid>
      <w:tr>
        <w:trPr>
          <w:trHeight w:val="557"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26" w:right="0"/>
              <w:jc w:val="left"/>
              <w:rPr>
                <w:rFonts w:ascii="宋体" w:hAnsi="宋体" w:cs="宋体" w:eastAsia="宋体" w:hint="default"/>
                <w:sz w:val="21"/>
                <w:szCs w:val="21"/>
              </w:rPr>
            </w:pPr>
            <w:r>
              <w:rPr>
                <w:rFonts w:ascii="宋体" w:hAnsi="宋体" w:cs="宋体" w:eastAsia="宋体" w:hint="default"/>
                <w:sz w:val="21"/>
                <w:szCs w:val="21"/>
              </w:rPr>
              <w:t>统一移动软件平台</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研发与产业化</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9"/>
              <w:jc w:val="right"/>
              <w:rPr>
                <w:rFonts w:ascii="宋体" w:hAnsi="宋体" w:cs="宋体" w:eastAsia="宋体" w:hint="default"/>
                <w:sz w:val="21"/>
                <w:szCs w:val="21"/>
              </w:rPr>
            </w:pPr>
            <w:r>
              <w:rPr>
                <w:rFonts w:ascii="宋体"/>
                <w:spacing w:val="-1"/>
                <w:sz w:val="21"/>
              </w:rPr>
              <w:t>4,000,000</w:t>
            </w:r>
          </w:p>
        </w:tc>
        <w:tc>
          <w:tcPr>
            <w:tcW w:w="1286"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9"/>
              <w:jc w:val="right"/>
              <w:rPr>
                <w:rFonts w:ascii="宋体" w:hAnsi="宋体" w:cs="宋体" w:eastAsia="宋体" w:hint="default"/>
                <w:sz w:val="21"/>
                <w:szCs w:val="21"/>
              </w:rPr>
            </w:pPr>
            <w:r>
              <w:rPr>
                <w:rFonts w:ascii="宋体"/>
                <w:spacing w:val="-1"/>
                <w:sz w:val="21"/>
              </w:rPr>
              <w:t>4,000,000</w:t>
            </w:r>
          </w:p>
        </w:tc>
        <w:tc>
          <w:tcPr>
            <w:tcW w:w="588"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0"/>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554"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移动互联网工程机</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械服务平台项目</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3,184,000</w:t>
            </w:r>
          </w:p>
        </w:tc>
        <w:tc>
          <w:tcPr>
            <w:tcW w:w="1286"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3,184,000</w:t>
            </w:r>
          </w:p>
        </w:tc>
        <w:tc>
          <w:tcPr>
            <w:tcW w:w="588"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281"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3,732,885</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950,000</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425,651</w:t>
            </w:r>
          </w:p>
        </w:tc>
        <w:tc>
          <w:tcPr>
            <w:tcW w:w="588"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4,257,234</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283" w:hRule="exact"/>
        </w:trPr>
        <w:tc>
          <w:tcPr>
            <w:tcW w:w="1855" w:type="dxa"/>
            <w:tcBorders>
              <w:top w:val="single" w:sz="4" w:space="0" w:color="000000"/>
              <w:left w:val="single" w:sz="4" w:space="0" w:color="000000"/>
              <w:bottom w:val="single" w:sz="4" w:space="0" w:color="000000"/>
              <w:right w:val="single" w:sz="4" w:space="0" w:color="000000"/>
            </w:tcBorders>
          </w:tcPr>
          <w:p>
            <w:pPr/>
          </w:p>
        </w:tc>
        <w:tc>
          <w:tcPr>
            <w:tcW w:w="1285" w:type="dxa"/>
            <w:tcBorders>
              <w:top w:val="single" w:sz="4" w:space="0" w:color="000000"/>
              <w:left w:val="single" w:sz="4" w:space="0" w:color="000000"/>
              <w:bottom w:val="single" w:sz="4" w:space="0" w:color="000000"/>
              <w:right w:val="single" w:sz="4" w:space="0" w:color="000000"/>
            </w:tcBorders>
          </w:tcPr>
          <w:p>
            <w:pPr/>
          </w:p>
        </w:tc>
        <w:tc>
          <w:tcPr>
            <w:tcW w:w="1286"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6"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73,852,896</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41,200,000</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41,823,851</w:t>
            </w:r>
          </w:p>
        </w:tc>
        <w:tc>
          <w:tcPr>
            <w:tcW w:w="588"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73,229,045</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BodyText"/>
        <w:spacing w:line="240" w:lineRule="auto" w:before="36"/>
        <w:ind w:right="99"/>
        <w:jc w:val="left"/>
      </w:pPr>
      <w:r>
        <w:rPr/>
        <w:t>其他说明：</w:t>
      </w:r>
    </w:p>
    <w:p>
      <w:pPr>
        <w:pStyle w:val="BodyText"/>
        <w:spacing w:line="240" w:lineRule="auto" w:before="59"/>
        <w:ind w:right="99"/>
        <w:jc w:val="left"/>
      </w:pPr>
      <w:r>
        <w:rPr/>
        <w:t>√适用</w:t>
      </w:r>
      <w:r>
        <w:rPr>
          <w:spacing w:val="-1"/>
        </w:rPr>
        <w:t> </w:t>
      </w:r>
      <w:r>
        <w:rPr/>
        <w:t>□不适用</w:t>
      </w:r>
    </w:p>
    <w:p>
      <w:pPr>
        <w:pStyle w:val="BodyText"/>
        <w:spacing w:line="240" w:lineRule="auto" w:before="56"/>
        <w:ind w:right="99"/>
        <w:jc w:val="left"/>
      </w:pPr>
      <w:r>
        <w:rPr/>
        <w:t>于</w:t>
      </w:r>
      <w:r>
        <w:rPr>
          <w:spacing w:val="-55"/>
        </w:rPr>
        <w:t> </w:t>
      </w:r>
      <w:r>
        <w:rPr>
          <w:rFonts w:ascii="宋体" w:hAnsi="宋体" w:cs="宋体" w:eastAsia="宋体" w:hint="default"/>
        </w:rPr>
        <w:t>2017</w:t>
      </w:r>
      <w:r>
        <w:rPr>
          <w:rFonts w:ascii="宋体" w:hAnsi="宋体" w:cs="宋体" w:eastAsia="宋体" w:hint="default"/>
          <w:spacing w:val="-55"/>
        </w:rPr>
        <w:t> </w:t>
      </w:r>
      <w:r>
        <w:rPr/>
        <w:t>年度，本集团所获得的政府补助均为与收益相关。</w:t>
      </w:r>
    </w:p>
    <w:p>
      <w:pPr>
        <w:spacing w:line="240" w:lineRule="auto" w:before="3"/>
        <w:rPr>
          <w:rFonts w:ascii="宋体" w:hAnsi="宋体" w:cs="宋体" w:eastAsia="宋体" w:hint="default"/>
          <w:sz w:val="25"/>
          <w:szCs w:val="25"/>
        </w:rPr>
      </w:pPr>
    </w:p>
    <w:p>
      <w:pPr>
        <w:pStyle w:val="Heading3"/>
        <w:spacing w:line="240" w:lineRule="auto"/>
        <w:ind w:right="99"/>
        <w:jc w:val="left"/>
        <w:rPr>
          <w:b w:val="0"/>
          <w:bCs w:val="0"/>
        </w:rPr>
      </w:pPr>
      <w:r>
        <w:rPr>
          <w:rFonts w:ascii="宋体" w:hAnsi="宋体" w:cs="宋体" w:eastAsia="宋体" w:hint="default"/>
        </w:rPr>
        <w:t>52</w:t>
      </w:r>
      <w:r>
        <w:rPr/>
        <w:t>、</w:t>
      </w:r>
      <w:r>
        <w:rPr>
          <w:spacing w:val="-24"/>
        </w:rPr>
        <w:t> </w:t>
      </w:r>
      <w:r>
        <w:rPr/>
        <w:t>其他非流动负债</w:t>
      </w:r>
      <w:r>
        <w:rPr>
          <w:b w:val="0"/>
          <w:bCs w:val="0"/>
        </w:rPr>
      </w:r>
    </w:p>
    <w:p>
      <w:pPr>
        <w:pStyle w:val="BodyText"/>
        <w:spacing w:line="240" w:lineRule="auto" w:before="58"/>
        <w:ind w:right="99"/>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footerReference w:type="default" r:id="rId73"/>
          <w:pgSz w:w="11910" w:h="16840"/>
          <w:pgMar w:footer="1195" w:header="857" w:top="1320" w:bottom="1380" w:left="1580" w:right="1040"/>
        </w:sectPr>
      </w:pPr>
    </w:p>
    <w:p>
      <w:pPr>
        <w:pStyle w:val="Heading3"/>
        <w:spacing w:line="240" w:lineRule="auto" w:before="36"/>
        <w:ind w:right="-18"/>
        <w:jc w:val="left"/>
        <w:rPr>
          <w:b w:val="0"/>
          <w:bCs w:val="0"/>
        </w:rPr>
      </w:pPr>
      <w:r>
        <w:rPr>
          <w:rFonts w:ascii="宋体" w:hAnsi="宋体" w:cs="宋体" w:eastAsia="宋体" w:hint="default"/>
        </w:rPr>
        <w:t>53</w:t>
      </w:r>
      <w:r>
        <w:rPr/>
        <w:t>、</w:t>
      </w:r>
      <w:r>
        <w:rPr>
          <w:spacing w:val="-26"/>
        </w:rPr>
        <w:t> </w:t>
      </w:r>
      <w:r>
        <w:rPr/>
        <w:t>股本</w:t>
      </w:r>
      <w:r>
        <w:rPr>
          <w:b w:val="0"/>
          <w:bCs w:val="0"/>
        </w:rPr>
      </w:r>
    </w:p>
    <w:p>
      <w:pPr>
        <w:pStyle w:val="BodyText"/>
        <w:spacing w:line="240" w:lineRule="auto" w:before="58"/>
        <w:ind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1795" w:space="4938"/>
            <w:col w:w="2557"/>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118"/>
        <w:gridCol w:w="1623"/>
        <w:gridCol w:w="866"/>
        <w:gridCol w:w="749"/>
        <w:gridCol w:w="872"/>
        <w:gridCol w:w="1140"/>
        <w:gridCol w:w="1061"/>
        <w:gridCol w:w="1620"/>
      </w:tblGrid>
      <w:tr>
        <w:trPr>
          <w:trHeight w:val="281" w:hRule="exact"/>
        </w:trPr>
        <w:tc>
          <w:tcPr>
            <w:tcW w:w="1118" w:type="dxa"/>
            <w:vMerge w:val="restart"/>
            <w:tcBorders>
              <w:top w:val="single" w:sz="4" w:space="0" w:color="000000"/>
              <w:left w:val="single" w:sz="4" w:space="0" w:color="000000"/>
              <w:right w:val="single" w:sz="4" w:space="0" w:color="000000"/>
            </w:tcBorders>
          </w:tcPr>
          <w:p>
            <w:pPr/>
          </w:p>
        </w:tc>
        <w:tc>
          <w:tcPr>
            <w:tcW w:w="1623"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386"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4688" w:type="dxa"/>
            <w:gridSpan w:val="5"/>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233" w:right="0"/>
              <w:jc w:val="left"/>
              <w:rPr>
                <w:rFonts w:ascii="宋体" w:hAnsi="宋体" w:cs="宋体" w:eastAsia="宋体" w:hint="default"/>
                <w:sz w:val="21"/>
                <w:szCs w:val="21"/>
              </w:rPr>
            </w:pPr>
            <w:r>
              <w:rPr>
                <w:rFonts w:ascii="宋体" w:hAnsi="宋体" w:cs="宋体" w:eastAsia="宋体" w:hint="default"/>
                <w:sz w:val="21"/>
                <w:szCs w:val="21"/>
              </w:rPr>
              <w:t>本次变动增减（</w:t>
            </w:r>
            <w:r>
              <w:rPr>
                <w:rFonts w:ascii="宋体" w:hAnsi="宋体" w:cs="宋体" w:eastAsia="宋体" w:hint="default"/>
                <w:sz w:val="21"/>
                <w:szCs w:val="21"/>
              </w:rPr>
              <w:t>+</w:t>
            </w:r>
            <w:r>
              <w:rPr>
                <w:rFonts w:ascii="宋体" w:hAnsi="宋体" w:cs="宋体" w:eastAsia="宋体" w:hint="default"/>
                <w:sz w:val="21"/>
                <w:szCs w:val="21"/>
              </w:rPr>
              <w:t>、一）</w:t>
            </w:r>
          </w:p>
        </w:tc>
        <w:tc>
          <w:tcPr>
            <w:tcW w:w="1620"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383"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555" w:hRule="exact"/>
        </w:trPr>
        <w:tc>
          <w:tcPr>
            <w:tcW w:w="1118" w:type="dxa"/>
            <w:vMerge/>
            <w:tcBorders>
              <w:left w:val="single" w:sz="4" w:space="0" w:color="000000"/>
              <w:bottom w:val="single" w:sz="4" w:space="0" w:color="000000"/>
              <w:right w:val="single" w:sz="4" w:space="0" w:color="000000"/>
            </w:tcBorders>
          </w:tcPr>
          <w:p>
            <w:pPr/>
          </w:p>
        </w:tc>
        <w:tc>
          <w:tcPr>
            <w:tcW w:w="1623" w:type="dxa"/>
            <w:vMerge/>
            <w:tcBorders>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6" w:right="0"/>
              <w:jc w:val="left"/>
              <w:rPr>
                <w:rFonts w:ascii="宋体" w:hAnsi="宋体" w:cs="宋体" w:eastAsia="宋体" w:hint="default"/>
                <w:sz w:val="21"/>
                <w:szCs w:val="21"/>
              </w:rPr>
            </w:pPr>
            <w:r>
              <w:rPr>
                <w:rFonts w:ascii="宋体" w:hAnsi="宋体" w:cs="宋体" w:eastAsia="宋体" w:hint="default"/>
                <w:sz w:val="21"/>
                <w:szCs w:val="21"/>
              </w:rPr>
              <w:t>发行</w:t>
            </w:r>
          </w:p>
          <w:p>
            <w:pPr>
              <w:pStyle w:val="TableParagraph"/>
              <w:spacing w:line="274" w:lineRule="exact"/>
              <w:ind w:left="216" w:right="0"/>
              <w:jc w:val="left"/>
              <w:rPr>
                <w:rFonts w:ascii="宋体" w:hAnsi="宋体" w:cs="宋体" w:eastAsia="宋体" w:hint="default"/>
                <w:sz w:val="21"/>
                <w:szCs w:val="21"/>
              </w:rPr>
            </w:pPr>
            <w:r>
              <w:rPr>
                <w:rFonts w:ascii="宋体" w:hAnsi="宋体" w:cs="宋体" w:eastAsia="宋体" w:hint="default"/>
                <w:sz w:val="21"/>
                <w:szCs w:val="21"/>
              </w:rPr>
              <w:t>新股</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158" w:right="0"/>
              <w:jc w:val="left"/>
              <w:rPr>
                <w:rFonts w:ascii="宋体" w:hAnsi="宋体" w:cs="宋体" w:eastAsia="宋体" w:hint="default"/>
                <w:sz w:val="21"/>
                <w:szCs w:val="21"/>
              </w:rPr>
            </w:pPr>
            <w:r>
              <w:rPr>
                <w:rFonts w:ascii="宋体" w:hAnsi="宋体" w:cs="宋体" w:eastAsia="宋体" w:hint="default"/>
                <w:sz w:val="21"/>
                <w:szCs w:val="21"/>
              </w:rPr>
              <w:t>送股</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公积金</w:t>
            </w:r>
          </w:p>
          <w:p>
            <w:pPr>
              <w:pStyle w:val="TableParagraph"/>
              <w:spacing w:line="274" w:lineRule="exact"/>
              <w:ind w:left="2" w:right="0"/>
              <w:jc w:val="center"/>
              <w:rPr>
                <w:rFonts w:ascii="宋体" w:hAnsi="宋体" w:cs="宋体" w:eastAsia="宋体" w:hint="default"/>
                <w:sz w:val="21"/>
                <w:szCs w:val="21"/>
              </w:rPr>
            </w:pPr>
            <w:r>
              <w:rPr>
                <w:rFonts w:ascii="宋体" w:hAnsi="宋体" w:cs="宋体" w:eastAsia="宋体" w:hint="default"/>
                <w:sz w:val="21"/>
                <w:szCs w:val="21"/>
              </w:rPr>
              <w:t>转股</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35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314"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620" w:type="dxa"/>
            <w:vMerge/>
            <w:tcBorders>
              <w:left w:val="single" w:sz="4" w:space="0" w:color="000000"/>
              <w:bottom w:val="single" w:sz="4" w:space="0" w:color="000000"/>
              <w:right w:val="single" w:sz="4" w:space="0" w:color="000000"/>
            </w:tcBorders>
          </w:tcPr>
          <w:p>
            <w:pPr/>
          </w:p>
        </w:tc>
      </w:tr>
      <w:tr>
        <w:trPr>
          <w:trHeight w:val="283" w:hRule="exact"/>
        </w:trPr>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34" w:right="0"/>
              <w:jc w:val="left"/>
              <w:rPr>
                <w:rFonts w:ascii="宋体" w:hAnsi="宋体" w:cs="宋体" w:eastAsia="宋体" w:hint="default"/>
                <w:sz w:val="21"/>
                <w:szCs w:val="21"/>
              </w:rPr>
            </w:pPr>
            <w:r>
              <w:rPr>
                <w:rFonts w:ascii="宋体" w:hAnsi="宋体" w:cs="宋体" w:eastAsia="宋体" w:hint="default"/>
                <w:sz w:val="21"/>
                <w:szCs w:val="21"/>
              </w:rPr>
              <w:t>股份总数</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43" w:right="0"/>
              <w:jc w:val="left"/>
              <w:rPr>
                <w:rFonts w:ascii="宋体" w:hAnsi="宋体" w:cs="宋体" w:eastAsia="宋体" w:hint="default"/>
                <w:sz w:val="21"/>
                <w:szCs w:val="21"/>
              </w:rPr>
            </w:pPr>
            <w:r>
              <w:rPr>
                <w:rFonts w:ascii="宋体"/>
                <w:sz w:val="21"/>
              </w:rPr>
              <w:t>1,464,293,443</w:t>
            </w:r>
          </w:p>
        </w:tc>
        <w:tc>
          <w:tcPr>
            <w:tcW w:w="866" w:type="dxa"/>
            <w:tcBorders>
              <w:top w:val="single" w:sz="4" w:space="0" w:color="000000"/>
              <w:left w:val="single" w:sz="4" w:space="0" w:color="000000"/>
              <w:bottom w:val="single" w:sz="4" w:space="0" w:color="000000"/>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92" w:right="0"/>
              <w:jc w:val="left"/>
              <w:rPr>
                <w:rFonts w:ascii="宋体" w:hAnsi="宋体" w:cs="宋体" w:eastAsia="宋体" w:hint="default"/>
                <w:sz w:val="21"/>
                <w:szCs w:val="21"/>
              </w:rPr>
            </w:pPr>
            <w:r>
              <w:rPr>
                <w:rFonts w:ascii="宋体"/>
                <w:sz w:val="21"/>
              </w:rPr>
              <w:t>-75,632</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11" w:right="0"/>
              <w:jc w:val="left"/>
              <w:rPr>
                <w:rFonts w:ascii="宋体" w:hAnsi="宋体" w:cs="宋体" w:eastAsia="宋体" w:hint="default"/>
                <w:sz w:val="21"/>
                <w:szCs w:val="21"/>
              </w:rPr>
            </w:pPr>
            <w:r>
              <w:rPr>
                <w:rFonts w:ascii="宋体"/>
                <w:sz w:val="21"/>
              </w:rPr>
              <w:t>-75,632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41" w:right="0"/>
              <w:jc w:val="left"/>
              <w:rPr>
                <w:rFonts w:ascii="宋体" w:hAnsi="宋体" w:cs="宋体" w:eastAsia="宋体" w:hint="default"/>
                <w:sz w:val="21"/>
                <w:szCs w:val="21"/>
              </w:rPr>
            </w:pPr>
            <w:r>
              <w:rPr>
                <w:rFonts w:ascii="宋体"/>
                <w:sz w:val="21"/>
              </w:rPr>
              <w:t>1,464,217,811</w:t>
            </w:r>
          </w:p>
        </w:tc>
      </w:tr>
    </w:tbl>
    <w:p>
      <w:pPr>
        <w:pStyle w:val="BodyText"/>
        <w:spacing w:line="240" w:lineRule="auto" w:before="26"/>
        <w:ind w:right="99"/>
        <w:jc w:val="left"/>
      </w:pPr>
      <w:r>
        <w:rPr/>
        <w:t>其他说明：</w:t>
      </w:r>
    </w:p>
    <w:p>
      <w:pPr>
        <w:pStyle w:val="BodyText"/>
        <w:tabs>
          <w:tab w:pos="1057" w:val="left" w:leader="none"/>
        </w:tabs>
        <w:spacing w:line="272" w:lineRule="exact" w:before="86"/>
        <w:ind w:right="554"/>
        <w:jc w:val="left"/>
      </w:pPr>
      <w:r>
        <w:rPr/>
        <w:t>注</w:t>
      </w:r>
      <w:r>
        <w:rPr>
          <w:spacing w:val="-50"/>
        </w:rPr>
        <w:t> </w:t>
      </w:r>
      <w:r>
        <w:rPr>
          <w:rFonts w:ascii="宋体" w:hAnsi="宋体" w:cs="宋体" w:eastAsia="宋体" w:hint="default"/>
        </w:rPr>
        <w:t>1</w:t>
      </w:r>
      <w:r>
        <w:rPr/>
        <w:t>．</w:t>
        <w:tab/>
        <w:t>本年为实施限制性股票激励计划，本公司从二级市场回购股票</w:t>
      </w:r>
      <w:r>
        <w:rPr>
          <w:spacing w:val="-54"/>
        </w:rPr>
        <w:t> </w:t>
      </w:r>
      <w:r>
        <w:rPr>
          <w:rFonts w:ascii="宋体" w:hAnsi="宋体" w:cs="宋体" w:eastAsia="宋体" w:hint="default"/>
        </w:rPr>
        <w:t>19,326,432</w:t>
      </w:r>
      <w:r>
        <w:rPr>
          <w:rFonts w:ascii="宋体" w:hAnsi="宋体" w:cs="宋体" w:eastAsia="宋体" w:hint="default"/>
          <w:spacing w:val="-56"/>
        </w:rPr>
        <w:t> </w:t>
      </w:r>
      <w:r>
        <w:rPr/>
        <w:t>股，其中</w:t>
      </w:r>
      <w:r>
        <w:rPr>
          <w:w w:val="100"/>
        </w:rPr>
        <w:t> </w:t>
      </w:r>
      <w:r>
        <w:rPr>
          <w:rFonts w:ascii="宋体" w:hAnsi="宋体" w:cs="宋体" w:eastAsia="宋体" w:hint="default"/>
        </w:rPr>
        <w:t>19,056,540</w:t>
      </w:r>
      <w:r>
        <w:rPr>
          <w:rFonts w:ascii="宋体" w:hAnsi="宋体" w:cs="宋体" w:eastAsia="宋体" w:hint="default"/>
          <w:spacing w:val="-56"/>
        </w:rPr>
        <w:t> </w:t>
      </w:r>
      <w:r>
        <w:rPr/>
        <w:t>股已授予给激励对象，剩余</w:t>
      </w:r>
      <w:r>
        <w:rPr>
          <w:spacing w:val="-56"/>
        </w:rPr>
        <w:t> </w:t>
      </w:r>
      <w:r>
        <w:rPr>
          <w:rFonts w:ascii="宋体" w:hAnsi="宋体" w:cs="宋体" w:eastAsia="宋体" w:hint="default"/>
        </w:rPr>
        <w:t>269,892</w:t>
      </w:r>
      <w:r>
        <w:rPr>
          <w:rFonts w:ascii="宋体" w:hAnsi="宋体" w:cs="宋体" w:eastAsia="宋体" w:hint="default"/>
          <w:spacing w:val="-56"/>
        </w:rPr>
        <w:t> </w:t>
      </w:r>
      <w:r>
        <w:rPr/>
        <w:t>股将由本公司注销。</w:t>
      </w:r>
    </w:p>
    <w:p>
      <w:pPr>
        <w:pStyle w:val="BodyText"/>
        <w:tabs>
          <w:tab w:pos="1057" w:val="left" w:leader="none"/>
        </w:tabs>
        <w:spacing w:line="272" w:lineRule="exact" w:before="1"/>
        <w:ind w:right="240"/>
        <w:jc w:val="left"/>
      </w:pPr>
      <w:r>
        <w:rPr/>
        <w:t>注</w:t>
      </w:r>
      <w:r>
        <w:rPr>
          <w:spacing w:val="-50"/>
        </w:rPr>
        <w:t> </w:t>
      </w:r>
      <w:r>
        <w:rPr>
          <w:rFonts w:ascii="宋体" w:hAnsi="宋体" w:cs="宋体" w:eastAsia="宋体" w:hint="default"/>
        </w:rPr>
        <w:t>2</w:t>
      </w:r>
      <w:r>
        <w:rPr/>
        <w:t>．</w:t>
        <w:tab/>
        <w:t>本年公司回购前期已授予但无法解锁的限制性股票</w:t>
      </w:r>
      <w:r>
        <w:rPr>
          <w:spacing w:val="-55"/>
        </w:rPr>
        <w:t> </w:t>
      </w:r>
      <w:r>
        <w:rPr>
          <w:rFonts w:ascii="宋体" w:hAnsi="宋体" w:cs="宋体" w:eastAsia="宋体" w:hint="default"/>
        </w:rPr>
        <w:t>2,991,583</w:t>
      </w:r>
      <w:r>
        <w:rPr>
          <w:rFonts w:ascii="宋体" w:hAnsi="宋体" w:cs="宋体" w:eastAsia="宋体" w:hint="default"/>
          <w:spacing w:val="-55"/>
        </w:rPr>
        <w:t> </w:t>
      </w:r>
      <w:r>
        <w:rPr/>
        <w:t>股，并由公司进行注销，</w:t>
      </w:r>
      <w:r>
        <w:rPr>
          <w:w w:val="100"/>
        </w:rPr>
        <w:t> </w:t>
      </w:r>
      <w:r>
        <w:rPr/>
        <w:t>截至</w:t>
      </w:r>
      <w:r>
        <w:rPr>
          <w:spacing w:val="-53"/>
        </w:rPr>
        <w:t> </w:t>
      </w:r>
      <w:r>
        <w:rPr>
          <w:rFonts w:ascii="宋体" w:hAnsi="宋体" w:cs="宋体" w:eastAsia="宋体" w:hint="default"/>
        </w:rPr>
        <w:t>2017</w:t>
      </w:r>
      <w:r>
        <w:rPr>
          <w:rFonts w:ascii="宋体" w:hAnsi="宋体" w:cs="宋体" w:eastAsia="宋体" w:hint="default"/>
          <w:spacing w:val="-55"/>
        </w:rPr>
        <w:t> </w:t>
      </w:r>
      <w:r>
        <w:rPr/>
        <w:t>年末尚未完成注销。</w:t>
      </w:r>
    </w:p>
    <w:p>
      <w:pPr>
        <w:pStyle w:val="BodyText"/>
        <w:tabs>
          <w:tab w:pos="1057" w:val="left" w:leader="none"/>
        </w:tabs>
        <w:spacing w:line="272" w:lineRule="exact" w:before="1"/>
        <w:ind w:right="232"/>
        <w:jc w:val="left"/>
      </w:pPr>
      <w:r>
        <w:rPr/>
        <w:t>注</w:t>
      </w:r>
      <w:r>
        <w:rPr>
          <w:spacing w:val="-50"/>
        </w:rPr>
        <w:t> </w:t>
      </w:r>
      <w:r>
        <w:rPr>
          <w:rFonts w:ascii="宋体" w:hAnsi="宋体" w:cs="宋体" w:eastAsia="宋体" w:hint="default"/>
        </w:rPr>
        <w:t>3</w:t>
      </w:r>
      <w:r>
        <w:rPr/>
        <w:t>．</w:t>
        <w:tab/>
        <w:t>本年本公司注销回购的已授予但无法解锁的限制性股票</w:t>
      </w:r>
      <w:r>
        <w:rPr>
          <w:spacing w:val="-53"/>
        </w:rPr>
        <w:t> </w:t>
      </w:r>
      <w:r>
        <w:rPr>
          <w:rFonts w:ascii="宋体" w:hAnsi="宋体" w:cs="宋体" w:eastAsia="宋体" w:hint="default"/>
        </w:rPr>
        <w:t>75,632</w:t>
      </w:r>
      <w:r>
        <w:rPr>
          <w:rFonts w:ascii="宋体" w:hAnsi="宋体" w:cs="宋体" w:eastAsia="宋体" w:hint="default"/>
          <w:spacing w:val="-54"/>
        </w:rPr>
        <w:t> </w:t>
      </w:r>
      <w:r>
        <w:rPr>
          <w:spacing w:val="-3"/>
        </w:rPr>
        <w:t>份。</w:t>
      </w:r>
      <w:r>
        <w:rPr>
          <w:spacing w:val="-3"/>
          <w:w w:val="100"/>
        </w:rPr>
        <w:t> </w:t>
      </w:r>
      <w:r>
        <w:rPr>
          <w:spacing w:val="-4"/>
        </w:rPr>
        <w:t>经上述股本变动后，截至</w:t>
      </w:r>
      <w:r>
        <w:rPr>
          <w:spacing w:val="-50"/>
        </w:rPr>
        <w:t> </w:t>
      </w:r>
      <w:r>
        <w:rPr>
          <w:rFonts w:ascii="宋体" w:hAnsi="宋体" w:cs="宋体" w:eastAsia="宋体" w:hint="default"/>
        </w:rPr>
        <w:t>2017</w:t>
      </w:r>
      <w:r>
        <w:rPr>
          <w:rFonts w:ascii="宋体" w:hAnsi="宋体" w:cs="宋体" w:eastAsia="宋体" w:hint="default"/>
          <w:spacing w:val="-48"/>
        </w:rPr>
        <w:t> </w:t>
      </w:r>
      <w:r>
        <w:rPr/>
        <w:t>年</w:t>
      </w:r>
      <w:r>
        <w:rPr>
          <w:spacing w:val="-50"/>
        </w:rPr>
        <w:t> </w:t>
      </w:r>
      <w:r>
        <w:rPr>
          <w:rFonts w:ascii="宋体" w:hAnsi="宋体" w:cs="宋体" w:eastAsia="宋体" w:hint="default"/>
        </w:rPr>
        <w:t>12</w:t>
      </w:r>
      <w:r>
        <w:rPr>
          <w:rFonts w:ascii="宋体" w:hAnsi="宋体" w:cs="宋体" w:eastAsia="宋体" w:hint="default"/>
          <w:spacing w:val="-50"/>
        </w:rPr>
        <w:t> </w:t>
      </w:r>
      <w:r>
        <w:rPr/>
        <w:t>月</w:t>
      </w:r>
      <w:r>
        <w:rPr>
          <w:spacing w:val="-48"/>
        </w:rPr>
        <w:t> </w:t>
      </w:r>
      <w:r>
        <w:rPr>
          <w:rFonts w:ascii="宋体" w:hAnsi="宋体" w:cs="宋体" w:eastAsia="宋体" w:hint="default"/>
        </w:rPr>
        <w:t>31</w:t>
      </w:r>
      <w:r>
        <w:rPr>
          <w:rFonts w:ascii="宋体" w:hAnsi="宋体" w:cs="宋体" w:eastAsia="宋体" w:hint="default"/>
          <w:spacing w:val="-50"/>
        </w:rPr>
        <w:t> </w:t>
      </w:r>
      <w:r>
        <w:rPr>
          <w:spacing w:val="-5"/>
        </w:rPr>
        <w:t>日，本公司共发行股份</w:t>
      </w:r>
      <w:r>
        <w:rPr>
          <w:spacing w:val="-48"/>
        </w:rPr>
        <w:t> </w:t>
      </w:r>
      <w:r>
        <w:rPr>
          <w:rFonts w:ascii="宋体" w:hAnsi="宋体" w:cs="宋体" w:eastAsia="宋体" w:hint="default"/>
        </w:rPr>
        <w:t>1,464,217,811</w:t>
      </w:r>
      <w:r>
        <w:rPr>
          <w:rFonts w:ascii="宋体" w:hAnsi="宋体" w:cs="宋体" w:eastAsia="宋体" w:hint="default"/>
          <w:spacing w:val="-47"/>
        </w:rPr>
        <w:t> </w:t>
      </w:r>
      <w:r>
        <w:rPr>
          <w:spacing w:val="-6"/>
        </w:rPr>
        <w:t>股，每股价值人</w:t>
      </w:r>
    </w:p>
    <w:p>
      <w:pPr>
        <w:pStyle w:val="BodyText"/>
        <w:spacing w:line="249" w:lineRule="exact"/>
        <w:ind w:right="99"/>
        <w:jc w:val="left"/>
      </w:pPr>
      <w:r>
        <w:rPr/>
        <w:t>民币</w:t>
      </w:r>
      <w:r>
        <w:rPr>
          <w:spacing w:val="-51"/>
        </w:rPr>
        <w:t> </w:t>
      </w:r>
      <w:r>
        <w:rPr>
          <w:rFonts w:ascii="宋体" w:hAnsi="宋体" w:cs="宋体" w:eastAsia="宋体" w:hint="default"/>
        </w:rPr>
        <w:t>1</w:t>
      </w:r>
      <w:r>
        <w:rPr>
          <w:rFonts w:ascii="宋体" w:hAnsi="宋体" w:cs="宋体" w:eastAsia="宋体" w:hint="default"/>
          <w:spacing w:val="-53"/>
        </w:rPr>
        <w:t> </w:t>
      </w:r>
      <w:r>
        <w:rPr/>
        <w:t>元。</w:t>
      </w:r>
    </w:p>
    <w:p>
      <w:pPr>
        <w:spacing w:line="240" w:lineRule="auto" w:before="1"/>
        <w:rPr>
          <w:rFonts w:ascii="宋体" w:hAnsi="宋体" w:cs="宋体" w:eastAsia="宋体" w:hint="default"/>
          <w:sz w:val="25"/>
          <w:szCs w:val="25"/>
        </w:rPr>
      </w:pPr>
    </w:p>
    <w:p>
      <w:pPr>
        <w:pStyle w:val="Heading3"/>
        <w:spacing w:line="240" w:lineRule="auto"/>
        <w:ind w:right="99"/>
        <w:jc w:val="left"/>
        <w:rPr>
          <w:b w:val="0"/>
          <w:bCs w:val="0"/>
        </w:rPr>
      </w:pPr>
      <w:r>
        <w:rPr>
          <w:rFonts w:ascii="宋体" w:hAnsi="宋体" w:cs="宋体" w:eastAsia="宋体" w:hint="default"/>
        </w:rPr>
        <w:t>54</w:t>
      </w:r>
      <w:r>
        <w:rPr/>
        <w:t>、</w:t>
      </w:r>
      <w:r>
        <w:rPr>
          <w:spacing w:val="-24"/>
        </w:rPr>
        <w:t> </w:t>
      </w:r>
      <w:r>
        <w:rPr/>
        <w:t>其他权益工具</w:t>
      </w:r>
      <w:r>
        <w:rPr>
          <w:b w:val="0"/>
          <w:bCs w:val="0"/>
        </w:rPr>
      </w:r>
    </w:p>
    <w:p>
      <w:pPr>
        <w:pStyle w:val="Heading3"/>
        <w:spacing w:line="240" w:lineRule="auto" w:before="58"/>
        <w:ind w:right="99"/>
        <w:jc w:val="left"/>
        <w:rPr>
          <w:b w:val="0"/>
          <w:bCs w:val="0"/>
        </w:rPr>
      </w:pPr>
      <w:r>
        <w:rPr>
          <w:rFonts w:ascii="宋体" w:hAnsi="宋体" w:cs="宋体" w:eastAsia="宋体" w:hint="default"/>
        </w:rPr>
        <w:t>(1)</w:t>
      </w:r>
      <w:r>
        <w:rPr>
          <w:rFonts w:ascii="宋体" w:hAnsi="宋体" w:cs="宋体" w:eastAsia="宋体" w:hint="default"/>
          <w:spacing w:val="-2"/>
        </w:rPr>
        <w:t> </w:t>
      </w:r>
      <w:r>
        <w:rPr/>
        <w:t>期末发行在外的优先股、永续债等其他金融工具基本情况</w:t>
      </w:r>
      <w:r>
        <w:rPr>
          <w:b w:val="0"/>
          <w:bCs w:val="0"/>
        </w:rPr>
      </w:r>
    </w:p>
    <w:p>
      <w:pPr>
        <w:pStyle w:val="BodyText"/>
        <w:spacing w:line="240" w:lineRule="auto" w:before="56"/>
        <w:ind w:right="99"/>
        <w:jc w:val="left"/>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right="99"/>
        <w:jc w:val="left"/>
        <w:rPr>
          <w:b w:val="0"/>
          <w:bCs w:val="0"/>
        </w:rPr>
      </w:pPr>
      <w:r>
        <w:rPr>
          <w:rFonts w:ascii="宋体" w:hAnsi="宋体" w:cs="宋体" w:eastAsia="宋体" w:hint="default"/>
        </w:rPr>
        <w:t>(2)</w:t>
      </w:r>
      <w:r>
        <w:rPr>
          <w:rFonts w:ascii="宋体" w:hAnsi="宋体" w:cs="宋体" w:eastAsia="宋体" w:hint="default"/>
          <w:spacing w:val="-2"/>
        </w:rPr>
        <w:t> </w:t>
      </w:r>
      <w:r>
        <w:rPr/>
        <w:t>期末发行在外的优先股、永续债等金融工具变动情况表</w:t>
      </w:r>
      <w:r>
        <w:rPr>
          <w:b w:val="0"/>
          <w:bCs w:val="0"/>
        </w:rPr>
      </w:r>
    </w:p>
    <w:p>
      <w:pPr>
        <w:pStyle w:val="BodyText"/>
        <w:spacing w:line="272" w:lineRule="exact" w:before="86"/>
        <w:ind w:right="910"/>
        <w:jc w:val="left"/>
      </w:pPr>
      <w:r>
        <w:rPr/>
        <w:t>□适用</w:t>
      </w:r>
      <w:r>
        <w:rPr>
          <w:spacing w:val="-2"/>
        </w:rPr>
        <w:t> </w:t>
      </w:r>
      <w:r>
        <w:rPr/>
        <w:t>√不适用</w:t>
      </w:r>
      <w:r>
        <w:rPr>
          <w:w w:val="100"/>
        </w:rPr>
        <w:t> </w:t>
      </w:r>
      <w:r>
        <w:rPr>
          <w:spacing w:val="-2"/>
        </w:rPr>
        <w:t>其他权益工具本期增减变动情况、变动原因说明，以及相关会计处理的依据：</w:t>
      </w:r>
    </w:p>
    <w:p>
      <w:pPr>
        <w:pStyle w:val="BodyText"/>
        <w:spacing w:line="249" w:lineRule="exact"/>
        <w:ind w:right="99"/>
        <w:jc w:val="left"/>
      </w:pPr>
      <w:r>
        <w:rPr/>
        <w:t>□适用</w:t>
      </w:r>
      <w:r>
        <w:rPr>
          <w:spacing w:val="-1"/>
        </w:rPr>
        <w:t> </w:t>
      </w:r>
      <w:r>
        <w:rPr/>
        <w:t>√不适用</w:t>
      </w:r>
    </w:p>
    <w:p>
      <w:pPr>
        <w:spacing w:line="240" w:lineRule="auto" w:before="8"/>
        <w:rPr>
          <w:rFonts w:ascii="宋体" w:hAnsi="宋体" w:cs="宋体" w:eastAsia="宋体" w:hint="default"/>
          <w:sz w:val="20"/>
          <w:szCs w:val="20"/>
        </w:rPr>
      </w:pPr>
    </w:p>
    <w:p>
      <w:pPr>
        <w:pStyle w:val="BodyText"/>
        <w:spacing w:line="273" w:lineRule="exact"/>
        <w:ind w:right="99"/>
        <w:jc w:val="left"/>
        <w:rPr>
          <w:rFonts w:ascii="宋体" w:hAnsi="宋体" w:cs="宋体" w:eastAsia="宋体" w:hint="default"/>
        </w:rPr>
      </w:pPr>
      <w:r>
        <w:rPr/>
        <w:t>其他说明</w:t>
      </w:r>
      <w:r>
        <w:rPr>
          <w:rFonts w:ascii="宋体" w:hAnsi="宋体" w:cs="宋体" w:eastAsia="宋体" w:hint="default"/>
        </w:rPr>
        <w:t>:</w:t>
      </w:r>
    </w:p>
    <w:p>
      <w:pPr>
        <w:pStyle w:val="BodyText"/>
        <w:spacing w:line="273" w:lineRule="exact"/>
        <w:ind w:right="99"/>
        <w:jc w:val="left"/>
      </w:pPr>
      <w:r>
        <w:rPr/>
        <w:t>□适用</w:t>
      </w:r>
      <w:r>
        <w:rPr>
          <w:spacing w:val="-1"/>
        </w:rPr>
        <w:t> </w:t>
      </w:r>
      <w:r>
        <w:rPr/>
        <w:t>√不适用</w:t>
      </w:r>
    </w:p>
    <w:p>
      <w:pPr>
        <w:spacing w:after="0" w:line="273" w:lineRule="exact"/>
        <w:jc w:val="left"/>
        <w:sectPr>
          <w:type w:val="continuous"/>
          <w:pgSz w:w="11910" w:h="16840"/>
          <w:pgMar w:top="1320" w:bottom="1380" w:left="1580" w:right="1040"/>
        </w:sectPr>
      </w:pPr>
    </w:p>
    <w:p>
      <w:pPr>
        <w:spacing w:line="240" w:lineRule="auto" w:before="2"/>
        <w:rPr>
          <w:rFonts w:ascii="宋体" w:hAnsi="宋体" w:cs="宋体" w:eastAsia="宋体" w:hint="default"/>
          <w:sz w:val="9"/>
          <w:szCs w:val="9"/>
        </w:rPr>
      </w:pPr>
    </w:p>
    <w:p>
      <w:pPr>
        <w:spacing w:after="0" w:line="240" w:lineRule="auto"/>
        <w:rPr>
          <w:rFonts w:ascii="宋体" w:hAnsi="宋体" w:cs="宋体" w:eastAsia="宋体" w:hint="default"/>
          <w:sz w:val="9"/>
          <w:szCs w:val="9"/>
        </w:rPr>
        <w:sectPr>
          <w:footerReference w:type="default" r:id="rId74"/>
          <w:pgSz w:w="11910" w:h="16840"/>
          <w:pgMar w:footer="1195" w:header="857" w:top="1320" w:bottom="1380" w:left="860" w:right="480"/>
          <w:pgNumType w:start="151"/>
        </w:sectPr>
      </w:pPr>
    </w:p>
    <w:p>
      <w:pPr>
        <w:pStyle w:val="Heading3"/>
        <w:spacing w:line="240" w:lineRule="auto" w:before="36"/>
        <w:ind w:left="938" w:right="-18"/>
        <w:jc w:val="left"/>
        <w:rPr>
          <w:b w:val="0"/>
          <w:bCs w:val="0"/>
        </w:rPr>
      </w:pPr>
      <w:r>
        <w:rPr>
          <w:rFonts w:ascii="宋体" w:hAnsi="宋体" w:cs="宋体" w:eastAsia="宋体" w:hint="default"/>
        </w:rPr>
        <w:t>55</w:t>
      </w:r>
      <w:r>
        <w:rPr/>
        <w:t>、</w:t>
      </w:r>
      <w:r>
        <w:rPr>
          <w:spacing w:val="-25"/>
        </w:rPr>
        <w:t> </w:t>
      </w:r>
      <w:r>
        <w:rPr/>
        <w:t>资本公积</w:t>
      </w:r>
      <w:r>
        <w:rPr>
          <w:b w:val="0"/>
          <w:bCs w:val="0"/>
        </w:rPr>
      </w:r>
    </w:p>
    <w:p>
      <w:pPr>
        <w:pStyle w:val="BodyText"/>
        <w:spacing w:line="240" w:lineRule="auto" w:before="58"/>
        <w:ind w:left="938"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left="938" w:right="0"/>
        <w:jc w:val="left"/>
      </w:pPr>
      <w:r>
        <w:rPr/>
        <w:t>单位：元币种：人民币</w:t>
      </w:r>
    </w:p>
    <w:p>
      <w:pPr>
        <w:spacing w:after="0" w:line="240" w:lineRule="auto"/>
        <w:jc w:val="left"/>
        <w:sectPr>
          <w:type w:val="continuous"/>
          <w:pgSz w:w="11910" w:h="16840"/>
          <w:pgMar w:top="1320" w:bottom="1380" w:left="860" w:right="480"/>
          <w:cols w:num="2" w:equalWidth="0">
            <w:col w:w="2515" w:space="4218"/>
            <w:col w:w="3837"/>
          </w:cols>
        </w:sectPr>
      </w:pPr>
    </w:p>
    <w:p>
      <w:pPr>
        <w:spacing w:line="240" w:lineRule="auto" w:before="7"/>
        <w:rPr>
          <w:rFonts w:ascii="宋体" w:hAnsi="宋体" w:cs="宋体" w:eastAsia="宋体" w:hint="default"/>
          <w:sz w:val="2"/>
          <w:szCs w:val="2"/>
        </w:rPr>
      </w:pPr>
    </w:p>
    <w:tbl>
      <w:tblPr>
        <w:tblW w:w="0" w:type="auto"/>
        <w:jc w:val="left"/>
        <w:tblInd w:w="902" w:type="dxa"/>
        <w:tblLayout w:type="fixed"/>
        <w:tblCellMar>
          <w:top w:w="0" w:type="dxa"/>
          <w:left w:w="0" w:type="dxa"/>
          <w:bottom w:w="0" w:type="dxa"/>
          <w:right w:w="0" w:type="dxa"/>
        </w:tblCellMar>
        <w:tblLook w:val="01E0"/>
      </w:tblPr>
      <w:tblGrid>
        <w:gridCol w:w="1678"/>
        <w:gridCol w:w="1786"/>
        <w:gridCol w:w="1822"/>
        <w:gridCol w:w="1805"/>
        <w:gridCol w:w="1805"/>
      </w:tblGrid>
      <w:tr>
        <w:trPr>
          <w:trHeight w:val="281" w:hRule="exact"/>
        </w:trPr>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68"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87"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75"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78"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557" w:hRule="exact"/>
        </w:trPr>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pacing w:val="-10"/>
                <w:sz w:val="21"/>
                <w:szCs w:val="21"/>
              </w:rPr>
              <w:t>资本溢价（股本溢</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价）</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2,114,724,902</w:t>
            </w:r>
          </w:p>
        </w:tc>
        <w:tc>
          <w:tcPr>
            <w:tcW w:w="1822"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235,846,298</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1,878,878,604</w:t>
            </w:r>
          </w:p>
        </w:tc>
      </w:tr>
      <w:tr>
        <w:trPr>
          <w:trHeight w:val="281" w:hRule="exact"/>
        </w:trPr>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其他资本公积</w:t>
            </w:r>
          </w:p>
        </w:tc>
        <w:tc>
          <w:tcPr>
            <w:tcW w:w="1786"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股权激励成本</w:t>
            </w:r>
            <w:r>
              <w:rPr>
                <w:rFonts w:ascii="宋体" w:hAnsi="宋体" w:cs="宋体" w:eastAsia="宋体" w:hint="default"/>
                <w:sz w:val="21"/>
                <w:szCs w:val="21"/>
              </w:rPr>
              <w:t>(</w:t>
            </w:r>
            <w:r>
              <w:rPr>
                <w:rFonts w:ascii="宋体" w:hAnsi="宋体" w:cs="宋体" w:eastAsia="宋体" w:hint="default"/>
                <w:sz w:val="21"/>
                <w:szCs w:val="21"/>
              </w:rPr>
              <w:t>注</w:t>
            </w:r>
          </w:p>
          <w:p>
            <w:pPr>
              <w:pStyle w:val="TableParagraph"/>
              <w:spacing w:line="274" w:lineRule="exact"/>
              <w:ind w:left="26" w:right="0"/>
              <w:jc w:val="left"/>
              <w:rPr>
                <w:rFonts w:ascii="宋体" w:hAnsi="宋体" w:cs="宋体" w:eastAsia="宋体" w:hint="default"/>
                <w:sz w:val="21"/>
                <w:szCs w:val="21"/>
              </w:rPr>
            </w:pPr>
            <w:r>
              <w:rPr>
                <w:rFonts w:ascii="宋体"/>
                <w:sz w:val="21"/>
              </w:rPr>
              <w:t>2)</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269,788,781</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179,965,065</w:t>
            </w:r>
          </w:p>
        </w:tc>
        <w:tc>
          <w:tcPr>
            <w:tcW w:w="1805"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449,753,846</w:t>
            </w:r>
          </w:p>
        </w:tc>
      </w:tr>
      <w:tr>
        <w:trPr>
          <w:trHeight w:val="554" w:hRule="exact"/>
        </w:trPr>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新股申购冻结资</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金利息</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20,148,153</w:t>
            </w:r>
          </w:p>
        </w:tc>
        <w:tc>
          <w:tcPr>
            <w:tcW w:w="1822"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20,148,153</w:t>
            </w:r>
          </w:p>
        </w:tc>
      </w:tr>
      <w:tr>
        <w:trPr>
          <w:trHeight w:val="284" w:hRule="exact"/>
        </w:trPr>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关联交易差价</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17,969,348</w:t>
            </w:r>
          </w:p>
        </w:tc>
        <w:tc>
          <w:tcPr>
            <w:tcW w:w="1822"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17,969,348</w:t>
            </w:r>
          </w:p>
        </w:tc>
      </w:tr>
      <w:tr>
        <w:trPr>
          <w:trHeight w:val="554" w:hRule="exact"/>
        </w:trPr>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少数股东股权变</w:t>
            </w:r>
          </w:p>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动</w:t>
            </w:r>
            <w:r>
              <w:rPr>
                <w:rFonts w:ascii="宋体" w:hAnsi="宋体" w:cs="宋体" w:eastAsia="宋体" w:hint="default"/>
                <w:sz w:val="21"/>
                <w:szCs w:val="21"/>
              </w:rPr>
              <w:t>(</w:t>
            </w: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3)</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-56,308,889</w:t>
            </w:r>
          </w:p>
        </w:tc>
        <w:tc>
          <w:tcPr>
            <w:tcW w:w="1822"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22,836,918</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-79,145,807</w:t>
            </w:r>
          </w:p>
        </w:tc>
      </w:tr>
      <w:tr>
        <w:trPr>
          <w:trHeight w:val="283" w:hRule="exact"/>
        </w:trPr>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19,487,838</w:t>
            </w:r>
          </w:p>
        </w:tc>
        <w:tc>
          <w:tcPr>
            <w:tcW w:w="1822"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88,074,461</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-68,586,623</w:t>
            </w:r>
          </w:p>
        </w:tc>
      </w:tr>
      <w:tr>
        <w:trPr>
          <w:trHeight w:val="283" w:hRule="exact"/>
        </w:trPr>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2,385,810,133</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179,965,065</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346,757,677</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2,219,017,521</w:t>
            </w:r>
          </w:p>
        </w:tc>
      </w:tr>
    </w:tbl>
    <w:p>
      <w:pPr>
        <w:spacing w:line="240" w:lineRule="auto" w:before="5"/>
        <w:rPr>
          <w:rFonts w:ascii="宋体" w:hAnsi="宋体" w:cs="宋体" w:eastAsia="宋体" w:hint="default"/>
          <w:sz w:val="15"/>
          <w:szCs w:val="15"/>
        </w:rPr>
      </w:pPr>
    </w:p>
    <w:p>
      <w:pPr>
        <w:pStyle w:val="BodyText"/>
        <w:spacing w:line="274" w:lineRule="exact" w:before="36"/>
        <w:ind w:left="938" w:right="0"/>
        <w:jc w:val="both"/>
      </w:pPr>
      <w:r>
        <w:rPr/>
        <w:t>其他说明，包括本期增减变动情况、变动原因说明：</w:t>
      </w:r>
    </w:p>
    <w:p>
      <w:pPr>
        <w:pStyle w:val="BodyText"/>
        <w:spacing w:line="272" w:lineRule="exact" w:before="27"/>
        <w:ind w:left="938" w:right="850"/>
        <w:jc w:val="both"/>
      </w:pPr>
      <w:r>
        <w:rPr/>
        <w:t>注 </w:t>
      </w:r>
      <w:r>
        <w:rPr>
          <w:rFonts w:ascii="宋体" w:hAnsi="宋体" w:cs="宋体" w:eastAsia="宋体" w:hint="default"/>
          <w:spacing w:val="-2"/>
        </w:rPr>
        <w:t>1</w:t>
      </w:r>
      <w:r>
        <w:rPr>
          <w:spacing w:val="-2"/>
        </w:rPr>
        <w:t>．本年股本溢价减少主要是由本公司为实施股权激励，从二级市场回购股票后再授予给本公</w:t>
      </w:r>
      <w:r>
        <w:rPr>
          <w:spacing w:val="-80"/>
        </w:rPr>
        <w:t> </w:t>
      </w:r>
      <w:r>
        <w:rPr>
          <w:spacing w:val="-80"/>
        </w:rPr>
      </w:r>
      <w:r>
        <w:rPr/>
        <w:t>司员工，回购价格大于授予价格。</w:t>
      </w:r>
    </w:p>
    <w:p>
      <w:pPr>
        <w:spacing w:line="240" w:lineRule="auto" w:before="12"/>
        <w:rPr>
          <w:rFonts w:ascii="宋体" w:hAnsi="宋体" w:cs="宋体" w:eastAsia="宋体" w:hint="default"/>
          <w:sz w:val="18"/>
          <w:szCs w:val="18"/>
        </w:rPr>
      </w:pPr>
    </w:p>
    <w:p>
      <w:pPr>
        <w:pStyle w:val="BodyText"/>
        <w:spacing w:line="237" w:lineRule="auto"/>
        <w:ind w:left="938" w:right="797"/>
        <w:jc w:val="both"/>
      </w:pPr>
      <w:r>
        <w:rPr/>
        <w:t>注</w:t>
      </w:r>
      <w:r>
        <w:rPr>
          <w:spacing w:val="-55"/>
        </w:rPr>
        <w:t> </w:t>
      </w:r>
      <w:r>
        <w:rPr>
          <w:rFonts w:ascii="宋体" w:hAnsi="宋体" w:cs="宋体" w:eastAsia="宋体" w:hint="default"/>
        </w:rPr>
        <w:t>2</w:t>
      </w:r>
      <w:r>
        <w:rPr/>
        <w:t>．本年股权激励成本主要由本公司及畅捷通的股份支付计划形成，参见附注十三。除此之外</w:t>
      </w:r>
      <w:r>
        <w:rPr>
          <w:w w:val="100"/>
        </w:rPr>
        <w:t> </w:t>
      </w:r>
      <w:r>
        <w:rPr>
          <w:spacing w:val="-2"/>
        </w:rPr>
        <w:t>本年用友政务、用友汽车、用友金融、新道科技对各自进行的股权激励确认了相应的股权激励成</w:t>
      </w:r>
      <w:r>
        <w:rPr>
          <w:spacing w:val="-25"/>
        </w:rPr>
        <w:t> </w:t>
      </w:r>
      <w:r>
        <w:rPr>
          <w:spacing w:val="-25"/>
        </w:rPr>
      </w:r>
      <w:r>
        <w:rPr/>
        <w:t>本。</w:t>
      </w:r>
    </w:p>
    <w:p>
      <w:pPr>
        <w:spacing w:line="240" w:lineRule="auto" w:before="10"/>
        <w:rPr>
          <w:rFonts w:ascii="宋体" w:hAnsi="宋体" w:cs="宋体" w:eastAsia="宋体" w:hint="default"/>
          <w:sz w:val="22"/>
          <w:szCs w:val="22"/>
        </w:rPr>
      </w:pPr>
    </w:p>
    <w:p>
      <w:pPr>
        <w:pStyle w:val="BodyText"/>
        <w:spacing w:line="272" w:lineRule="exact"/>
        <w:ind w:left="938" w:right="850"/>
        <w:jc w:val="both"/>
      </w:pPr>
      <w:r>
        <w:rPr/>
        <w:t>注 </w:t>
      </w:r>
      <w:r>
        <w:rPr>
          <w:rFonts w:ascii="宋体" w:hAnsi="宋体" w:cs="宋体" w:eastAsia="宋体" w:hint="default"/>
          <w:spacing w:val="-2"/>
        </w:rPr>
        <w:t>3</w:t>
      </w:r>
      <w:r>
        <w:rPr>
          <w:spacing w:val="-2"/>
        </w:rPr>
        <w:t>．本年少数股权变动引起的资本公积增加主要是由于本公司之子公司用友汽车本年定向增发</w:t>
      </w:r>
      <w:r>
        <w:rPr>
          <w:spacing w:val="-80"/>
        </w:rPr>
        <w:t> </w:t>
      </w:r>
      <w:r>
        <w:rPr>
          <w:spacing w:val="-80"/>
        </w:rPr>
      </w:r>
      <w:r>
        <w:rPr/>
        <w:t>以及友金所、薪福社少数股东增资。</w:t>
      </w:r>
    </w:p>
    <w:p>
      <w:pPr>
        <w:spacing w:line="240" w:lineRule="auto" w:before="7"/>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320" w:bottom="1380" w:left="860" w:right="480"/>
        </w:sectPr>
      </w:pPr>
    </w:p>
    <w:p>
      <w:pPr>
        <w:pStyle w:val="Heading3"/>
        <w:spacing w:line="240" w:lineRule="auto" w:before="36"/>
        <w:ind w:left="938" w:right="-18"/>
        <w:jc w:val="left"/>
        <w:rPr>
          <w:b w:val="0"/>
          <w:bCs w:val="0"/>
        </w:rPr>
      </w:pPr>
      <w:r>
        <w:rPr>
          <w:rFonts w:ascii="宋体" w:hAnsi="宋体" w:cs="宋体" w:eastAsia="宋体" w:hint="default"/>
        </w:rPr>
        <w:t>56</w:t>
      </w:r>
      <w:r>
        <w:rPr/>
        <w:t>、</w:t>
      </w:r>
      <w:r>
        <w:rPr>
          <w:spacing w:val="-25"/>
        </w:rPr>
        <w:t> </w:t>
      </w:r>
      <w:r>
        <w:rPr/>
        <w:t>库存股</w:t>
      </w:r>
      <w:r>
        <w:rPr>
          <w:b w:val="0"/>
          <w:bCs w:val="0"/>
        </w:rPr>
      </w:r>
    </w:p>
    <w:p>
      <w:pPr>
        <w:pStyle w:val="BodyText"/>
        <w:spacing w:line="240" w:lineRule="auto" w:before="58"/>
        <w:ind w:left="938"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left="938" w:right="0"/>
        <w:jc w:val="left"/>
      </w:pPr>
      <w:r>
        <w:rPr/>
        <w:t>单位：元币种：人民币</w:t>
      </w:r>
    </w:p>
    <w:p>
      <w:pPr>
        <w:spacing w:after="0" w:line="240" w:lineRule="auto"/>
        <w:jc w:val="left"/>
        <w:sectPr>
          <w:type w:val="continuous"/>
          <w:pgSz w:w="11910" w:h="16840"/>
          <w:pgMar w:top="1320" w:bottom="1380" w:left="860" w:right="480"/>
          <w:cols w:num="2" w:equalWidth="0">
            <w:col w:w="2515" w:space="4218"/>
            <w:col w:w="3837"/>
          </w:cols>
        </w:sectPr>
      </w:pPr>
    </w:p>
    <w:p>
      <w:pPr>
        <w:spacing w:line="240" w:lineRule="auto" w:before="7"/>
        <w:rPr>
          <w:rFonts w:ascii="宋体" w:hAnsi="宋体" w:cs="宋体" w:eastAsia="宋体" w:hint="default"/>
          <w:sz w:val="2"/>
          <w:szCs w:val="2"/>
        </w:rPr>
      </w:pPr>
    </w:p>
    <w:tbl>
      <w:tblPr>
        <w:tblW w:w="0" w:type="auto"/>
        <w:jc w:val="left"/>
        <w:tblInd w:w="902" w:type="dxa"/>
        <w:tblLayout w:type="fixed"/>
        <w:tblCellMar>
          <w:top w:w="0" w:type="dxa"/>
          <w:left w:w="0" w:type="dxa"/>
          <w:bottom w:w="0" w:type="dxa"/>
          <w:right w:w="0" w:type="dxa"/>
        </w:tblCellMar>
        <w:tblLook w:val="01E0"/>
      </w:tblPr>
      <w:tblGrid>
        <w:gridCol w:w="1682"/>
        <w:gridCol w:w="1774"/>
        <w:gridCol w:w="1805"/>
        <w:gridCol w:w="1814"/>
        <w:gridCol w:w="1820"/>
      </w:tblGrid>
      <w:tr>
        <w:trPr>
          <w:trHeight w:val="283" w:hRule="exact"/>
        </w:trPr>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623"/>
              <w:jc w:val="right"/>
              <w:rPr>
                <w:rFonts w:ascii="宋体" w:hAnsi="宋体" w:cs="宋体" w:eastAsia="宋体" w:hint="default"/>
                <w:sz w:val="21"/>
                <w:szCs w:val="21"/>
              </w:rPr>
            </w:pPr>
            <w:r>
              <w:rPr>
                <w:rFonts w:ascii="宋体" w:hAnsi="宋体" w:cs="宋体" w:eastAsia="宋体" w:hint="default"/>
                <w:sz w:val="21"/>
                <w:szCs w:val="21"/>
              </w:rPr>
              <w:t>项目</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61"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75"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82"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85"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281" w:hRule="exact"/>
        </w:trPr>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库存股</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186,377,326</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4,448,218</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88,629,253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102,196,291</w:t>
            </w:r>
          </w:p>
        </w:tc>
      </w:tr>
      <w:tr>
        <w:trPr>
          <w:trHeight w:val="283" w:hRule="exact"/>
        </w:trPr>
        <w:tc>
          <w:tcPr>
            <w:tcW w:w="1682" w:type="dxa"/>
            <w:tcBorders>
              <w:top w:val="single" w:sz="4" w:space="0" w:color="000000"/>
              <w:left w:val="single" w:sz="4" w:space="0" w:color="000000"/>
              <w:bottom w:val="single" w:sz="4" w:space="0" w:color="000000"/>
              <w:right w:val="single" w:sz="4" w:space="0" w:color="000000"/>
            </w:tcBorders>
          </w:tcPr>
          <w:p>
            <w:pPr/>
          </w:p>
        </w:tc>
        <w:tc>
          <w:tcPr>
            <w:tcW w:w="1774"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814"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623"/>
              <w:jc w:val="right"/>
              <w:rPr>
                <w:rFonts w:ascii="宋体" w:hAnsi="宋体" w:cs="宋体" w:eastAsia="宋体" w:hint="default"/>
                <w:sz w:val="21"/>
                <w:szCs w:val="21"/>
              </w:rPr>
            </w:pPr>
            <w:r>
              <w:rPr>
                <w:rFonts w:ascii="宋体" w:hAnsi="宋体" w:cs="宋体" w:eastAsia="宋体" w:hint="default"/>
                <w:sz w:val="21"/>
                <w:szCs w:val="21"/>
              </w:rPr>
              <w:t>合计</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186,377,326</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4,448,218</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88,629,253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102,196,291</w:t>
            </w:r>
          </w:p>
        </w:tc>
      </w:tr>
    </w:tbl>
    <w:p>
      <w:pPr>
        <w:spacing w:line="240" w:lineRule="auto" w:before="5"/>
        <w:rPr>
          <w:rFonts w:ascii="宋体" w:hAnsi="宋体" w:cs="宋体" w:eastAsia="宋体" w:hint="default"/>
          <w:sz w:val="15"/>
          <w:szCs w:val="15"/>
        </w:rPr>
      </w:pPr>
    </w:p>
    <w:p>
      <w:pPr>
        <w:pStyle w:val="BodyText"/>
        <w:spacing w:line="274" w:lineRule="exact" w:before="36"/>
        <w:ind w:left="938" w:right="0"/>
        <w:jc w:val="left"/>
      </w:pPr>
      <w:r>
        <w:rPr/>
        <w:t>其他说明，包括本期增减变动情况、变动原因说明：</w:t>
      </w:r>
    </w:p>
    <w:p>
      <w:pPr>
        <w:pStyle w:val="BodyText"/>
        <w:spacing w:line="272" w:lineRule="exact" w:before="27"/>
        <w:ind w:left="938" w:right="0"/>
        <w:jc w:val="left"/>
      </w:pPr>
      <w:r>
        <w:rPr/>
        <w:t>注</w:t>
      </w:r>
      <w:r>
        <w:rPr>
          <w:spacing w:val="-12"/>
        </w:rPr>
        <w:t> </w:t>
      </w:r>
      <w:r>
        <w:rPr>
          <w:rFonts w:ascii="宋体" w:hAnsi="宋体" w:cs="宋体" w:eastAsia="宋体" w:hint="default"/>
          <w:spacing w:val="-5"/>
        </w:rPr>
        <w:t>1</w:t>
      </w:r>
      <w:r>
        <w:rPr>
          <w:spacing w:val="-5"/>
        </w:rPr>
        <w:t>：库存股增加主要是由于本公司本年发行了新的限制性股票激励计划，对授予的限制性股票，</w:t>
      </w:r>
      <w:r>
        <w:rPr>
          <w:spacing w:val="-90"/>
        </w:rPr>
        <w:t> </w:t>
      </w:r>
      <w:r>
        <w:rPr>
          <w:spacing w:val="-90"/>
        </w:rPr>
      </w:r>
      <w:r>
        <w:rPr/>
        <w:t>未来无法解锁时将由本公司回购注销，本公司对此确认了库存股回购义务。</w:t>
      </w:r>
    </w:p>
    <w:p>
      <w:pPr>
        <w:spacing w:line="240" w:lineRule="auto" w:before="10"/>
        <w:rPr>
          <w:rFonts w:ascii="宋体" w:hAnsi="宋体" w:cs="宋体" w:eastAsia="宋体" w:hint="default"/>
          <w:sz w:val="18"/>
          <w:szCs w:val="18"/>
        </w:rPr>
      </w:pPr>
    </w:p>
    <w:p>
      <w:pPr>
        <w:pStyle w:val="BodyText"/>
        <w:spacing w:line="240" w:lineRule="auto"/>
        <w:ind w:left="938" w:right="0"/>
        <w:jc w:val="left"/>
      </w:pPr>
      <w:r>
        <w:rPr/>
        <w:t>注</w:t>
      </w:r>
      <w:r>
        <w:rPr>
          <w:spacing w:val="22"/>
        </w:rPr>
        <w:t> </w:t>
      </w:r>
      <w:r>
        <w:rPr>
          <w:rFonts w:ascii="宋体" w:hAnsi="宋体" w:cs="宋体" w:eastAsia="宋体" w:hint="default"/>
          <w:spacing w:val="-3"/>
        </w:rPr>
        <w:t>2</w:t>
      </w:r>
      <w:r>
        <w:rPr>
          <w:spacing w:val="-3"/>
        </w:rPr>
        <w:t>：库存股减少主要是由于本公司之子公司畅捷通本年解锁了前期授予的信托受益权标的股份。</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type w:val="continuous"/>
          <w:pgSz w:w="11910" w:h="16840"/>
          <w:pgMar w:top="1320" w:bottom="1380" w:left="860" w:right="480"/>
        </w:sectPr>
      </w:pPr>
    </w:p>
    <w:p>
      <w:pPr>
        <w:pStyle w:val="Heading3"/>
        <w:spacing w:line="240" w:lineRule="auto" w:before="36"/>
        <w:ind w:left="938" w:right="-18"/>
        <w:jc w:val="left"/>
        <w:rPr>
          <w:b w:val="0"/>
          <w:bCs w:val="0"/>
        </w:rPr>
      </w:pPr>
      <w:r>
        <w:rPr>
          <w:rFonts w:ascii="宋体" w:hAnsi="宋体" w:cs="宋体" w:eastAsia="宋体" w:hint="default"/>
        </w:rPr>
        <w:t>57</w:t>
      </w:r>
      <w:r>
        <w:rPr/>
        <w:t>、</w:t>
      </w:r>
      <w:r>
        <w:rPr>
          <w:spacing w:val="-24"/>
        </w:rPr>
        <w:t> </w:t>
      </w:r>
      <w:r>
        <w:rPr/>
        <w:t>其他综合收益</w:t>
      </w:r>
      <w:r>
        <w:rPr>
          <w:b w:val="0"/>
          <w:bCs w:val="0"/>
        </w:rPr>
      </w:r>
    </w:p>
    <w:p>
      <w:pPr>
        <w:pStyle w:val="BodyText"/>
        <w:spacing w:line="240" w:lineRule="auto" w:before="56"/>
        <w:ind w:left="938"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left="938" w:right="0"/>
        <w:jc w:val="left"/>
      </w:pPr>
      <w:r>
        <w:rPr/>
        <w:t>单位：元币种：人民币</w:t>
      </w:r>
    </w:p>
    <w:p>
      <w:pPr>
        <w:spacing w:after="0" w:line="240" w:lineRule="auto"/>
        <w:jc w:val="left"/>
        <w:sectPr>
          <w:type w:val="continuous"/>
          <w:pgSz w:w="11910" w:h="16840"/>
          <w:pgMar w:top="1320" w:bottom="1380" w:left="860" w:right="480"/>
          <w:cols w:num="2" w:equalWidth="0">
            <w:col w:w="2710" w:space="4023"/>
            <w:col w:w="3837"/>
          </w:cols>
        </w:sectPr>
      </w:pPr>
    </w:p>
    <w:p>
      <w:pPr>
        <w:spacing w:line="240" w:lineRule="auto" w:before="4"/>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1784"/>
        <w:gridCol w:w="1193"/>
        <w:gridCol w:w="1298"/>
        <w:gridCol w:w="1104"/>
        <w:gridCol w:w="1310"/>
        <w:gridCol w:w="1309"/>
        <w:gridCol w:w="1018"/>
        <w:gridCol w:w="1310"/>
      </w:tblGrid>
      <w:tr>
        <w:trPr>
          <w:trHeight w:val="283" w:hRule="exact"/>
        </w:trPr>
        <w:tc>
          <w:tcPr>
            <w:tcW w:w="1784"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9"/>
                <w:szCs w:val="29"/>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193"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79" w:right="380"/>
              <w:jc w:val="left"/>
              <w:rPr>
                <w:rFonts w:ascii="宋体" w:hAnsi="宋体" w:cs="宋体" w:eastAsia="宋体" w:hint="default"/>
                <w:sz w:val="21"/>
                <w:szCs w:val="21"/>
              </w:rPr>
            </w:pPr>
            <w:r>
              <w:rPr>
                <w:rFonts w:ascii="宋体" w:hAnsi="宋体" w:cs="宋体" w:eastAsia="宋体" w:hint="default"/>
                <w:sz w:val="21"/>
                <w:szCs w:val="21"/>
              </w:rPr>
              <w:t>期初</w:t>
            </w:r>
            <w:r>
              <w:rPr>
                <w:rFonts w:ascii="宋体" w:hAnsi="宋体" w:cs="宋体" w:eastAsia="宋体" w:hint="default"/>
                <w:spacing w:val="-103"/>
                <w:sz w:val="21"/>
                <w:szCs w:val="21"/>
              </w:rPr>
              <w:t> </w:t>
            </w:r>
            <w:r>
              <w:rPr>
                <w:rFonts w:ascii="宋体" w:hAnsi="宋体" w:cs="宋体" w:eastAsia="宋体" w:hint="default"/>
                <w:sz w:val="21"/>
                <w:szCs w:val="21"/>
              </w:rPr>
              <w:t>余额</w:t>
            </w:r>
          </w:p>
        </w:tc>
        <w:tc>
          <w:tcPr>
            <w:tcW w:w="603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本期发生金额</w:t>
            </w:r>
          </w:p>
        </w:tc>
        <w:tc>
          <w:tcPr>
            <w:tcW w:w="1310"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439" w:right="437"/>
              <w:jc w:val="center"/>
              <w:rPr>
                <w:rFonts w:ascii="宋体" w:hAnsi="宋体" w:cs="宋体" w:eastAsia="宋体" w:hint="default"/>
                <w:sz w:val="21"/>
                <w:szCs w:val="21"/>
              </w:rPr>
            </w:pPr>
            <w:r>
              <w:rPr>
                <w:rFonts w:ascii="宋体" w:hAnsi="宋体" w:cs="宋体" w:eastAsia="宋体" w:hint="default"/>
                <w:sz w:val="21"/>
                <w:szCs w:val="21"/>
              </w:rPr>
              <w:t>期末</w:t>
            </w:r>
            <w:r>
              <w:rPr>
                <w:rFonts w:ascii="宋体" w:hAnsi="宋体" w:cs="宋体" w:eastAsia="宋体" w:hint="default"/>
                <w:w w:val="100"/>
                <w:sz w:val="21"/>
                <w:szCs w:val="21"/>
              </w:rPr>
              <w:t> </w:t>
            </w:r>
            <w:r>
              <w:rPr>
                <w:rFonts w:ascii="宋体" w:hAnsi="宋体" w:cs="宋体" w:eastAsia="宋体" w:hint="default"/>
                <w:sz w:val="21"/>
                <w:szCs w:val="21"/>
              </w:rPr>
              <w:t>余额</w:t>
            </w:r>
          </w:p>
        </w:tc>
      </w:tr>
      <w:tr>
        <w:trPr>
          <w:trHeight w:val="828" w:hRule="exact"/>
        </w:trPr>
        <w:tc>
          <w:tcPr>
            <w:tcW w:w="1784" w:type="dxa"/>
            <w:vMerge/>
            <w:tcBorders>
              <w:left w:val="single" w:sz="4" w:space="0" w:color="000000"/>
              <w:bottom w:val="single" w:sz="4" w:space="0" w:color="000000"/>
              <w:right w:val="single" w:sz="4" w:space="0" w:color="000000"/>
            </w:tcBorders>
          </w:tcPr>
          <w:p>
            <w:pPr/>
          </w:p>
        </w:tc>
        <w:tc>
          <w:tcPr>
            <w:tcW w:w="1193" w:type="dxa"/>
            <w:vMerge/>
            <w:tcBorders>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31"/>
              <w:ind w:left="220" w:right="117" w:hanging="106"/>
              <w:jc w:val="left"/>
              <w:rPr>
                <w:rFonts w:ascii="宋体" w:hAnsi="宋体" w:cs="宋体" w:eastAsia="宋体" w:hint="default"/>
                <w:sz w:val="21"/>
                <w:szCs w:val="21"/>
              </w:rPr>
            </w:pPr>
            <w:r>
              <w:rPr>
                <w:rFonts w:ascii="宋体" w:hAnsi="宋体" w:cs="宋体" w:eastAsia="宋体" w:hint="default"/>
                <w:sz w:val="21"/>
                <w:szCs w:val="21"/>
              </w:rPr>
              <w:t>本期所得税</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前发生额</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27" w:right="0"/>
              <w:jc w:val="left"/>
              <w:rPr>
                <w:rFonts w:ascii="宋体" w:hAnsi="宋体" w:cs="宋体" w:eastAsia="宋体" w:hint="default"/>
                <w:sz w:val="21"/>
                <w:szCs w:val="21"/>
              </w:rPr>
            </w:pPr>
            <w:r>
              <w:rPr>
                <w:rFonts w:ascii="宋体" w:hAnsi="宋体" w:cs="宋体" w:eastAsia="宋体" w:hint="default"/>
                <w:sz w:val="21"/>
                <w:szCs w:val="21"/>
              </w:rPr>
              <w:t>减：前期</w:t>
            </w:r>
          </w:p>
          <w:p>
            <w:pPr>
              <w:pStyle w:val="TableParagraph"/>
              <w:spacing w:line="272" w:lineRule="exact" w:before="27"/>
              <w:ind w:left="127" w:right="123"/>
              <w:jc w:val="left"/>
              <w:rPr>
                <w:rFonts w:ascii="宋体" w:hAnsi="宋体" w:cs="宋体" w:eastAsia="宋体" w:hint="default"/>
                <w:sz w:val="21"/>
                <w:szCs w:val="21"/>
              </w:rPr>
            </w:pPr>
            <w:r>
              <w:rPr>
                <w:rFonts w:ascii="宋体" w:hAnsi="宋体" w:cs="宋体" w:eastAsia="宋体" w:hint="default"/>
                <w:sz w:val="21"/>
                <w:szCs w:val="21"/>
              </w:rPr>
              <w:t>计入其他</w:t>
            </w:r>
            <w:r>
              <w:rPr>
                <w:rFonts w:ascii="宋体" w:hAnsi="宋体" w:cs="宋体" w:eastAsia="宋体" w:hint="default"/>
                <w:w w:val="100"/>
                <w:sz w:val="21"/>
                <w:szCs w:val="21"/>
              </w:rPr>
              <w:t> </w:t>
            </w:r>
            <w:r>
              <w:rPr>
                <w:rFonts w:ascii="宋体" w:hAnsi="宋体" w:cs="宋体" w:eastAsia="宋体" w:hint="default"/>
                <w:sz w:val="21"/>
                <w:szCs w:val="21"/>
              </w:rPr>
              <w:t>综合收益</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31"/>
              <w:ind w:left="439" w:right="122" w:hanging="317"/>
              <w:jc w:val="left"/>
              <w:rPr>
                <w:rFonts w:ascii="宋体" w:hAnsi="宋体" w:cs="宋体" w:eastAsia="宋体" w:hint="default"/>
                <w:sz w:val="21"/>
                <w:szCs w:val="21"/>
              </w:rPr>
            </w:pPr>
            <w:r>
              <w:rPr>
                <w:rFonts w:ascii="宋体" w:hAnsi="宋体" w:cs="宋体" w:eastAsia="宋体" w:hint="default"/>
                <w:sz w:val="21"/>
                <w:szCs w:val="21"/>
              </w:rPr>
              <w:t>减：所得税</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费用</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31"/>
              <w:ind w:left="333" w:right="120" w:hanging="212"/>
              <w:jc w:val="left"/>
              <w:rPr>
                <w:rFonts w:ascii="宋体" w:hAnsi="宋体" w:cs="宋体" w:eastAsia="宋体" w:hint="default"/>
                <w:sz w:val="21"/>
                <w:szCs w:val="21"/>
              </w:rPr>
            </w:pPr>
            <w:r>
              <w:rPr>
                <w:rFonts w:ascii="宋体" w:hAnsi="宋体" w:cs="宋体" w:eastAsia="宋体" w:hint="default"/>
                <w:sz w:val="21"/>
                <w:szCs w:val="21"/>
              </w:rPr>
              <w:t>税后归属于</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母公司</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87" w:right="0"/>
              <w:jc w:val="left"/>
              <w:rPr>
                <w:rFonts w:ascii="宋体" w:hAnsi="宋体" w:cs="宋体" w:eastAsia="宋体" w:hint="default"/>
                <w:sz w:val="21"/>
                <w:szCs w:val="21"/>
              </w:rPr>
            </w:pPr>
            <w:r>
              <w:rPr>
                <w:rFonts w:ascii="宋体" w:hAnsi="宋体" w:cs="宋体" w:eastAsia="宋体" w:hint="default"/>
                <w:sz w:val="21"/>
                <w:szCs w:val="21"/>
              </w:rPr>
              <w:t>税后归</w:t>
            </w:r>
          </w:p>
          <w:p>
            <w:pPr>
              <w:pStyle w:val="TableParagraph"/>
              <w:spacing w:line="272" w:lineRule="exact" w:before="27"/>
              <w:ind w:left="187" w:right="185"/>
              <w:jc w:val="left"/>
              <w:rPr>
                <w:rFonts w:ascii="宋体" w:hAnsi="宋体" w:cs="宋体" w:eastAsia="宋体" w:hint="default"/>
                <w:sz w:val="21"/>
                <w:szCs w:val="21"/>
              </w:rPr>
            </w:pPr>
            <w:r>
              <w:rPr>
                <w:rFonts w:ascii="宋体" w:hAnsi="宋体" w:cs="宋体" w:eastAsia="宋体" w:hint="default"/>
                <w:sz w:val="21"/>
                <w:szCs w:val="21"/>
              </w:rPr>
              <w:t>属于少</w:t>
            </w:r>
            <w:r>
              <w:rPr>
                <w:rFonts w:ascii="宋体" w:hAnsi="宋体" w:cs="宋体" w:eastAsia="宋体" w:hint="default"/>
                <w:spacing w:val="-102"/>
                <w:sz w:val="21"/>
                <w:szCs w:val="21"/>
              </w:rPr>
              <w:t> </w:t>
            </w:r>
            <w:r>
              <w:rPr>
                <w:rFonts w:ascii="宋体" w:hAnsi="宋体" w:cs="宋体" w:eastAsia="宋体" w:hint="default"/>
                <w:sz w:val="21"/>
                <w:szCs w:val="21"/>
              </w:rPr>
              <w:t>数股东</w:t>
            </w:r>
          </w:p>
        </w:tc>
        <w:tc>
          <w:tcPr>
            <w:tcW w:w="1310" w:type="dxa"/>
            <w:vMerge/>
            <w:tcBorders>
              <w:left w:val="single" w:sz="4" w:space="0" w:color="000000"/>
              <w:bottom w:val="single" w:sz="4" w:space="0" w:color="000000"/>
              <w:right w:val="single" w:sz="4" w:space="0" w:color="000000"/>
            </w:tcBorders>
          </w:tcPr>
          <w:p>
            <w:pPr/>
          </w:p>
        </w:tc>
      </w:tr>
    </w:tbl>
    <w:p>
      <w:pPr>
        <w:spacing w:after="0"/>
        <w:sectPr>
          <w:type w:val="continuous"/>
          <w:pgSz w:w="11910" w:h="16840"/>
          <w:pgMar w:top="1320" w:bottom="1380" w:left="860" w:right="480"/>
        </w:sectPr>
      </w:pPr>
    </w:p>
    <w:p>
      <w:pPr>
        <w:spacing w:line="240" w:lineRule="auto" w:before="6"/>
        <w:rPr>
          <w:rFonts w:ascii="宋体" w:hAnsi="宋体" w:cs="宋体" w:eastAsia="宋体" w:hint="default"/>
          <w:sz w:val="14"/>
          <w:szCs w:val="14"/>
        </w:rPr>
      </w:pPr>
    </w:p>
    <w:tbl>
      <w:tblPr>
        <w:tblW w:w="0" w:type="auto"/>
        <w:jc w:val="left"/>
        <w:tblInd w:w="109" w:type="dxa"/>
        <w:tblLayout w:type="fixed"/>
        <w:tblCellMar>
          <w:top w:w="0" w:type="dxa"/>
          <w:left w:w="0" w:type="dxa"/>
          <w:bottom w:w="0" w:type="dxa"/>
          <w:right w:w="0" w:type="dxa"/>
        </w:tblCellMar>
        <w:tblLook w:val="01E0"/>
      </w:tblPr>
      <w:tblGrid>
        <w:gridCol w:w="1784"/>
        <w:gridCol w:w="1193"/>
        <w:gridCol w:w="1298"/>
        <w:gridCol w:w="1104"/>
        <w:gridCol w:w="1310"/>
        <w:gridCol w:w="1309"/>
        <w:gridCol w:w="1018"/>
        <w:gridCol w:w="1310"/>
      </w:tblGrid>
      <w:tr>
        <w:trPr>
          <w:trHeight w:val="557" w:hRule="exact"/>
        </w:trPr>
        <w:tc>
          <w:tcPr>
            <w:tcW w:w="1784" w:type="dxa"/>
            <w:tcBorders>
              <w:top w:val="single" w:sz="4" w:space="0" w:color="000000"/>
              <w:left w:val="single" w:sz="4" w:space="0" w:color="000000"/>
              <w:bottom w:val="single" w:sz="4" w:space="0" w:color="000000"/>
              <w:right w:val="single" w:sz="4" w:space="0" w:color="000000"/>
            </w:tcBorders>
          </w:tcPr>
          <w:p>
            <w:pPr/>
          </w:p>
        </w:tc>
        <w:tc>
          <w:tcPr>
            <w:tcW w:w="1193"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2" w:right="0"/>
              <w:jc w:val="center"/>
              <w:rPr>
                <w:rFonts w:ascii="宋体" w:hAnsi="宋体" w:cs="宋体" w:eastAsia="宋体" w:hint="default"/>
                <w:sz w:val="21"/>
                <w:szCs w:val="21"/>
              </w:rPr>
            </w:pPr>
            <w:r>
              <w:rPr>
                <w:rFonts w:ascii="宋体" w:hAnsi="宋体" w:cs="宋体" w:eastAsia="宋体" w:hint="default"/>
                <w:sz w:val="21"/>
                <w:szCs w:val="21"/>
              </w:rPr>
              <w:t>当期转入</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损益</w:t>
            </w:r>
          </w:p>
        </w:tc>
        <w:tc>
          <w:tcPr>
            <w:tcW w:w="1310" w:type="dxa"/>
            <w:tcBorders>
              <w:top w:val="single" w:sz="4" w:space="0" w:color="000000"/>
              <w:left w:val="single" w:sz="4" w:space="0" w:color="000000"/>
              <w:bottom w:val="single" w:sz="4" w:space="0" w:color="000000"/>
              <w:right w:val="single" w:sz="4" w:space="0" w:color="000000"/>
            </w:tcBorders>
          </w:tcPr>
          <w:p>
            <w:pPr/>
          </w:p>
        </w:tc>
        <w:tc>
          <w:tcPr>
            <w:tcW w:w="1309"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r>
      <w:tr>
        <w:trPr>
          <w:trHeight w:val="826"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一、以后不能重</w:t>
            </w:r>
          </w:p>
          <w:p>
            <w:pPr>
              <w:pStyle w:val="TableParagraph"/>
              <w:spacing w:line="240" w:lineRule="auto"/>
              <w:ind w:left="103" w:right="195"/>
              <w:jc w:val="left"/>
              <w:rPr>
                <w:rFonts w:ascii="宋体" w:hAnsi="宋体" w:cs="宋体" w:eastAsia="宋体" w:hint="default"/>
                <w:sz w:val="21"/>
                <w:szCs w:val="21"/>
              </w:rPr>
            </w:pPr>
            <w:r>
              <w:rPr>
                <w:rFonts w:ascii="宋体" w:hAnsi="宋体" w:cs="宋体" w:eastAsia="宋体" w:hint="default"/>
                <w:sz w:val="21"/>
                <w:szCs w:val="21"/>
              </w:rPr>
              <w:t>分类进损益的其</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他综合收益</w:t>
            </w:r>
          </w:p>
        </w:tc>
        <w:tc>
          <w:tcPr>
            <w:tcW w:w="1193"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1309"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r>
      <w:tr>
        <w:trPr>
          <w:trHeight w:val="1099"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其中：重新计算</w:t>
            </w:r>
          </w:p>
          <w:p>
            <w:pPr>
              <w:pStyle w:val="TableParagraph"/>
              <w:spacing w:line="237" w:lineRule="auto" w:before="2"/>
              <w:ind w:left="103" w:right="195"/>
              <w:jc w:val="both"/>
              <w:rPr>
                <w:rFonts w:ascii="宋体" w:hAnsi="宋体" w:cs="宋体" w:eastAsia="宋体" w:hint="default"/>
                <w:sz w:val="21"/>
                <w:szCs w:val="21"/>
              </w:rPr>
            </w:pPr>
            <w:r>
              <w:rPr>
                <w:rFonts w:ascii="宋体" w:hAnsi="宋体" w:cs="宋体" w:eastAsia="宋体" w:hint="default"/>
                <w:sz w:val="21"/>
                <w:szCs w:val="21"/>
              </w:rPr>
              <w:t>设定受益计划净</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负债和净资产的</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变动</w:t>
            </w:r>
          </w:p>
        </w:tc>
        <w:tc>
          <w:tcPr>
            <w:tcW w:w="1193"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1309"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r>
      <w:tr>
        <w:trPr>
          <w:trHeight w:val="1373"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权益法下在被投</w:t>
            </w:r>
          </w:p>
          <w:p>
            <w:pPr>
              <w:pStyle w:val="TableParagraph"/>
              <w:spacing w:line="237" w:lineRule="auto" w:before="2"/>
              <w:ind w:left="103" w:right="195"/>
              <w:jc w:val="both"/>
              <w:rPr>
                <w:rFonts w:ascii="宋体" w:hAnsi="宋体" w:cs="宋体" w:eastAsia="宋体" w:hint="default"/>
                <w:sz w:val="21"/>
                <w:szCs w:val="21"/>
              </w:rPr>
            </w:pPr>
            <w:r>
              <w:rPr>
                <w:rFonts w:ascii="宋体" w:hAnsi="宋体" w:cs="宋体" w:eastAsia="宋体" w:hint="default"/>
                <w:sz w:val="21"/>
                <w:szCs w:val="21"/>
              </w:rPr>
              <w:t>资单位不能重分</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类进损益的其他</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综合收益中享有</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的份额</w:t>
            </w:r>
          </w:p>
        </w:tc>
        <w:tc>
          <w:tcPr>
            <w:tcW w:w="1193"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1309"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784" w:type="dxa"/>
            <w:tcBorders>
              <w:top w:val="single" w:sz="4" w:space="0" w:color="000000"/>
              <w:left w:val="single" w:sz="4" w:space="0" w:color="000000"/>
              <w:bottom w:val="single" w:sz="4" w:space="0" w:color="000000"/>
              <w:right w:val="single" w:sz="4" w:space="0" w:color="000000"/>
            </w:tcBorders>
          </w:tcPr>
          <w:p>
            <w:pPr/>
          </w:p>
        </w:tc>
        <w:tc>
          <w:tcPr>
            <w:tcW w:w="1193"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1309"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784" w:type="dxa"/>
            <w:tcBorders>
              <w:top w:val="single" w:sz="4" w:space="0" w:color="000000"/>
              <w:left w:val="single" w:sz="4" w:space="0" w:color="000000"/>
              <w:bottom w:val="single" w:sz="4" w:space="0" w:color="000000"/>
              <w:right w:val="single" w:sz="4" w:space="0" w:color="000000"/>
            </w:tcBorders>
          </w:tcPr>
          <w:p>
            <w:pPr/>
          </w:p>
        </w:tc>
        <w:tc>
          <w:tcPr>
            <w:tcW w:w="1193"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1309"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r>
      <w:tr>
        <w:trPr>
          <w:trHeight w:val="828"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二、以后将重分</w:t>
            </w:r>
          </w:p>
          <w:p>
            <w:pPr>
              <w:pStyle w:val="TableParagraph"/>
              <w:spacing w:line="272" w:lineRule="exact" w:before="27"/>
              <w:ind w:left="103" w:right="195"/>
              <w:jc w:val="left"/>
              <w:rPr>
                <w:rFonts w:ascii="宋体" w:hAnsi="宋体" w:cs="宋体" w:eastAsia="宋体" w:hint="default"/>
                <w:sz w:val="21"/>
                <w:szCs w:val="21"/>
              </w:rPr>
            </w:pPr>
            <w:r>
              <w:rPr>
                <w:rFonts w:ascii="宋体" w:hAnsi="宋体" w:cs="宋体" w:eastAsia="宋体" w:hint="default"/>
                <w:sz w:val="21"/>
                <w:szCs w:val="21"/>
              </w:rPr>
              <w:t>类进损益的其他</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综合收益</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2,944,939</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8" w:right="0"/>
              <w:jc w:val="center"/>
              <w:rPr>
                <w:rFonts w:ascii="宋体" w:hAnsi="宋体" w:cs="宋体" w:eastAsia="宋体" w:hint="default"/>
                <w:sz w:val="21"/>
                <w:szCs w:val="21"/>
              </w:rPr>
            </w:pPr>
            <w:r>
              <w:rPr>
                <w:rFonts w:ascii="宋体"/>
                <w:sz w:val="21"/>
              </w:rPr>
              <w:t>61,023,684</w:t>
            </w:r>
          </w:p>
        </w:tc>
        <w:tc>
          <w:tcPr>
            <w:tcW w:w="110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0" w:right="0"/>
              <w:jc w:val="center"/>
              <w:rPr>
                <w:rFonts w:ascii="宋体" w:hAnsi="宋体" w:cs="宋体" w:eastAsia="宋体" w:hint="default"/>
                <w:sz w:val="21"/>
                <w:szCs w:val="21"/>
              </w:rPr>
            </w:pPr>
            <w:r>
              <w:rPr>
                <w:rFonts w:ascii="宋体"/>
                <w:sz w:val="21"/>
              </w:rPr>
              <w:t>15,998,824</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45,001,628</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23,232</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47,946,567</w:t>
            </w:r>
          </w:p>
        </w:tc>
      </w:tr>
      <w:tr>
        <w:trPr>
          <w:trHeight w:val="1371"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both"/>
              <w:rPr>
                <w:rFonts w:ascii="宋体" w:hAnsi="宋体" w:cs="宋体" w:eastAsia="宋体" w:hint="default"/>
                <w:sz w:val="21"/>
                <w:szCs w:val="21"/>
              </w:rPr>
            </w:pPr>
            <w:r>
              <w:rPr>
                <w:rFonts w:ascii="宋体" w:hAnsi="宋体" w:cs="宋体" w:eastAsia="宋体" w:hint="default"/>
                <w:sz w:val="21"/>
                <w:szCs w:val="21"/>
              </w:rPr>
              <w:t>其中：权益法下</w:t>
            </w:r>
          </w:p>
          <w:p>
            <w:pPr>
              <w:pStyle w:val="TableParagraph"/>
              <w:spacing w:line="237" w:lineRule="auto"/>
              <w:ind w:left="103" w:right="195"/>
              <w:jc w:val="both"/>
              <w:rPr>
                <w:rFonts w:ascii="宋体" w:hAnsi="宋体" w:cs="宋体" w:eastAsia="宋体" w:hint="default"/>
                <w:sz w:val="21"/>
                <w:szCs w:val="21"/>
              </w:rPr>
            </w:pPr>
            <w:r>
              <w:rPr>
                <w:rFonts w:ascii="宋体" w:hAnsi="宋体" w:cs="宋体" w:eastAsia="宋体" w:hint="default"/>
                <w:sz w:val="21"/>
                <w:szCs w:val="21"/>
              </w:rPr>
              <w:t>在被投资单位以</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后将重分类进损</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益的其他综合收</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益中享有的份额</w:t>
            </w:r>
          </w:p>
        </w:tc>
        <w:tc>
          <w:tcPr>
            <w:tcW w:w="1193"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1309"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r>
      <w:tr>
        <w:trPr>
          <w:trHeight w:val="828"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可供出售金融资</w:t>
            </w:r>
          </w:p>
          <w:p>
            <w:pPr>
              <w:pStyle w:val="TableParagraph"/>
              <w:spacing w:line="272" w:lineRule="exact" w:before="27"/>
              <w:ind w:left="103" w:right="195"/>
              <w:jc w:val="left"/>
              <w:rPr>
                <w:rFonts w:ascii="宋体" w:hAnsi="宋体" w:cs="宋体" w:eastAsia="宋体" w:hint="default"/>
                <w:sz w:val="21"/>
                <w:szCs w:val="21"/>
              </w:rPr>
            </w:pPr>
            <w:r>
              <w:rPr>
                <w:rFonts w:ascii="宋体" w:hAnsi="宋体" w:cs="宋体" w:eastAsia="宋体" w:hint="default"/>
                <w:sz w:val="21"/>
                <w:szCs w:val="21"/>
              </w:rPr>
              <w:t>产公允价值变动</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损益</w:t>
            </w:r>
          </w:p>
        </w:tc>
        <w:tc>
          <w:tcPr>
            <w:tcW w:w="1193"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8" w:right="0"/>
              <w:jc w:val="center"/>
              <w:rPr>
                <w:rFonts w:ascii="宋体" w:hAnsi="宋体" w:cs="宋体" w:eastAsia="宋体" w:hint="default"/>
                <w:sz w:val="21"/>
                <w:szCs w:val="21"/>
              </w:rPr>
            </w:pPr>
            <w:r>
              <w:rPr>
                <w:rFonts w:ascii="宋体"/>
                <w:sz w:val="21"/>
              </w:rPr>
              <w:t>63,995,297</w:t>
            </w:r>
          </w:p>
        </w:tc>
        <w:tc>
          <w:tcPr>
            <w:tcW w:w="110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0" w:right="0"/>
              <w:jc w:val="center"/>
              <w:rPr>
                <w:rFonts w:ascii="宋体" w:hAnsi="宋体" w:cs="宋体" w:eastAsia="宋体" w:hint="default"/>
                <w:sz w:val="21"/>
                <w:szCs w:val="21"/>
              </w:rPr>
            </w:pPr>
            <w:r>
              <w:rPr>
                <w:rFonts w:ascii="宋体"/>
                <w:sz w:val="21"/>
              </w:rPr>
              <w:t>15,998,824</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47,996,473</w:t>
            </w:r>
          </w:p>
        </w:tc>
        <w:tc>
          <w:tcPr>
            <w:tcW w:w="1018"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47,996,473</w:t>
            </w:r>
          </w:p>
        </w:tc>
      </w:tr>
      <w:tr>
        <w:trPr>
          <w:trHeight w:val="826"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持有至到期投资</w:t>
            </w:r>
          </w:p>
          <w:p>
            <w:pPr>
              <w:pStyle w:val="TableParagraph"/>
              <w:spacing w:line="240" w:lineRule="auto"/>
              <w:ind w:left="103" w:right="195"/>
              <w:jc w:val="left"/>
              <w:rPr>
                <w:rFonts w:ascii="宋体" w:hAnsi="宋体" w:cs="宋体" w:eastAsia="宋体" w:hint="default"/>
                <w:sz w:val="21"/>
                <w:szCs w:val="21"/>
              </w:rPr>
            </w:pPr>
            <w:r>
              <w:rPr>
                <w:rFonts w:ascii="宋体" w:hAnsi="宋体" w:cs="宋体" w:eastAsia="宋体" w:hint="default"/>
                <w:sz w:val="21"/>
                <w:szCs w:val="21"/>
              </w:rPr>
              <w:t>重分类为可供出</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售金融资产损益</w:t>
            </w:r>
          </w:p>
        </w:tc>
        <w:tc>
          <w:tcPr>
            <w:tcW w:w="1193"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1309"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现金流量套期损</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益的有效部分</w:t>
            </w:r>
          </w:p>
        </w:tc>
        <w:tc>
          <w:tcPr>
            <w:tcW w:w="1193"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1309"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外币财务报表折</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算差额</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2,944,939</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8" w:right="0"/>
              <w:jc w:val="center"/>
              <w:rPr>
                <w:rFonts w:ascii="宋体" w:hAnsi="宋体" w:cs="宋体" w:eastAsia="宋体" w:hint="default"/>
                <w:sz w:val="21"/>
                <w:szCs w:val="21"/>
              </w:rPr>
            </w:pPr>
            <w:r>
              <w:rPr>
                <w:rFonts w:ascii="宋体"/>
                <w:sz w:val="21"/>
              </w:rPr>
              <w:t>-2,971,613</w:t>
            </w:r>
          </w:p>
        </w:tc>
        <w:tc>
          <w:tcPr>
            <w:tcW w:w="110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-2,994,845</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23,232</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-49,906</w:t>
            </w:r>
          </w:p>
        </w:tc>
      </w:tr>
      <w:tr>
        <w:trPr>
          <w:trHeight w:val="281" w:hRule="exact"/>
        </w:trPr>
        <w:tc>
          <w:tcPr>
            <w:tcW w:w="1784" w:type="dxa"/>
            <w:tcBorders>
              <w:top w:val="single" w:sz="4" w:space="0" w:color="000000"/>
              <w:left w:val="single" w:sz="4" w:space="0" w:color="000000"/>
              <w:bottom w:val="single" w:sz="4" w:space="0" w:color="000000"/>
              <w:right w:val="single" w:sz="4" w:space="0" w:color="000000"/>
            </w:tcBorders>
          </w:tcPr>
          <w:p>
            <w:pPr/>
          </w:p>
        </w:tc>
        <w:tc>
          <w:tcPr>
            <w:tcW w:w="1193"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1309"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1784" w:type="dxa"/>
            <w:tcBorders>
              <w:top w:val="single" w:sz="4" w:space="0" w:color="000000"/>
              <w:left w:val="single" w:sz="4" w:space="0" w:color="000000"/>
              <w:bottom w:val="single" w:sz="4" w:space="0" w:color="000000"/>
              <w:right w:val="single" w:sz="4" w:space="0" w:color="000000"/>
            </w:tcBorders>
          </w:tcPr>
          <w:p>
            <w:pPr/>
          </w:p>
        </w:tc>
        <w:tc>
          <w:tcPr>
            <w:tcW w:w="1193"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1309"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其他综合收益合</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计</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2,944,939</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8" w:right="0"/>
              <w:jc w:val="center"/>
              <w:rPr>
                <w:rFonts w:ascii="宋体" w:hAnsi="宋体" w:cs="宋体" w:eastAsia="宋体" w:hint="default"/>
                <w:sz w:val="21"/>
                <w:szCs w:val="21"/>
              </w:rPr>
            </w:pPr>
            <w:r>
              <w:rPr>
                <w:rFonts w:ascii="宋体"/>
                <w:sz w:val="21"/>
              </w:rPr>
              <w:t>61,023,684</w:t>
            </w:r>
          </w:p>
        </w:tc>
        <w:tc>
          <w:tcPr>
            <w:tcW w:w="1104"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0" w:right="0"/>
              <w:jc w:val="center"/>
              <w:rPr>
                <w:rFonts w:ascii="宋体" w:hAnsi="宋体" w:cs="宋体" w:eastAsia="宋体" w:hint="default"/>
                <w:sz w:val="21"/>
                <w:szCs w:val="21"/>
              </w:rPr>
            </w:pPr>
            <w:r>
              <w:rPr>
                <w:rFonts w:ascii="宋体"/>
                <w:sz w:val="21"/>
              </w:rPr>
              <w:t>15,998,824</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45,001,628</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23,232</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47,946,567</w:t>
            </w:r>
          </w:p>
        </w:tc>
      </w:tr>
    </w:tbl>
    <w:p>
      <w:pPr>
        <w:spacing w:line="240" w:lineRule="auto" w:before="9"/>
        <w:rPr>
          <w:rFonts w:ascii="宋体" w:hAnsi="宋体" w:cs="宋体" w:eastAsia="宋体" w:hint="default"/>
          <w:sz w:val="24"/>
          <w:szCs w:val="24"/>
        </w:rPr>
      </w:pPr>
    </w:p>
    <w:p>
      <w:pPr>
        <w:pStyle w:val="Heading3"/>
        <w:spacing w:line="240" w:lineRule="auto" w:before="36"/>
        <w:ind w:left="938" w:right="0"/>
        <w:jc w:val="left"/>
        <w:rPr>
          <w:b w:val="0"/>
          <w:bCs w:val="0"/>
        </w:rPr>
      </w:pPr>
      <w:r>
        <w:rPr>
          <w:rFonts w:ascii="宋体" w:hAnsi="宋体" w:cs="宋体" w:eastAsia="宋体" w:hint="default"/>
        </w:rPr>
        <w:t>58</w:t>
      </w:r>
      <w:r>
        <w:rPr/>
        <w:t>、</w:t>
      </w:r>
      <w:r>
        <w:rPr>
          <w:spacing w:val="-25"/>
        </w:rPr>
        <w:t> </w:t>
      </w:r>
      <w:r>
        <w:rPr/>
        <w:t>专项储备</w:t>
      </w:r>
      <w:r>
        <w:rPr>
          <w:b w:val="0"/>
          <w:bCs w:val="0"/>
        </w:rPr>
      </w:r>
    </w:p>
    <w:p>
      <w:pPr>
        <w:pStyle w:val="BodyText"/>
        <w:spacing w:line="240" w:lineRule="auto" w:before="56"/>
        <w:ind w:left="938" w:right="0"/>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57" w:footer="1195" w:top="1320" w:bottom="1380" w:left="860" w:right="480"/>
        </w:sectPr>
      </w:pPr>
    </w:p>
    <w:p>
      <w:pPr>
        <w:pStyle w:val="Heading3"/>
        <w:spacing w:line="240" w:lineRule="auto" w:before="36"/>
        <w:ind w:left="938" w:right="-18"/>
        <w:jc w:val="left"/>
        <w:rPr>
          <w:b w:val="0"/>
          <w:bCs w:val="0"/>
        </w:rPr>
      </w:pPr>
      <w:r>
        <w:rPr>
          <w:rFonts w:ascii="宋体" w:hAnsi="宋体" w:cs="宋体" w:eastAsia="宋体" w:hint="default"/>
        </w:rPr>
        <w:t>59</w:t>
      </w:r>
      <w:r>
        <w:rPr/>
        <w:t>、</w:t>
      </w:r>
      <w:r>
        <w:rPr>
          <w:spacing w:val="-25"/>
        </w:rPr>
        <w:t> </w:t>
      </w:r>
      <w:r>
        <w:rPr/>
        <w:t>盈余公积</w:t>
      </w:r>
      <w:r>
        <w:rPr>
          <w:b w:val="0"/>
          <w:bCs w:val="0"/>
        </w:rPr>
      </w:r>
    </w:p>
    <w:p>
      <w:pPr>
        <w:pStyle w:val="BodyText"/>
        <w:spacing w:line="240" w:lineRule="auto" w:before="56"/>
        <w:ind w:left="938"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left="938" w:right="0"/>
        <w:jc w:val="left"/>
      </w:pPr>
      <w:r>
        <w:rPr/>
        <w:t>单位：元币种：人民币</w:t>
      </w:r>
    </w:p>
    <w:p>
      <w:pPr>
        <w:spacing w:after="0" w:line="240" w:lineRule="auto"/>
        <w:jc w:val="left"/>
        <w:sectPr>
          <w:type w:val="continuous"/>
          <w:pgSz w:w="11910" w:h="16840"/>
          <w:pgMar w:top="1320" w:bottom="1380" w:left="860" w:right="480"/>
          <w:cols w:num="2" w:equalWidth="0">
            <w:col w:w="2515" w:space="4218"/>
            <w:col w:w="3837"/>
          </w:cols>
        </w:sectPr>
      </w:pPr>
    </w:p>
    <w:p>
      <w:pPr>
        <w:spacing w:line="240" w:lineRule="auto" w:before="4"/>
        <w:rPr>
          <w:rFonts w:ascii="宋体" w:hAnsi="宋体" w:cs="宋体" w:eastAsia="宋体" w:hint="default"/>
          <w:sz w:val="2"/>
          <w:szCs w:val="2"/>
        </w:rPr>
      </w:pPr>
    </w:p>
    <w:tbl>
      <w:tblPr>
        <w:tblW w:w="0" w:type="auto"/>
        <w:jc w:val="left"/>
        <w:tblInd w:w="902" w:type="dxa"/>
        <w:tblLayout w:type="fixed"/>
        <w:tblCellMar>
          <w:top w:w="0" w:type="dxa"/>
          <w:left w:w="0" w:type="dxa"/>
          <w:bottom w:w="0" w:type="dxa"/>
          <w:right w:w="0" w:type="dxa"/>
        </w:tblCellMar>
        <w:tblLook w:val="01E0"/>
      </w:tblPr>
      <w:tblGrid>
        <w:gridCol w:w="1673"/>
        <w:gridCol w:w="1798"/>
        <w:gridCol w:w="1805"/>
        <w:gridCol w:w="1814"/>
        <w:gridCol w:w="1805"/>
      </w:tblGrid>
      <w:tr>
        <w:trPr>
          <w:trHeight w:val="284"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73"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75"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82"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78"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281"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法定盈余公积</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27" w:right="0"/>
              <w:jc w:val="left"/>
              <w:rPr>
                <w:rFonts w:ascii="宋体" w:hAnsi="宋体" w:cs="宋体" w:eastAsia="宋体" w:hint="default"/>
                <w:sz w:val="21"/>
                <w:szCs w:val="21"/>
              </w:rPr>
            </w:pPr>
            <w:r>
              <w:rPr>
                <w:rFonts w:ascii="宋体"/>
                <w:sz w:val="21"/>
              </w:rPr>
              <w:t>480,027,609</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03"/>
              <w:jc w:val="right"/>
              <w:rPr>
                <w:rFonts w:ascii="宋体" w:hAnsi="宋体" w:cs="宋体" w:eastAsia="宋体" w:hint="default"/>
                <w:sz w:val="21"/>
                <w:szCs w:val="21"/>
              </w:rPr>
            </w:pPr>
            <w:r>
              <w:rPr>
                <w:rFonts w:ascii="宋体"/>
                <w:spacing w:val="-1"/>
                <w:sz w:val="21"/>
              </w:rPr>
              <w:t>32,939,263</w:t>
            </w:r>
          </w:p>
        </w:tc>
        <w:tc>
          <w:tcPr>
            <w:tcW w:w="1814"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37" w:right="0"/>
              <w:jc w:val="left"/>
              <w:rPr>
                <w:rFonts w:ascii="宋体" w:hAnsi="宋体" w:cs="宋体" w:eastAsia="宋体" w:hint="default"/>
                <w:sz w:val="21"/>
                <w:szCs w:val="21"/>
              </w:rPr>
            </w:pPr>
            <w:r>
              <w:rPr>
                <w:rFonts w:ascii="宋体"/>
                <w:sz w:val="21"/>
              </w:rPr>
              <w:t>512,966,872</w:t>
            </w:r>
          </w:p>
        </w:tc>
      </w:tr>
      <w:tr>
        <w:trPr>
          <w:trHeight w:val="283"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任意盈余公积</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27" w:right="0"/>
              <w:jc w:val="left"/>
              <w:rPr>
                <w:rFonts w:ascii="宋体" w:hAnsi="宋体" w:cs="宋体" w:eastAsia="宋体" w:hint="default"/>
                <w:sz w:val="21"/>
                <w:szCs w:val="21"/>
              </w:rPr>
            </w:pPr>
            <w:r>
              <w:rPr>
                <w:rFonts w:ascii="宋体"/>
                <w:sz w:val="21"/>
              </w:rPr>
              <w:t>195,711,803</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03"/>
              <w:jc w:val="right"/>
              <w:rPr>
                <w:rFonts w:ascii="宋体" w:hAnsi="宋体" w:cs="宋体" w:eastAsia="宋体" w:hint="default"/>
                <w:sz w:val="21"/>
                <w:szCs w:val="21"/>
              </w:rPr>
            </w:pPr>
            <w:r>
              <w:rPr>
                <w:rFonts w:ascii="宋体"/>
                <w:spacing w:val="-1"/>
                <w:sz w:val="21"/>
              </w:rPr>
              <w:t>16,469,631</w:t>
            </w:r>
          </w:p>
        </w:tc>
        <w:tc>
          <w:tcPr>
            <w:tcW w:w="1814"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37" w:right="0"/>
              <w:jc w:val="left"/>
              <w:rPr>
                <w:rFonts w:ascii="宋体" w:hAnsi="宋体" w:cs="宋体" w:eastAsia="宋体" w:hint="default"/>
                <w:sz w:val="21"/>
                <w:szCs w:val="21"/>
              </w:rPr>
            </w:pPr>
            <w:r>
              <w:rPr>
                <w:rFonts w:ascii="宋体"/>
                <w:sz w:val="21"/>
              </w:rPr>
              <w:t>212,181,434</w:t>
            </w:r>
          </w:p>
        </w:tc>
      </w:tr>
    </w:tbl>
    <w:p>
      <w:pPr>
        <w:spacing w:after="0" w:line="241" w:lineRule="exact"/>
        <w:jc w:val="left"/>
        <w:rPr>
          <w:rFonts w:ascii="宋体" w:hAnsi="宋体" w:cs="宋体" w:eastAsia="宋体" w:hint="default"/>
          <w:sz w:val="21"/>
          <w:szCs w:val="21"/>
        </w:rPr>
        <w:sectPr>
          <w:type w:val="continuous"/>
          <w:pgSz w:w="11910" w:h="16840"/>
          <w:pgMar w:top="1320" w:bottom="1380" w:left="860" w:right="480"/>
        </w:sectPr>
      </w:pPr>
    </w:p>
    <w:p>
      <w:pPr>
        <w:spacing w:line="240" w:lineRule="auto" w:before="6"/>
        <w:rPr>
          <w:rFonts w:ascii="宋体" w:hAnsi="宋体" w:cs="宋体" w:eastAsia="宋体" w:hint="default"/>
          <w:sz w:val="14"/>
          <w:szCs w:val="14"/>
        </w:rPr>
      </w:pPr>
    </w:p>
    <w:tbl>
      <w:tblPr>
        <w:tblW w:w="0" w:type="auto"/>
        <w:jc w:val="left"/>
        <w:tblInd w:w="102" w:type="dxa"/>
        <w:tblLayout w:type="fixed"/>
        <w:tblCellMar>
          <w:top w:w="0" w:type="dxa"/>
          <w:left w:w="0" w:type="dxa"/>
          <w:bottom w:w="0" w:type="dxa"/>
          <w:right w:w="0" w:type="dxa"/>
        </w:tblCellMar>
        <w:tblLook w:val="01E0"/>
      </w:tblPr>
      <w:tblGrid>
        <w:gridCol w:w="1673"/>
        <w:gridCol w:w="1798"/>
        <w:gridCol w:w="1805"/>
        <w:gridCol w:w="1814"/>
        <w:gridCol w:w="1805"/>
      </w:tblGrid>
      <w:tr>
        <w:trPr>
          <w:trHeight w:val="284"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26" w:right="0"/>
              <w:jc w:val="left"/>
              <w:rPr>
                <w:rFonts w:ascii="宋体" w:hAnsi="宋体" w:cs="宋体" w:eastAsia="宋体" w:hint="default"/>
                <w:sz w:val="21"/>
                <w:szCs w:val="21"/>
              </w:rPr>
            </w:pPr>
            <w:r>
              <w:rPr>
                <w:rFonts w:ascii="宋体" w:hAnsi="宋体" w:cs="宋体" w:eastAsia="宋体" w:hint="default"/>
                <w:sz w:val="21"/>
                <w:szCs w:val="21"/>
              </w:rPr>
              <w:t>储备基金</w:t>
            </w:r>
          </w:p>
        </w:tc>
        <w:tc>
          <w:tcPr>
            <w:tcW w:w="1798"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814"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企业发展基金</w:t>
            </w:r>
          </w:p>
        </w:tc>
        <w:tc>
          <w:tcPr>
            <w:tcW w:w="1798"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814"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798"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814"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27" w:right="0"/>
              <w:jc w:val="left"/>
              <w:rPr>
                <w:rFonts w:ascii="宋体" w:hAnsi="宋体" w:cs="宋体" w:eastAsia="宋体" w:hint="default"/>
                <w:sz w:val="21"/>
                <w:szCs w:val="21"/>
              </w:rPr>
            </w:pPr>
            <w:r>
              <w:rPr>
                <w:rFonts w:ascii="宋体"/>
                <w:sz w:val="21"/>
              </w:rPr>
              <w:t>675,739,412</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37" w:right="0"/>
              <w:jc w:val="left"/>
              <w:rPr>
                <w:rFonts w:ascii="宋体" w:hAnsi="宋体" w:cs="宋体" w:eastAsia="宋体" w:hint="default"/>
                <w:sz w:val="21"/>
                <w:szCs w:val="21"/>
              </w:rPr>
            </w:pPr>
            <w:r>
              <w:rPr>
                <w:rFonts w:ascii="宋体"/>
                <w:sz w:val="21"/>
              </w:rPr>
              <w:t>49,408,894</w:t>
            </w:r>
          </w:p>
        </w:tc>
        <w:tc>
          <w:tcPr>
            <w:tcW w:w="1814"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37" w:right="0"/>
              <w:jc w:val="left"/>
              <w:rPr>
                <w:rFonts w:ascii="宋体" w:hAnsi="宋体" w:cs="宋体" w:eastAsia="宋体" w:hint="default"/>
                <w:sz w:val="21"/>
                <w:szCs w:val="21"/>
              </w:rPr>
            </w:pPr>
            <w:r>
              <w:rPr>
                <w:rFonts w:ascii="宋体"/>
                <w:sz w:val="21"/>
              </w:rPr>
              <w:t>725,148,306</w:t>
            </w:r>
          </w:p>
        </w:tc>
      </w:tr>
    </w:tbl>
    <w:p>
      <w:pPr>
        <w:spacing w:line="240" w:lineRule="auto" w:before="2"/>
        <w:rPr>
          <w:rFonts w:ascii="宋体" w:hAnsi="宋体" w:cs="宋体" w:eastAsia="宋体" w:hint="default"/>
          <w:sz w:val="20"/>
          <w:szCs w:val="20"/>
        </w:rPr>
      </w:pPr>
    </w:p>
    <w:p>
      <w:pPr>
        <w:pStyle w:val="BodyText"/>
        <w:spacing w:line="240" w:lineRule="auto" w:before="36"/>
        <w:ind w:left="138" w:right="0"/>
        <w:jc w:val="both"/>
      </w:pPr>
      <w:r>
        <w:rPr/>
        <w:t>盈余公积说明，包括本期增减变动情况、变动原因说明：</w:t>
      </w:r>
    </w:p>
    <w:p>
      <w:pPr>
        <w:pStyle w:val="BodyText"/>
        <w:spacing w:line="240" w:lineRule="auto" w:before="56"/>
        <w:ind w:left="138" w:right="228"/>
        <w:jc w:val="both"/>
      </w:pPr>
      <w:r>
        <w:rPr>
          <w:spacing w:val="-4"/>
        </w:rPr>
        <w:t>根据公司法、本公司章程的规定，本公司按净利润的</w:t>
      </w:r>
      <w:r>
        <w:rPr>
          <w:rFonts w:ascii="宋体" w:hAnsi="宋体" w:cs="宋体" w:eastAsia="宋体" w:hint="default"/>
          <w:spacing w:val="-4"/>
        </w:rPr>
        <w:t>10%</w:t>
      </w:r>
      <w:r>
        <w:rPr>
          <w:spacing w:val="-4"/>
        </w:rPr>
        <w:t>提取法定盈余公积金。法定盈余公积累计</w:t>
      </w:r>
      <w:r>
        <w:rPr>
          <w:spacing w:val="-31"/>
        </w:rPr>
        <w:t> </w:t>
      </w:r>
      <w:r>
        <w:rPr>
          <w:spacing w:val="-31"/>
        </w:rPr>
      </w:r>
      <w:r>
        <w:rPr/>
        <w:t>额为本公司注册资本</w:t>
      </w:r>
      <w:r>
        <w:rPr>
          <w:rFonts w:ascii="宋体" w:hAnsi="宋体" w:cs="宋体" w:eastAsia="宋体" w:hint="default"/>
        </w:rPr>
        <w:t>50%</w:t>
      </w:r>
      <w:r>
        <w:rPr/>
        <w:t>以上的，可不再提取。</w:t>
      </w:r>
    </w:p>
    <w:p>
      <w:pPr>
        <w:spacing w:line="240" w:lineRule="auto" w:before="11"/>
        <w:rPr>
          <w:rFonts w:ascii="宋体" w:hAnsi="宋体" w:cs="宋体" w:eastAsia="宋体" w:hint="default"/>
          <w:sz w:val="20"/>
          <w:szCs w:val="20"/>
        </w:rPr>
      </w:pPr>
    </w:p>
    <w:p>
      <w:pPr>
        <w:pStyle w:val="BodyText"/>
        <w:spacing w:line="237" w:lineRule="auto"/>
        <w:ind w:left="138" w:right="230"/>
        <w:jc w:val="both"/>
      </w:pPr>
      <w:r>
        <w:rPr>
          <w:spacing w:val="-2"/>
        </w:rPr>
        <w:t>本公司在提取法定盈余公积后，可提取任意盈余公积。任意盈余公积的提取由董事会提议，并经</w:t>
      </w:r>
      <w:r>
        <w:rPr>
          <w:spacing w:val="-25"/>
        </w:rPr>
        <w:t> </w:t>
      </w:r>
      <w:r>
        <w:rPr>
          <w:spacing w:val="-25"/>
        </w:rPr>
      </w:r>
      <w:r>
        <w:rPr>
          <w:spacing w:val="-4"/>
        </w:rPr>
        <w:t>股东大会批准。经批准，任意盈余公积可用于弥补以前年度亏损或增加股本。经</w:t>
      </w:r>
      <w:r>
        <w:rPr>
          <w:rFonts w:ascii="宋体" w:hAnsi="宋体" w:cs="宋体" w:eastAsia="宋体" w:hint="default"/>
          <w:spacing w:val="-4"/>
        </w:rPr>
        <w:t>2018</w:t>
      </w:r>
      <w:r>
        <w:rPr>
          <w:spacing w:val="-4"/>
        </w:rPr>
        <w:t>年</w:t>
      </w:r>
      <w:r>
        <w:rPr>
          <w:rFonts w:ascii="宋体" w:hAnsi="宋体" w:cs="宋体" w:eastAsia="宋体" w:hint="default"/>
          <w:spacing w:val="-4"/>
        </w:rPr>
        <w:t>3</w:t>
      </w:r>
      <w:r>
        <w:rPr>
          <w:spacing w:val="-4"/>
        </w:rPr>
        <w:t>月</w:t>
      </w:r>
      <w:r>
        <w:rPr>
          <w:rFonts w:ascii="宋体" w:hAnsi="宋体" w:cs="宋体" w:eastAsia="宋体" w:hint="default"/>
          <w:spacing w:val="-4"/>
        </w:rPr>
        <w:t>23</w:t>
      </w:r>
      <w:r>
        <w:rPr>
          <w:spacing w:val="-4"/>
        </w:rPr>
        <w:t>日董</w:t>
      </w:r>
      <w:r>
        <w:rPr>
          <w:spacing w:val="-25"/>
        </w:rPr>
        <w:t> </w:t>
      </w:r>
      <w:r>
        <w:rPr/>
        <w:t>事会提议，本公司按</w:t>
      </w:r>
      <w:r>
        <w:rPr>
          <w:rFonts w:ascii="宋体" w:hAnsi="宋体" w:cs="宋体" w:eastAsia="宋体" w:hint="default"/>
        </w:rPr>
        <w:t>2017</w:t>
      </w:r>
      <w:r>
        <w:rPr/>
        <w:t>年净利润</w:t>
      </w:r>
      <w:r>
        <w:rPr>
          <w:rFonts w:ascii="宋体" w:hAnsi="宋体" w:cs="宋体" w:eastAsia="宋体" w:hint="default"/>
        </w:rPr>
        <w:t>5%</w:t>
      </w:r>
      <w:r>
        <w:rPr/>
        <w:t>计提任意盈余公积。</w:t>
      </w:r>
    </w:p>
    <w:p>
      <w:pPr>
        <w:pStyle w:val="Heading3"/>
        <w:spacing w:line="240" w:lineRule="auto" w:before="59"/>
        <w:ind w:left="138" w:right="0"/>
        <w:jc w:val="both"/>
        <w:rPr>
          <w:b w:val="0"/>
          <w:bCs w:val="0"/>
        </w:rPr>
      </w:pPr>
      <w:r>
        <w:rPr>
          <w:rFonts w:ascii="宋体" w:hAnsi="宋体" w:cs="宋体" w:eastAsia="宋体" w:hint="default"/>
        </w:rPr>
        <w:t>60</w:t>
      </w:r>
      <w:r>
        <w:rPr/>
        <w:t>、</w:t>
      </w:r>
      <w:r>
        <w:rPr>
          <w:spacing w:val="-25"/>
        </w:rPr>
        <w:t> </w:t>
      </w:r>
      <w:r>
        <w:rPr/>
        <w:t>未分配利润</w:t>
      </w:r>
      <w:r>
        <w:rPr>
          <w:b w:val="0"/>
          <w:bCs w:val="0"/>
        </w:rPr>
      </w:r>
    </w:p>
    <w:p>
      <w:pPr>
        <w:pStyle w:val="BodyText"/>
        <w:spacing w:line="240" w:lineRule="auto" w:before="56"/>
        <w:ind w:left="138" w:right="0"/>
        <w:jc w:val="both"/>
      </w:pPr>
      <w:r>
        <w:rPr/>
        <w:t>√适用</w:t>
      </w:r>
      <w:r>
        <w:rPr>
          <w:spacing w:val="-1"/>
        </w:rPr>
        <w:t> </w:t>
      </w:r>
      <w:r>
        <w:rPr/>
        <w:t>□不适用</w:t>
      </w:r>
    </w:p>
    <w:p>
      <w:pPr>
        <w:pStyle w:val="BodyText"/>
        <w:spacing w:line="274" w:lineRule="exact"/>
        <w:ind w:left="0" w:right="230"/>
        <w:jc w:val="right"/>
      </w:pPr>
      <w:r>
        <w:rPr>
          <w:spacing w:val="-2"/>
        </w:rPr>
        <w:t>单位：元币种：人民币</w:t>
      </w:r>
    </w:p>
    <w:p>
      <w:pPr>
        <w:spacing w:line="240" w:lineRule="auto" w:before="4"/>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3430"/>
        <w:gridCol w:w="2777"/>
        <w:gridCol w:w="2689"/>
      </w:tblGrid>
      <w:tr>
        <w:trPr>
          <w:trHeight w:val="283" w:hRule="exact"/>
        </w:trPr>
        <w:tc>
          <w:tcPr>
            <w:tcW w:w="343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hAnsi="宋体" w:cs="宋体" w:eastAsia="宋体" w:hint="default"/>
                <w:sz w:val="21"/>
                <w:szCs w:val="21"/>
              </w:rPr>
              <w:t>本期</w:t>
            </w:r>
          </w:p>
        </w:tc>
        <w:tc>
          <w:tcPr>
            <w:tcW w:w="26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上期</w:t>
            </w:r>
          </w:p>
        </w:tc>
      </w:tr>
      <w:tr>
        <w:trPr>
          <w:trHeight w:val="283" w:hRule="exact"/>
        </w:trPr>
        <w:tc>
          <w:tcPr>
            <w:tcW w:w="34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调整前上期末未分配利润</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right"/>
              <w:rPr>
                <w:rFonts w:ascii="宋体" w:hAnsi="宋体" w:cs="宋体" w:eastAsia="宋体" w:hint="default"/>
                <w:sz w:val="21"/>
                <w:szCs w:val="21"/>
              </w:rPr>
            </w:pPr>
            <w:r>
              <w:rPr>
                <w:rFonts w:ascii="宋体"/>
                <w:spacing w:val="-1"/>
                <w:sz w:val="21"/>
              </w:rPr>
              <w:t>1,345,710,249</w:t>
            </w:r>
          </w:p>
        </w:tc>
        <w:tc>
          <w:tcPr>
            <w:tcW w:w="26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1,407,652,479</w:t>
            </w:r>
          </w:p>
        </w:tc>
      </w:tr>
      <w:tr>
        <w:trPr>
          <w:trHeight w:val="554" w:hRule="exact"/>
        </w:trPr>
        <w:tc>
          <w:tcPr>
            <w:tcW w:w="343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调整期初未分配利润合计数（调增</w:t>
            </w:r>
            <w:r>
              <w:rPr>
                <w:rFonts w:ascii="宋体" w:hAnsi="宋体" w:cs="宋体" w:eastAsia="宋体" w:hint="default"/>
                <w:sz w:val="21"/>
                <w:szCs w:val="21"/>
              </w:rPr>
              <w:t>+</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调减－）</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47"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2689"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4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调整后期初未分配利润</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right"/>
              <w:rPr>
                <w:rFonts w:ascii="宋体" w:hAnsi="宋体" w:cs="宋体" w:eastAsia="宋体" w:hint="default"/>
                <w:sz w:val="21"/>
                <w:szCs w:val="21"/>
              </w:rPr>
            </w:pPr>
            <w:r>
              <w:rPr>
                <w:rFonts w:ascii="宋体"/>
                <w:spacing w:val="-1"/>
                <w:sz w:val="21"/>
              </w:rPr>
              <w:t>1,345,710,249</w:t>
            </w:r>
          </w:p>
        </w:tc>
        <w:tc>
          <w:tcPr>
            <w:tcW w:w="26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right"/>
              <w:rPr>
                <w:rFonts w:ascii="宋体" w:hAnsi="宋体" w:cs="宋体" w:eastAsia="宋体" w:hint="default"/>
                <w:sz w:val="21"/>
                <w:szCs w:val="21"/>
              </w:rPr>
            </w:pPr>
            <w:r>
              <w:rPr>
                <w:rFonts w:ascii="宋体"/>
                <w:spacing w:val="-1"/>
                <w:sz w:val="21"/>
              </w:rPr>
              <w:t>1,407,652,479</w:t>
            </w:r>
          </w:p>
        </w:tc>
      </w:tr>
      <w:tr>
        <w:trPr>
          <w:trHeight w:val="557" w:hRule="exact"/>
        </w:trPr>
        <w:tc>
          <w:tcPr>
            <w:tcW w:w="34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加：本期归属于母公司所有者的净利</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w w:val="100"/>
                <w:sz w:val="21"/>
                <w:szCs w:val="21"/>
              </w:rPr>
              <w:t>润</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9"/>
              <w:jc w:val="right"/>
              <w:rPr>
                <w:rFonts w:ascii="宋体" w:hAnsi="宋体" w:cs="宋体" w:eastAsia="宋体" w:hint="default"/>
                <w:sz w:val="21"/>
                <w:szCs w:val="21"/>
              </w:rPr>
            </w:pPr>
            <w:r>
              <w:rPr>
                <w:rFonts w:ascii="宋体"/>
                <w:spacing w:val="-1"/>
                <w:sz w:val="21"/>
              </w:rPr>
              <w:t>389,080,894</w:t>
            </w:r>
          </w:p>
        </w:tc>
        <w:tc>
          <w:tcPr>
            <w:tcW w:w="26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9"/>
              <w:jc w:val="right"/>
              <w:rPr>
                <w:rFonts w:ascii="宋体" w:hAnsi="宋体" w:cs="宋体" w:eastAsia="宋体" w:hint="default"/>
                <w:sz w:val="21"/>
                <w:szCs w:val="21"/>
              </w:rPr>
            </w:pPr>
            <w:r>
              <w:rPr>
                <w:rFonts w:ascii="宋体"/>
                <w:spacing w:val="-1"/>
                <w:sz w:val="21"/>
              </w:rPr>
              <w:t>197,391,725</w:t>
            </w:r>
          </w:p>
        </w:tc>
      </w:tr>
      <w:tr>
        <w:trPr>
          <w:trHeight w:val="281" w:hRule="exact"/>
        </w:trPr>
        <w:tc>
          <w:tcPr>
            <w:tcW w:w="34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spacing w:val="-1"/>
                <w:sz w:val="21"/>
              </w:rPr>
              <w:t>32,939,263</w:t>
            </w:r>
          </w:p>
        </w:tc>
        <w:tc>
          <w:tcPr>
            <w:tcW w:w="26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right"/>
              <w:rPr>
                <w:rFonts w:ascii="宋体" w:hAnsi="宋体" w:cs="宋体" w:eastAsia="宋体" w:hint="default"/>
                <w:sz w:val="21"/>
                <w:szCs w:val="21"/>
              </w:rPr>
            </w:pPr>
            <w:r>
              <w:rPr>
                <w:rFonts w:ascii="宋体"/>
                <w:spacing w:val="-1"/>
                <w:sz w:val="21"/>
              </w:rPr>
              <w:t>26,910,876</w:t>
            </w:r>
          </w:p>
        </w:tc>
      </w:tr>
      <w:tr>
        <w:trPr>
          <w:trHeight w:val="283" w:hRule="exact"/>
        </w:trPr>
        <w:tc>
          <w:tcPr>
            <w:tcW w:w="34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46" w:right="0"/>
              <w:jc w:val="left"/>
              <w:rPr>
                <w:rFonts w:ascii="宋体" w:hAnsi="宋体" w:cs="宋体" w:eastAsia="宋体" w:hint="default"/>
                <w:sz w:val="21"/>
                <w:szCs w:val="21"/>
              </w:rPr>
            </w:pPr>
            <w:r>
              <w:rPr>
                <w:rFonts w:ascii="宋体" w:hAnsi="宋体" w:cs="宋体" w:eastAsia="宋体" w:hint="default"/>
                <w:sz w:val="21"/>
                <w:szCs w:val="21"/>
              </w:rPr>
              <w:t>提取任意盈余公积</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spacing w:val="-1"/>
                <w:sz w:val="21"/>
              </w:rPr>
              <w:t>16,469,631</w:t>
            </w:r>
          </w:p>
        </w:tc>
        <w:tc>
          <w:tcPr>
            <w:tcW w:w="26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right"/>
              <w:rPr>
                <w:rFonts w:ascii="宋体" w:hAnsi="宋体" w:cs="宋体" w:eastAsia="宋体" w:hint="default"/>
                <w:sz w:val="21"/>
                <w:szCs w:val="21"/>
              </w:rPr>
            </w:pPr>
            <w:r>
              <w:rPr>
                <w:rFonts w:ascii="宋体"/>
                <w:spacing w:val="-1"/>
                <w:sz w:val="21"/>
              </w:rPr>
              <w:t>13,455,438</w:t>
            </w:r>
          </w:p>
        </w:tc>
      </w:tr>
      <w:tr>
        <w:trPr>
          <w:trHeight w:val="281" w:hRule="exact"/>
        </w:trPr>
        <w:tc>
          <w:tcPr>
            <w:tcW w:w="34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46" w:right="0"/>
              <w:jc w:val="left"/>
              <w:rPr>
                <w:rFonts w:ascii="宋体" w:hAnsi="宋体" w:cs="宋体" w:eastAsia="宋体" w:hint="default"/>
                <w:sz w:val="21"/>
                <w:szCs w:val="21"/>
              </w:rPr>
            </w:pPr>
            <w:r>
              <w:rPr>
                <w:rFonts w:ascii="宋体" w:hAnsi="宋体" w:cs="宋体" w:eastAsia="宋体" w:hint="default"/>
                <w:sz w:val="21"/>
                <w:szCs w:val="21"/>
              </w:rPr>
              <w:t>提取一般风险准备</w:t>
            </w:r>
          </w:p>
        </w:tc>
        <w:tc>
          <w:tcPr>
            <w:tcW w:w="2777" w:type="dxa"/>
            <w:tcBorders>
              <w:top w:val="single" w:sz="4" w:space="0" w:color="000000"/>
              <w:left w:val="single" w:sz="4" w:space="0" w:color="000000"/>
              <w:bottom w:val="single" w:sz="4" w:space="0" w:color="000000"/>
              <w:right w:val="single" w:sz="4" w:space="0" w:color="000000"/>
            </w:tcBorders>
          </w:tcPr>
          <w:p>
            <w:pPr/>
          </w:p>
        </w:tc>
        <w:tc>
          <w:tcPr>
            <w:tcW w:w="2689"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43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46" w:right="0"/>
              <w:jc w:val="left"/>
              <w:rPr>
                <w:rFonts w:ascii="宋体" w:hAnsi="宋体" w:cs="宋体" w:eastAsia="宋体" w:hint="default"/>
                <w:sz w:val="21"/>
                <w:szCs w:val="21"/>
              </w:rPr>
            </w:pPr>
            <w:r>
              <w:rPr>
                <w:rFonts w:ascii="宋体" w:hAnsi="宋体" w:cs="宋体" w:eastAsia="宋体" w:hint="default"/>
                <w:sz w:val="21"/>
                <w:szCs w:val="21"/>
              </w:rPr>
              <w:t>应付普通股股利</w:t>
            </w:r>
          </w:p>
        </w:tc>
        <w:tc>
          <w:tcPr>
            <w:tcW w:w="2777" w:type="dxa"/>
            <w:tcBorders>
              <w:top w:val="single" w:sz="4" w:space="0" w:color="000000"/>
              <w:left w:val="single" w:sz="4" w:space="0" w:color="000000"/>
              <w:bottom w:val="single" w:sz="4" w:space="0" w:color="000000"/>
              <w:right w:val="single" w:sz="4" w:space="0" w:color="000000"/>
            </w:tcBorders>
          </w:tcPr>
          <w:p>
            <w:pPr/>
          </w:p>
        </w:tc>
        <w:tc>
          <w:tcPr>
            <w:tcW w:w="2689"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4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46" w:right="0"/>
              <w:jc w:val="left"/>
              <w:rPr>
                <w:rFonts w:ascii="宋体" w:hAnsi="宋体" w:cs="宋体" w:eastAsia="宋体" w:hint="default"/>
                <w:sz w:val="21"/>
                <w:szCs w:val="21"/>
              </w:rPr>
            </w:pPr>
            <w:r>
              <w:rPr>
                <w:rFonts w:ascii="宋体" w:hAnsi="宋体" w:cs="宋体" w:eastAsia="宋体" w:hint="default"/>
                <w:sz w:val="21"/>
                <w:szCs w:val="21"/>
              </w:rPr>
              <w:t>转作股本的普通股股利</w:t>
            </w:r>
          </w:p>
        </w:tc>
        <w:tc>
          <w:tcPr>
            <w:tcW w:w="2777" w:type="dxa"/>
            <w:tcBorders>
              <w:top w:val="single" w:sz="4" w:space="0" w:color="000000"/>
              <w:left w:val="single" w:sz="4" w:space="0" w:color="000000"/>
              <w:bottom w:val="single" w:sz="4" w:space="0" w:color="000000"/>
              <w:right w:val="single" w:sz="4" w:space="0" w:color="000000"/>
            </w:tcBorders>
          </w:tcPr>
          <w:p>
            <w:pPr/>
          </w:p>
        </w:tc>
        <w:tc>
          <w:tcPr>
            <w:tcW w:w="2689"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4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46" w:right="0"/>
              <w:jc w:val="left"/>
              <w:rPr>
                <w:rFonts w:ascii="宋体" w:hAnsi="宋体" w:cs="宋体" w:eastAsia="宋体" w:hint="default"/>
                <w:sz w:val="21"/>
                <w:szCs w:val="21"/>
              </w:rPr>
            </w:pPr>
            <w:r>
              <w:rPr>
                <w:rFonts w:ascii="宋体" w:hAnsi="宋体" w:cs="宋体" w:eastAsia="宋体" w:hint="default"/>
                <w:sz w:val="21"/>
                <w:szCs w:val="21"/>
              </w:rPr>
              <w:t>已派发之现金股利（注</w:t>
            </w:r>
            <w:r>
              <w:rPr>
                <w:rFonts w:ascii="宋体" w:hAnsi="宋体" w:cs="宋体" w:eastAsia="宋体" w:hint="default"/>
                <w:sz w:val="21"/>
                <w:szCs w:val="21"/>
              </w:rPr>
              <w:t>1</w:t>
            </w:r>
            <w:r>
              <w:rPr>
                <w:rFonts w:ascii="宋体" w:hAnsi="宋体" w:cs="宋体" w:eastAsia="宋体" w:hint="default"/>
                <w:sz w:val="21"/>
                <w:szCs w:val="21"/>
              </w:rPr>
              <w:t>）</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right"/>
              <w:rPr>
                <w:rFonts w:ascii="宋体" w:hAnsi="宋体" w:cs="宋体" w:eastAsia="宋体" w:hint="default"/>
                <w:sz w:val="21"/>
                <w:szCs w:val="21"/>
              </w:rPr>
            </w:pPr>
            <w:r>
              <w:rPr>
                <w:rFonts w:ascii="宋体"/>
                <w:spacing w:val="-1"/>
                <w:sz w:val="21"/>
              </w:rPr>
              <w:t>190,348,315</w:t>
            </w:r>
          </w:p>
        </w:tc>
        <w:tc>
          <w:tcPr>
            <w:tcW w:w="26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right"/>
              <w:rPr>
                <w:rFonts w:ascii="宋体" w:hAnsi="宋体" w:cs="宋体" w:eastAsia="宋体" w:hint="default"/>
                <w:sz w:val="21"/>
                <w:szCs w:val="21"/>
              </w:rPr>
            </w:pPr>
            <w:r>
              <w:rPr>
                <w:rFonts w:ascii="宋体"/>
                <w:spacing w:val="-1"/>
                <w:sz w:val="21"/>
              </w:rPr>
              <w:t>218,967,641</w:t>
            </w:r>
          </w:p>
        </w:tc>
      </w:tr>
      <w:tr>
        <w:trPr>
          <w:trHeight w:val="283" w:hRule="exact"/>
        </w:trPr>
        <w:tc>
          <w:tcPr>
            <w:tcW w:w="3430" w:type="dxa"/>
            <w:tcBorders>
              <w:top w:val="single" w:sz="4" w:space="0" w:color="000000"/>
              <w:left w:val="single" w:sz="4" w:space="0" w:color="000000"/>
              <w:bottom w:val="single" w:sz="4" w:space="0" w:color="000000"/>
              <w:right w:val="single" w:sz="4" w:space="0" w:color="000000"/>
            </w:tcBorders>
          </w:tcPr>
          <w:p>
            <w:pPr/>
          </w:p>
        </w:tc>
        <w:tc>
          <w:tcPr>
            <w:tcW w:w="2777" w:type="dxa"/>
            <w:tcBorders>
              <w:top w:val="single" w:sz="4" w:space="0" w:color="000000"/>
              <w:left w:val="single" w:sz="4" w:space="0" w:color="000000"/>
              <w:bottom w:val="single" w:sz="4" w:space="0" w:color="000000"/>
              <w:right w:val="single" w:sz="4" w:space="0" w:color="000000"/>
            </w:tcBorders>
          </w:tcPr>
          <w:p>
            <w:pPr/>
          </w:p>
        </w:tc>
        <w:tc>
          <w:tcPr>
            <w:tcW w:w="2689"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4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期末未分配利润</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1,495,033,934</w:t>
            </w:r>
          </w:p>
        </w:tc>
        <w:tc>
          <w:tcPr>
            <w:tcW w:w="26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right"/>
              <w:rPr>
                <w:rFonts w:ascii="宋体" w:hAnsi="宋体" w:cs="宋体" w:eastAsia="宋体" w:hint="default"/>
                <w:sz w:val="21"/>
                <w:szCs w:val="21"/>
              </w:rPr>
            </w:pPr>
            <w:r>
              <w:rPr>
                <w:rFonts w:ascii="宋体"/>
                <w:spacing w:val="-1"/>
                <w:sz w:val="21"/>
              </w:rPr>
              <w:t>1,345,710,249</w:t>
            </w:r>
          </w:p>
        </w:tc>
      </w:tr>
    </w:tbl>
    <w:p>
      <w:pPr>
        <w:spacing w:line="240" w:lineRule="auto" w:before="12"/>
        <w:rPr>
          <w:rFonts w:ascii="宋体" w:hAnsi="宋体" w:cs="宋体" w:eastAsia="宋体" w:hint="default"/>
          <w:sz w:val="19"/>
          <w:szCs w:val="19"/>
        </w:rPr>
      </w:pPr>
    </w:p>
    <w:p>
      <w:pPr>
        <w:pStyle w:val="BodyText"/>
        <w:spacing w:line="290" w:lineRule="auto" w:before="36"/>
        <w:ind w:left="138" w:right="1183"/>
        <w:jc w:val="left"/>
      </w:pPr>
      <w:r>
        <w:rPr/>
        <w:t>调整期初未分配利润明细：</w:t>
      </w:r>
      <w:r>
        <w:rPr>
          <w:w w:val="100"/>
        </w:rPr>
        <w:t> </w:t>
      </w:r>
      <w:r>
        <w:rPr>
          <w:rFonts w:ascii="宋体" w:hAnsi="宋体" w:cs="宋体" w:eastAsia="宋体" w:hint="default"/>
        </w:rPr>
        <w:t>1</w:t>
      </w:r>
      <w:r>
        <w:rPr/>
        <w:t>、由于《企业会计准则》及其相关新规定进行追溯调整，影响期初未分配利润</w:t>
      </w:r>
      <w:r>
        <w:rPr>
          <w:spacing w:val="-54"/>
        </w:rPr>
        <w:t> </w:t>
      </w:r>
      <w:r>
        <w:rPr>
          <w:rFonts w:ascii="宋体" w:hAnsi="宋体" w:cs="宋体" w:eastAsia="宋体" w:hint="default"/>
        </w:rPr>
        <w:t>0</w:t>
      </w:r>
      <w:r>
        <w:rPr>
          <w:rFonts w:ascii="宋体" w:hAnsi="宋体" w:cs="宋体" w:eastAsia="宋体" w:hint="default"/>
          <w:spacing w:val="-55"/>
        </w:rPr>
        <w:t> </w:t>
      </w:r>
      <w:r>
        <w:rPr>
          <w:spacing w:val="-3"/>
        </w:rPr>
        <w:t>元。</w:t>
      </w:r>
      <w:r>
        <w:rPr/>
      </w:r>
    </w:p>
    <w:p>
      <w:pPr>
        <w:pStyle w:val="BodyText"/>
        <w:spacing w:line="227" w:lineRule="exact"/>
        <w:ind w:left="138" w:right="147"/>
        <w:jc w:val="left"/>
      </w:pPr>
      <w:r>
        <w:rPr>
          <w:rFonts w:ascii="宋体" w:hAnsi="宋体" w:cs="宋体" w:eastAsia="宋体" w:hint="default"/>
        </w:rPr>
        <w:t>2</w:t>
      </w:r>
      <w:r>
        <w:rPr/>
        <w:t>、由于会计政策变更，影响期初未分配利润</w:t>
      </w:r>
      <w:r>
        <w:rPr>
          <w:spacing w:val="-54"/>
        </w:rPr>
        <w:t> </w:t>
      </w:r>
      <w:r>
        <w:rPr>
          <w:rFonts w:ascii="宋体" w:hAnsi="宋体" w:cs="宋体" w:eastAsia="宋体" w:hint="default"/>
        </w:rPr>
        <w:t>0</w:t>
      </w:r>
      <w:r>
        <w:rPr>
          <w:rFonts w:ascii="宋体" w:hAnsi="宋体" w:cs="宋体" w:eastAsia="宋体" w:hint="default"/>
          <w:spacing w:val="-56"/>
        </w:rPr>
        <w:t> </w:t>
      </w:r>
      <w:r>
        <w:rPr/>
        <w:t>元。</w:t>
      </w:r>
    </w:p>
    <w:p>
      <w:pPr>
        <w:pStyle w:val="BodyText"/>
        <w:spacing w:line="273" w:lineRule="exact"/>
        <w:ind w:left="138" w:right="147"/>
        <w:jc w:val="left"/>
      </w:pPr>
      <w:r>
        <w:rPr>
          <w:rFonts w:ascii="宋体" w:hAnsi="宋体" w:cs="宋体" w:eastAsia="宋体" w:hint="default"/>
        </w:rPr>
        <w:t>3</w:t>
      </w:r>
      <w:r>
        <w:rPr/>
        <w:t>、由于重大会计差错更正，影响期初未分配利润</w:t>
      </w:r>
      <w:r>
        <w:rPr>
          <w:spacing w:val="-54"/>
        </w:rPr>
        <w:t> </w:t>
      </w:r>
      <w:r>
        <w:rPr>
          <w:rFonts w:ascii="宋体" w:hAnsi="宋体" w:cs="宋体" w:eastAsia="宋体" w:hint="default"/>
        </w:rPr>
        <w:t>0</w:t>
      </w:r>
      <w:r>
        <w:rPr>
          <w:rFonts w:ascii="宋体" w:hAnsi="宋体" w:cs="宋体" w:eastAsia="宋体" w:hint="default"/>
          <w:spacing w:val="-56"/>
        </w:rPr>
        <w:t> </w:t>
      </w:r>
      <w:r>
        <w:rPr/>
        <w:t>元。</w:t>
      </w:r>
    </w:p>
    <w:p>
      <w:pPr>
        <w:pStyle w:val="BodyText"/>
        <w:spacing w:line="272" w:lineRule="exact"/>
        <w:ind w:left="138" w:right="147"/>
        <w:jc w:val="left"/>
      </w:pPr>
      <w:r>
        <w:rPr>
          <w:rFonts w:ascii="宋体" w:hAnsi="宋体" w:cs="宋体" w:eastAsia="宋体" w:hint="default"/>
        </w:rPr>
        <w:t>4</w:t>
      </w:r>
      <w:r>
        <w:rPr/>
        <w:t>、由于同一控制导致的合并范围变更，影响期初未分配利润</w:t>
      </w:r>
      <w:r>
        <w:rPr>
          <w:spacing w:val="-54"/>
        </w:rPr>
        <w:t> </w:t>
      </w:r>
      <w:r>
        <w:rPr>
          <w:rFonts w:ascii="宋体" w:hAnsi="宋体" w:cs="宋体" w:eastAsia="宋体" w:hint="default"/>
        </w:rPr>
        <w:t>0</w:t>
      </w:r>
      <w:r>
        <w:rPr>
          <w:rFonts w:ascii="宋体" w:hAnsi="宋体" w:cs="宋体" w:eastAsia="宋体" w:hint="default"/>
          <w:spacing w:val="-56"/>
        </w:rPr>
        <w:t> </w:t>
      </w:r>
      <w:r>
        <w:rPr/>
        <w:t>元。</w:t>
      </w:r>
    </w:p>
    <w:p>
      <w:pPr>
        <w:pStyle w:val="BodyText"/>
        <w:spacing w:line="274" w:lineRule="exact"/>
        <w:ind w:left="138" w:right="147"/>
        <w:jc w:val="left"/>
      </w:pPr>
      <w:r>
        <w:rPr>
          <w:rFonts w:ascii="宋体" w:hAnsi="宋体" w:cs="宋体" w:eastAsia="宋体" w:hint="default"/>
        </w:rPr>
        <w:t>5</w:t>
      </w:r>
      <w:r>
        <w:rPr/>
        <w:t>、其他调整合计影响期初未分配利润</w:t>
      </w:r>
      <w:r>
        <w:rPr>
          <w:spacing w:val="-54"/>
        </w:rPr>
        <w:t> </w:t>
      </w:r>
      <w:r>
        <w:rPr>
          <w:rFonts w:ascii="宋体" w:hAnsi="宋体" w:cs="宋体" w:eastAsia="宋体" w:hint="default"/>
        </w:rPr>
        <w:t>0</w:t>
      </w:r>
      <w:r>
        <w:rPr>
          <w:rFonts w:ascii="宋体" w:hAnsi="宋体" w:cs="宋体" w:eastAsia="宋体" w:hint="default"/>
          <w:spacing w:val="-54"/>
        </w:rPr>
        <w:t> </w:t>
      </w:r>
      <w:r>
        <w:rPr>
          <w:spacing w:val="-3"/>
        </w:rPr>
        <w:t>元。</w:t>
      </w:r>
      <w:r>
        <w:rPr/>
      </w:r>
    </w:p>
    <w:p>
      <w:pPr>
        <w:spacing w:line="240" w:lineRule="auto" w:before="8"/>
        <w:rPr>
          <w:rFonts w:ascii="宋体" w:hAnsi="宋体" w:cs="宋体" w:eastAsia="宋体" w:hint="default"/>
          <w:sz w:val="20"/>
          <w:szCs w:val="20"/>
        </w:rPr>
      </w:pPr>
    </w:p>
    <w:p>
      <w:pPr>
        <w:pStyle w:val="BodyText"/>
        <w:spacing w:line="273" w:lineRule="exact"/>
        <w:ind w:left="138" w:right="147"/>
        <w:jc w:val="left"/>
      </w:pPr>
      <w:r>
        <w:rPr/>
        <w:t>注</w:t>
      </w:r>
      <w:r>
        <w:rPr>
          <w:spacing w:val="-54"/>
        </w:rPr>
        <w:t> </w:t>
      </w:r>
      <w:r>
        <w:rPr>
          <w:rFonts w:ascii="宋体" w:hAnsi="宋体" w:cs="宋体" w:eastAsia="宋体" w:hint="default"/>
        </w:rPr>
        <w:t>1</w:t>
      </w:r>
      <w:r>
        <w:rPr/>
        <w:t>．根据本公司于</w:t>
      </w:r>
      <w:r>
        <w:rPr>
          <w:spacing w:val="-56"/>
        </w:rPr>
        <w:t> </w:t>
      </w:r>
      <w:r>
        <w:rPr>
          <w:rFonts w:ascii="宋体" w:hAnsi="宋体" w:cs="宋体" w:eastAsia="宋体" w:hint="default"/>
        </w:rPr>
        <w:t>2017</w:t>
      </w:r>
      <w:r>
        <w:rPr>
          <w:rFonts w:ascii="宋体" w:hAnsi="宋体" w:cs="宋体" w:eastAsia="宋体" w:hint="default"/>
          <w:spacing w:val="-56"/>
        </w:rPr>
        <w:t> </w:t>
      </w:r>
      <w:r>
        <w:rPr/>
        <w:t>年</w:t>
      </w:r>
      <w:r>
        <w:rPr>
          <w:spacing w:val="-54"/>
        </w:rPr>
        <w:t> </w:t>
      </w:r>
      <w:r>
        <w:rPr>
          <w:rFonts w:ascii="宋体" w:hAnsi="宋体" w:cs="宋体" w:eastAsia="宋体" w:hint="default"/>
        </w:rPr>
        <w:t>4</w:t>
      </w:r>
      <w:r>
        <w:rPr>
          <w:rFonts w:ascii="宋体" w:hAnsi="宋体" w:cs="宋体" w:eastAsia="宋体" w:hint="default"/>
          <w:spacing w:val="-56"/>
        </w:rPr>
        <w:t> </w:t>
      </w:r>
      <w:r>
        <w:rPr/>
        <w:t>月</w:t>
      </w:r>
      <w:r>
        <w:rPr>
          <w:spacing w:val="-54"/>
        </w:rPr>
        <w:t> </w:t>
      </w:r>
      <w:r>
        <w:rPr>
          <w:rFonts w:ascii="宋体" w:hAnsi="宋体" w:cs="宋体" w:eastAsia="宋体" w:hint="default"/>
        </w:rPr>
        <w:t>7</w:t>
      </w:r>
      <w:r>
        <w:rPr>
          <w:rFonts w:ascii="宋体" w:hAnsi="宋体" w:cs="宋体" w:eastAsia="宋体" w:hint="default"/>
          <w:spacing w:val="-54"/>
        </w:rPr>
        <w:t> </w:t>
      </w:r>
      <w:r>
        <w:rPr/>
        <w:t>日召开</w:t>
      </w:r>
      <w:r>
        <w:rPr>
          <w:spacing w:val="-54"/>
        </w:rPr>
        <w:t> </w:t>
      </w:r>
      <w:r>
        <w:rPr>
          <w:rFonts w:ascii="宋体" w:hAnsi="宋体" w:cs="宋体" w:eastAsia="宋体" w:hint="default"/>
        </w:rPr>
        <w:t>2016</w:t>
      </w:r>
      <w:r>
        <w:rPr>
          <w:rFonts w:ascii="宋体" w:hAnsi="宋体" w:cs="宋体" w:eastAsia="宋体" w:hint="default"/>
          <w:spacing w:val="-54"/>
        </w:rPr>
        <w:t> </w:t>
      </w:r>
      <w:r>
        <w:rPr/>
        <w:t>年年度股东大会，审议通过了公司《</w:t>
      </w:r>
      <w:r>
        <w:rPr>
          <w:rFonts w:ascii="宋体" w:hAnsi="宋体" w:cs="宋体" w:eastAsia="宋体" w:hint="default"/>
        </w:rPr>
        <w:t>2016</w:t>
      </w:r>
      <w:r>
        <w:rPr>
          <w:rFonts w:ascii="宋体" w:hAnsi="宋体" w:cs="宋体" w:eastAsia="宋体" w:hint="default"/>
          <w:spacing w:val="-54"/>
        </w:rPr>
        <w:t> </w:t>
      </w:r>
      <w:r>
        <w:rPr/>
        <w:t>年度利</w:t>
      </w:r>
    </w:p>
    <w:p>
      <w:pPr>
        <w:pStyle w:val="BodyText"/>
        <w:spacing w:line="272" w:lineRule="exact"/>
        <w:ind w:left="138" w:right="147"/>
        <w:jc w:val="left"/>
      </w:pPr>
      <w:r>
        <w:rPr/>
        <w:t>润分配议案》，公司以</w:t>
      </w:r>
      <w:r>
        <w:rPr>
          <w:spacing w:val="-54"/>
        </w:rPr>
        <w:t> </w:t>
      </w:r>
      <w:r>
        <w:rPr>
          <w:rFonts w:ascii="宋体" w:hAnsi="宋体" w:cs="宋体" w:eastAsia="宋体" w:hint="default"/>
        </w:rPr>
        <w:t>2016</w:t>
      </w:r>
      <w:r>
        <w:rPr>
          <w:rFonts w:ascii="宋体" w:hAnsi="宋体" w:cs="宋体" w:eastAsia="宋体" w:hint="default"/>
          <w:spacing w:val="-55"/>
        </w:rPr>
        <w:t> </w:t>
      </w:r>
      <w:r>
        <w:rPr/>
        <w:t>年末总股本</w:t>
      </w:r>
      <w:r>
        <w:rPr>
          <w:spacing w:val="-55"/>
        </w:rPr>
        <w:t> </w:t>
      </w:r>
      <w:r>
        <w:rPr>
          <w:rFonts w:ascii="宋体" w:hAnsi="宋体" w:cs="宋体" w:eastAsia="宋体" w:hint="default"/>
        </w:rPr>
        <w:t>1,464,293,443</w:t>
      </w:r>
      <w:r>
        <w:rPr>
          <w:rFonts w:ascii="宋体" w:hAnsi="宋体" w:cs="宋体" w:eastAsia="宋体" w:hint="default"/>
          <w:spacing w:val="-55"/>
        </w:rPr>
        <w:t> </w:t>
      </w:r>
      <w:r>
        <w:rPr/>
        <w:t>股为基数，向全体股东每</w:t>
      </w:r>
      <w:r>
        <w:rPr>
          <w:spacing w:val="-54"/>
        </w:rPr>
        <w:t> </w:t>
      </w:r>
      <w:r>
        <w:rPr>
          <w:rFonts w:ascii="宋体" w:hAnsi="宋体" w:cs="宋体" w:eastAsia="宋体" w:hint="default"/>
        </w:rPr>
        <w:t>10</w:t>
      </w:r>
      <w:r>
        <w:rPr>
          <w:rFonts w:ascii="宋体" w:hAnsi="宋体" w:cs="宋体" w:eastAsia="宋体" w:hint="default"/>
          <w:spacing w:val="-55"/>
        </w:rPr>
        <w:t> </w:t>
      </w:r>
      <w:r>
        <w:rPr/>
        <w:t>股派发现金</w:t>
      </w:r>
    </w:p>
    <w:p>
      <w:pPr>
        <w:pStyle w:val="BodyText"/>
        <w:spacing w:line="274" w:lineRule="exact"/>
        <w:ind w:left="138" w:right="147"/>
        <w:jc w:val="left"/>
      </w:pPr>
      <w:r>
        <w:rPr/>
        <w:t>股利</w:t>
      </w:r>
      <w:r>
        <w:rPr>
          <w:spacing w:val="-54"/>
        </w:rPr>
        <w:t> </w:t>
      </w:r>
      <w:r>
        <w:rPr>
          <w:rFonts w:ascii="宋体" w:hAnsi="宋体" w:cs="宋体" w:eastAsia="宋体" w:hint="default"/>
        </w:rPr>
        <w:t>1.3</w:t>
      </w:r>
      <w:r>
        <w:rPr>
          <w:rFonts w:ascii="宋体" w:hAnsi="宋体" w:cs="宋体" w:eastAsia="宋体" w:hint="default"/>
          <w:spacing w:val="-54"/>
        </w:rPr>
        <w:t> </w:t>
      </w:r>
      <w:r>
        <w:rPr/>
        <w:t>元</w:t>
      </w:r>
      <w:r>
        <w:rPr>
          <w:rFonts w:ascii="宋体" w:hAnsi="宋体" w:cs="宋体" w:eastAsia="宋体" w:hint="default"/>
        </w:rPr>
        <w:t>(</w:t>
      </w:r>
      <w:r>
        <w:rPr/>
        <w:t>含税</w:t>
      </w:r>
      <w:r>
        <w:rPr>
          <w:rFonts w:ascii="宋体" w:hAnsi="宋体" w:cs="宋体" w:eastAsia="宋体" w:hint="default"/>
        </w:rPr>
        <w:t>)</w:t>
      </w:r>
      <w:r>
        <w:rPr/>
        <w:t>，分派股利总额为人民币</w:t>
      </w:r>
      <w:r>
        <w:rPr>
          <w:spacing w:val="-53"/>
        </w:rPr>
        <w:t> </w:t>
      </w:r>
      <w:r>
        <w:rPr>
          <w:rFonts w:ascii="宋体" w:hAnsi="宋体" w:cs="宋体" w:eastAsia="宋体" w:hint="default"/>
        </w:rPr>
        <w:t>190,348,315</w:t>
      </w:r>
      <w:r>
        <w:rPr>
          <w:rFonts w:ascii="宋体" w:hAnsi="宋体" w:cs="宋体" w:eastAsia="宋体" w:hint="default"/>
          <w:spacing w:val="-56"/>
        </w:rPr>
        <w:t> </w:t>
      </w:r>
      <w:r>
        <w:rPr/>
        <w:t>元。</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57" w:footer="1195" w:top="1320" w:bottom="1380" w:left="1660" w:right="1040"/>
        </w:sectPr>
      </w:pPr>
    </w:p>
    <w:p>
      <w:pPr>
        <w:pStyle w:val="Heading3"/>
        <w:spacing w:line="240" w:lineRule="auto" w:before="36"/>
        <w:ind w:left="138" w:right="-18"/>
        <w:jc w:val="left"/>
        <w:rPr>
          <w:b w:val="0"/>
          <w:bCs w:val="0"/>
        </w:rPr>
      </w:pPr>
      <w:r>
        <w:rPr>
          <w:rFonts w:ascii="宋体" w:hAnsi="宋体" w:cs="宋体" w:eastAsia="宋体" w:hint="default"/>
        </w:rPr>
        <w:t>61</w:t>
      </w:r>
      <w:r>
        <w:rPr/>
        <w:t>、</w:t>
      </w:r>
      <w:r>
        <w:rPr>
          <w:spacing w:val="-23"/>
        </w:rPr>
        <w:t> </w:t>
      </w:r>
      <w:r>
        <w:rPr/>
        <w:t>营业收入和营业成本</w:t>
      </w:r>
      <w:r>
        <w:rPr>
          <w:b w:val="0"/>
          <w:bCs w:val="0"/>
        </w:rPr>
      </w:r>
    </w:p>
    <w:p>
      <w:pPr>
        <w:pStyle w:val="BodyText"/>
        <w:spacing w:line="240" w:lineRule="auto" w:before="56"/>
        <w:ind w:left="138"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left="138" w:right="0"/>
        <w:jc w:val="left"/>
      </w:pPr>
      <w:r>
        <w:rPr/>
        <w:t>单位：元币种：人民币</w:t>
      </w:r>
    </w:p>
    <w:p>
      <w:pPr>
        <w:spacing w:after="0" w:line="240" w:lineRule="auto"/>
        <w:jc w:val="left"/>
        <w:sectPr>
          <w:type w:val="continuous"/>
          <w:pgSz w:w="11910" w:h="16840"/>
          <w:pgMar w:top="1320" w:bottom="1380" w:left="1660" w:right="1040"/>
          <w:cols w:num="2" w:equalWidth="0">
            <w:col w:w="2543" w:space="4190"/>
            <w:col w:w="2477"/>
          </w:cols>
        </w:sectPr>
      </w:pPr>
    </w:p>
    <w:p>
      <w:pPr>
        <w:spacing w:line="240" w:lineRule="auto" w:before="4"/>
        <w:rPr>
          <w:rFonts w:ascii="宋体" w:hAnsi="宋体" w:cs="宋体" w:eastAsia="宋体" w:hint="default"/>
          <w:sz w:val="2"/>
          <w:szCs w:val="2"/>
        </w:rPr>
      </w:pPr>
    </w:p>
    <w:tbl>
      <w:tblPr>
        <w:tblW w:w="0" w:type="auto"/>
        <w:jc w:val="left"/>
        <w:tblInd w:w="147" w:type="dxa"/>
        <w:tblLayout w:type="fixed"/>
        <w:tblCellMar>
          <w:top w:w="0" w:type="dxa"/>
          <w:left w:w="0" w:type="dxa"/>
          <w:bottom w:w="0" w:type="dxa"/>
          <w:right w:w="0" w:type="dxa"/>
        </w:tblCellMar>
        <w:tblLook w:val="01E0"/>
      </w:tblPr>
      <w:tblGrid>
        <w:gridCol w:w="1438"/>
        <w:gridCol w:w="1863"/>
        <w:gridCol w:w="1877"/>
        <w:gridCol w:w="1877"/>
        <w:gridCol w:w="1875"/>
      </w:tblGrid>
      <w:tr>
        <w:trPr>
          <w:trHeight w:val="284" w:hRule="exact"/>
        </w:trPr>
        <w:tc>
          <w:tcPr>
            <w:tcW w:w="1438" w:type="dxa"/>
            <w:vMerge w:val="restart"/>
            <w:tcBorders>
              <w:top w:val="single" w:sz="4" w:space="0" w:color="000000"/>
              <w:left w:val="single" w:sz="4" w:space="0" w:color="000000"/>
              <w:right w:val="single" w:sz="4" w:space="0" w:color="000000"/>
            </w:tcBorders>
          </w:tcPr>
          <w:p>
            <w:pPr>
              <w:pStyle w:val="TableParagraph"/>
              <w:spacing w:line="240" w:lineRule="auto" w:before="108"/>
              <w:ind w:left="2"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7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7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81" w:hRule="exact"/>
        </w:trPr>
        <w:tc>
          <w:tcPr>
            <w:tcW w:w="1438" w:type="dxa"/>
            <w:vMerge/>
            <w:tcBorders>
              <w:left w:val="single" w:sz="4" w:space="0" w:color="000000"/>
              <w:bottom w:val="single" w:sz="4" w:space="0" w:color="000000"/>
              <w:right w:val="single" w:sz="4" w:space="0" w:color="000000"/>
            </w:tcBorders>
          </w:tcPr>
          <w:p>
            <w:pPr/>
          </w:p>
        </w:tc>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收入</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成本</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收入</w:t>
            </w:r>
          </w:p>
        </w:tc>
        <w:tc>
          <w:tcPr>
            <w:tcW w:w="18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成本</w:t>
            </w:r>
          </w:p>
        </w:tc>
      </w:tr>
      <w:tr>
        <w:trPr>
          <w:trHeight w:val="283" w:hRule="exact"/>
        </w:trPr>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主营业务</w:t>
            </w:r>
          </w:p>
        </w:tc>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83" w:right="0"/>
              <w:jc w:val="left"/>
              <w:rPr>
                <w:rFonts w:ascii="宋体" w:hAnsi="宋体" w:cs="宋体" w:eastAsia="宋体" w:hint="default"/>
                <w:sz w:val="21"/>
                <w:szCs w:val="21"/>
              </w:rPr>
            </w:pPr>
            <w:r>
              <w:rPr>
                <w:rFonts w:ascii="宋体"/>
                <w:sz w:val="21"/>
              </w:rPr>
              <w:t>6,150,802,600</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98" w:right="0"/>
              <w:jc w:val="left"/>
              <w:rPr>
                <w:rFonts w:ascii="宋体" w:hAnsi="宋体" w:cs="宋体" w:eastAsia="宋体" w:hint="default"/>
                <w:sz w:val="21"/>
                <w:szCs w:val="21"/>
              </w:rPr>
            </w:pPr>
            <w:r>
              <w:rPr>
                <w:rFonts w:ascii="宋体"/>
                <w:sz w:val="21"/>
              </w:rPr>
              <w:t>1,792,613,288</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95" w:right="0"/>
              <w:jc w:val="left"/>
              <w:rPr>
                <w:rFonts w:ascii="宋体" w:hAnsi="宋体" w:cs="宋体" w:eastAsia="宋体" w:hint="default"/>
                <w:sz w:val="21"/>
                <w:szCs w:val="21"/>
              </w:rPr>
            </w:pPr>
            <w:r>
              <w:rPr>
                <w:rFonts w:ascii="宋体"/>
                <w:sz w:val="21"/>
              </w:rPr>
              <w:t>4,983,689,341</w:t>
            </w:r>
          </w:p>
        </w:tc>
        <w:tc>
          <w:tcPr>
            <w:tcW w:w="18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94" w:right="0"/>
              <w:jc w:val="left"/>
              <w:rPr>
                <w:rFonts w:ascii="宋体" w:hAnsi="宋体" w:cs="宋体" w:eastAsia="宋体" w:hint="default"/>
                <w:sz w:val="21"/>
                <w:szCs w:val="21"/>
              </w:rPr>
            </w:pPr>
            <w:r>
              <w:rPr>
                <w:rFonts w:ascii="宋体"/>
                <w:sz w:val="21"/>
              </w:rPr>
              <w:t>1,581,055,350</w:t>
            </w:r>
          </w:p>
        </w:tc>
      </w:tr>
    </w:tbl>
    <w:p>
      <w:pPr>
        <w:spacing w:after="0" w:line="241" w:lineRule="exact"/>
        <w:jc w:val="left"/>
        <w:rPr>
          <w:rFonts w:ascii="宋体" w:hAnsi="宋体" w:cs="宋体" w:eastAsia="宋体" w:hint="default"/>
          <w:sz w:val="21"/>
          <w:szCs w:val="21"/>
        </w:rPr>
        <w:sectPr>
          <w:type w:val="continuous"/>
          <w:pgSz w:w="11910" w:h="16840"/>
          <w:pgMar w:top="1320" w:bottom="1380" w:left="1660" w:right="1040"/>
        </w:sectPr>
      </w:pPr>
    </w:p>
    <w:p>
      <w:pPr>
        <w:spacing w:line="240" w:lineRule="auto" w:before="6"/>
        <w:rPr>
          <w:rFonts w:ascii="宋体" w:hAnsi="宋体" w:cs="宋体" w:eastAsia="宋体" w:hint="default"/>
          <w:sz w:val="14"/>
          <w:szCs w:val="14"/>
        </w:rPr>
      </w:pPr>
    </w:p>
    <w:tbl>
      <w:tblPr>
        <w:tblW w:w="0" w:type="auto"/>
        <w:jc w:val="left"/>
        <w:tblInd w:w="227" w:type="dxa"/>
        <w:tblLayout w:type="fixed"/>
        <w:tblCellMar>
          <w:top w:w="0" w:type="dxa"/>
          <w:left w:w="0" w:type="dxa"/>
          <w:bottom w:w="0" w:type="dxa"/>
          <w:right w:w="0" w:type="dxa"/>
        </w:tblCellMar>
        <w:tblLook w:val="01E0"/>
      </w:tblPr>
      <w:tblGrid>
        <w:gridCol w:w="1438"/>
        <w:gridCol w:w="1863"/>
        <w:gridCol w:w="1877"/>
        <w:gridCol w:w="1877"/>
        <w:gridCol w:w="1875"/>
      </w:tblGrid>
      <w:tr>
        <w:trPr>
          <w:trHeight w:val="284" w:hRule="exact"/>
        </w:trPr>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480"/>
              <w:jc w:val="right"/>
              <w:rPr>
                <w:rFonts w:ascii="宋体" w:hAnsi="宋体" w:cs="宋体" w:eastAsia="宋体" w:hint="default"/>
                <w:sz w:val="21"/>
                <w:szCs w:val="21"/>
              </w:rPr>
            </w:pPr>
            <w:r>
              <w:rPr>
                <w:rFonts w:ascii="宋体" w:hAnsi="宋体" w:cs="宋体" w:eastAsia="宋体" w:hint="default"/>
                <w:spacing w:val="-1"/>
                <w:sz w:val="21"/>
                <w:szCs w:val="21"/>
              </w:rPr>
              <w:t>其他业务</w:t>
            </w:r>
          </w:p>
        </w:tc>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8"/>
              <w:jc w:val="right"/>
              <w:rPr>
                <w:rFonts w:ascii="宋体" w:hAnsi="宋体" w:cs="宋体" w:eastAsia="宋体" w:hint="default"/>
                <w:sz w:val="21"/>
                <w:szCs w:val="21"/>
              </w:rPr>
            </w:pPr>
            <w:r>
              <w:rPr>
                <w:rFonts w:ascii="宋体"/>
                <w:spacing w:val="-1"/>
                <w:sz w:val="21"/>
              </w:rPr>
              <w:t>192,855,949</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9"/>
              <w:jc w:val="right"/>
              <w:rPr>
                <w:rFonts w:ascii="宋体" w:hAnsi="宋体" w:cs="宋体" w:eastAsia="宋体" w:hint="default"/>
                <w:sz w:val="21"/>
                <w:szCs w:val="21"/>
              </w:rPr>
            </w:pPr>
            <w:r>
              <w:rPr>
                <w:rFonts w:ascii="宋体"/>
                <w:spacing w:val="-1"/>
                <w:sz w:val="21"/>
              </w:rPr>
              <w:t>19,841,250</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01"/>
              <w:jc w:val="right"/>
              <w:rPr>
                <w:rFonts w:ascii="宋体" w:hAnsi="宋体" w:cs="宋体" w:eastAsia="宋体" w:hint="default"/>
                <w:sz w:val="21"/>
                <w:szCs w:val="21"/>
              </w:rPr>
            </w:pPr>
            <w:r>
              <w:rPr>
                <w:rFonts w:ascii="宋体"/>
                <w:spacing w:val="-1"/>
                <w:sz w:val="21"/>
              </w:rPr>
              <w:t>129,659,520</w:t>
            </w:r>
          </w:p>
        </w:tc>
        <w:tc>
          <w:tcPr>
            <w:tcW w:w="1875"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01"/>
              <w:jc w:val="right"/>
              <w:rPr>
                <w:rFonts w:ascii="宋体" w:hAnsi="宋体" w:cs="宋体" w:eastAsia="宋体" w:hint="default"/>
                <w:sz w:val="21"/>
                <w:szCs w:val="21"/>
              </w:rPr>
            </w:pPr>
            <w:r>
              <w:rPr>
                <w:rFonts w:ascii="宋体"/>
                <w:spacing w:val="-1"/>
                <w:sz w:val="21"/>
              </w:rPr>
              <w:t>22,511,657</w:t>
            </w:r>
          </w:p>
        </w:tc>
      </w:tr>
      <w:tr>
        <w:trPr>
          <w:trHeight w:val="283" w:hRule="exact"/>
        </w:trPr>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499"/>
              <w:jc w:val="right"/>
              <w:rPr>
                <w:rFonts w:ascii="宋体" w:hAnsi="宋体" w:cs="宋体" w:eastAsia="宋体" w:hint="default"/>
                <w:sz w:val="21"/>
                <w:szCs w:val="21"/>
              </w:rPr>
            </w:pPr>
            <w:r>
              <w:rPr>
                <w:rFonts w:ascii="宋体" w:hAnsi="宋体" w:cs="宋体" w:eastAsia="宋体" w:hint="default"/>
                <w:sz w:val="21"/>
                <w:szCs w:val="21"/>
              </w:rPr>
              <w:t>合计</w:t>
            </w:r>
          </w:p>
        </w:tc>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6,343,658,549</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1,812,454,538</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5,113,348,861</w:t>
            </w:r>
          </w:p>
        </w:tc>
        <w:tc>
          <w:tcPr>
            <w:tcW w:w="18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1,603,567,007</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57" w:footer="1195" w:top="1320" w:bottom="1380" w:left="1580" w:right="1040"/>
        </w:sectPr>
      </w:pPr>
    </w:p>
    <w:p>
      <w:pPr>
        <w:pStyle w:val="Heading3"/>
        <w:spacing w:line="240" w:lineRule="auto" w:before="36"/>
        <w:ind w:right="-1"/>
        <w:jc w:val="left"/>
        <w:rPr>
          <w:b w:val="0"/>
          <w:bCs w:val="0"/>
        </w:rPr>
      </w:pPr>
      <w:r>
        <w:rPr>
          <w:rFonts w:ascii="宋体" w:hAnsi="宋体" w:cs="宋体" w:eastAsia="宋体" w:hint="default"/>
        </w:rPr>
        <w:t>62</w:t>
      </w:r>
      <w:r>
        <w:rPr/>
        <w:t>、</w:t>
      </w:r>
      <w:r>
        <w:rPr>
          <w:spacing w:val="-25"/>
        </w:rPr>
        <w:t> </w:t>
      </w:r>
      <w:r>
        <w:rPr/>
        <w:t>税金及附加</w:t>
      </w:r>
      <w:r>
        <w:rPr>
          <w:b w:val="0"/>
          <w:bCs w:val="0"/>
        </w:rPr>
      </w:r>
    </w:p>
    <w:p>
      <w:pPr>
        <w:pStyle w:val="BodyText"/>
        <w:spacing w:line="240" w:lineRule="auto" w:before="56"/>
        <w:ind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1795" w:space="4938"/>
            <w:col w:w="2557"/>
          </w:cols>
        </w:sectPr>
      </w:pPr>
    </w:p>
    <w:p>
      <w:pPr>
        <w:spacing w:line="240" w:lineRule="auto" w:before="4"/>
        <w:rPr>
          <w:rFonts w:ascii="宋体" w:hAnsi="宋体" w:cs="宋体" w:eastAsia="宋体" w:hint="default"/>
          <w:sz w:val="2"/>
          <w:szCs w:val="2"/>
        </w:rPr>
      </w:pPr>
    </w:p>
    <w:tbl>
      <w:tblPr>
        <w:tblW w:w="0" w:type="auto"/>
        <w:jc w:val="left"/>
        <w:tblInd w:w="179" w:type="dxa"/>
        <w:tblLayout w:type="fixed"/>
        <w:tblCellMar>
          <w:top w:w="0" w:type="dxa"/>
          <w:left w:w="0" w:type="dxa"/>
          <w:bottom w:w="0" w:type="dxa"/>
          <w:right w:w="0" w:type="dxa"/>
        </w:tblCellMar>
        <w:tblLook w:val="01E0"/>
      </w:tblPr>
      <w:tblGrid>
        <w:gridCol w:w="2859"/>
        <w:gridCol w:w="3017"/>
        <w:gridCol w:w="3020"/>
      </w:tblGrid>
      <w:tr>
        <w:trPr>
          <w:trHeight w:val="288" w:hRule="exact"/>
        </w:trPr>
        <w:tc>
          <w:tcPr>
            <w:tcW w:w="2859"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1208"/>
              <w:jc w:val="right"/>
              <w:rPr>
                <w:rFonts w:ascii="宋体" w:hAnsi="宋体" w:cs="宋体" w:eastAsia="宋体" w:hint="default"/>
                <w:sz w:val="21"/>
                <w:szCs w:val="21"/>
              </w:rPr>
            </w:pPr>
            <w:r>
              <w:rPr>
                <w:rFonts w:ascii="宋体" w:hAnsi="宋体" w:cs="宋体" w:eastAsia="宋体" w:hint="default"/>
                <w:sz w:val="21"/>
                <w:szCs w:val="21"/>
              </w:rPr>
              <w:t>项目</w:t>
            </w:r>
          </w:p>
        </w:tc>
        <w:tc>
          <w:tcPr>
            <w:tcW w:w="301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74"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302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76"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88" w:hRule="exact"/>
        </w:trPr>
        <w:tc>
          <w:tcPr>
            <w:tcW w:w="285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消费税</w:t>
            </w:r>
          </w:p>
        </w:tc>
        <w:tc>
          <w:tcPr>
            <w:tcW w:w="3017" w:type="dxa"/>
            <w:tcBorders>
              <w:top w:val="single" w:sz="6" w:space="0" w:color="000000"/>
              <w:left w:val="single" w:sz="6" w:space="0" w:color="000000"/>
              <w:bottom w:val="single" w:sz="6" w:space="0" w:color="000000"/>
              <w:right w:val="single" w:sz="6" w:space="0" w:color="000000"/>
            </w:tcBorders>
          </w:tcPr>
          <w:p>
            <w:pPr/>
          </w:p>
        </w:tc>
        <w:tc>
          <w:tcPr>
            <w:tcW w:w="3020"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285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017" w:type="dxa"/>
            <w:tcBorders>
              <w:top w:val="single" w:sz="6" w:space="0" w:color="000000"/>
              <w:left w:val="single" w:sz="6" w:space="0" w:color="000000"/>
              <w:bottom w:val="single" w:sz="6" w:space="0" w:color="000000"/>
              <w:right w:val="single" w:sz="6" w:space="0" w:color="000000"/>
            </w:tcBorders>
          </w:tcPr>
          <w:p>
            <w:pPr/>
          </w:p>
        </w:tc>
        <w:tc>
          <w:tcPr>
            <w:tcW w:w="302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8,580,104</w:t>
            </w:r>
          </w:p>
        </w:tc>
      </w:tr>
      <w:tr>
        <w:trPr>
          <w:trHeight w:val="288" w:hRule="exact"/>
        </w:trPr>
        <w:tc>
          <w:tcPr>
            <w:tcW w:w="2859"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24"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301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35,567,003</w:t>
            </w:r>
          </w:p>
        </w:tc>
        <w:tc>
          <w:tcPr>
            <w:tcW w:w="302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31,470,851</w:t>
            </w:r>
          </w:p>
        </w:tc>
      </w:tr>
      <w:tr>
        <w:trPr>
          <w:trHeight w:val="289" w:hRule="exact"/>
        </w:trPr>
        <w:tc>
          <w:tcPr>
            <w:tcW w:w="285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301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25,332,837</w:t>
            </w:r>
          </w:p>
        </w:tc>
        <w:tc>
          <w:tcPr>
            <w:tcW w:w="302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22,621,202</w:t>
            </w:r>
          </w:p>
        </w:tc>
      </w:tr>
      <w:tr>
        <w:trPr>
          <w:trHeight w:val="288" w:hRule="exact"/>
        </w:trPr>
        <w:tc>
          <w:tcPr>
            <w:tcW w:w="285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资源税</w:t>
            </w:r>
          </w:p>
        </w:tc>
        <w:tc>
          <w:tcPr>
            <w:tcW w:w="3017" w:type="dxa"/>
            <w:tcBorders>
              <w:top w:val="single" w:sz="6" w:space="0" w:color="000000"/>
              <w:left w:val="single" w:sz="6" w:space="0" w:color="000000"/>
              <w:bottom w:val="single" w:sz="6" w:space="0" w:color="000000"/>
              <w:right w:val="single" w:sz="6" w:space="0" w:color="000000"/>
            </w:tcBorders>
          </w:tcPr>
          <w:p>
            <w:pPr/>
          </w:p>
        </w:tc>
        <w:tc>
          <w:tcPr>
            <w:tcW w:w="3020"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285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房产税</w:t>
            </w:r>
          </w:p>
        </w:tc>
        <w:tc>
          <w:tcPr>
            <w:tcW w:w="301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23,945,422</w:t>
            </w:r>
          </w:p>
        </w:tc>
        <w:tc>
          <w:tcPr>
            <w:tcW w:w="302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2,095,908</w:t>
            </w:r>
          </w:p>
        </w:tc>
      </w:tr>
      <w:tr>
        <w:trPr>
          <w:trHeight w:val="288" w:hRule="exact"/>
        </w:trPr>
        <w:tc>
          <w:tcPr>
            <w:tcW w:w="2859"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24" w:right="0"/>
              <w:jc w:val="left"/>
              <w:rPr>
                <w:rFonts w:ascii="宋体" w:hAnsi="宋体" w:cs="宋体" w:eastAsia="宋体" w:hint="default"/>
                <w:sz w:val="21"/>
                <w:szCs w:val="21"/>
              </w:rPr>
            </w:pPr>
            <w:r>
              <w:rPr>
                <w:rFonts w:ascii="宋体" w:hAnsi="宋体" w:cs="宋体" w:eastAsia="宋体" w:hint="default"/>
                <w:sz w:val="21"/>
                <w:szCs w:val="21"/>
              </w:rPr>
              <w:t>土地使用税</w:t>
            </w:r>
          </w:p>
        </w:tc>
        <w:tc>
          <w:tcPr>
            <w:tcW w:w="301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3,717,281</w:t>
            </w:r>
          </w:p>
        </w:tc>
        <w:tc>
          <w:tcPr>
            <w:tcW w:w="302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1,165,655</w:t>
            </w:r>
          </w:p>
        </w:tc>
      </w:tr>
      <w:tr>
        <w:trPr>
          <w:trHeight w:val="288" w:hRule="exact"/>
        </w:trPr>
        <w:tc>
          <w:tcPr>
            <w:tcW w:w="285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车船使用税</w:t>
            </w:r>
          </w:p>
        </w:tc>
        <w:tc>
          <w:tcPr>
            <w:tcW w:w="301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9"/>
              <w:jc w:val="right"/>
              <w:rPr>
                <w:rFonts w:ascii="宋体" w:hAnsi="宋体" w:cs="宋体" w:eastAsia="宋体" w:hint="default"/>
                <w:sz w:val="21"/>
                <w:szCs w:val="21"/>
              </w:rPr>
            </w:pPr>
            <w:r>
              <w:rPr>
                <w:rFonts w:ascii="宋体"/>
                <w:sz w:val="21"/>
              </w:rPr>
              <w:t>33,825</w:t>
            </w:r>
          </w:p>
        </w:tc>
        <w:tc>
          <w:tcPr>
            <w:tcW w:w="302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9"/>
              <w:jc w:val="right"/>
              <w:rPr>
                <w:rFonts w:ascii="宋体" w:hAnsi="宋体" w:cs="宋体" w:eastAsia="宋体" w:hint="default"/>
                <w:sz w:val="21"/>
                <w:szCs w:val="21"/>
              </w:rPr>
            </w:pPr>
            <w:r>
              <w:rPr>
                <w:rFonts w:ascii="宋体"/>
                <w:sz w:val="21"/>
              </w:rPr>
              <w:t>14,980</w:t>
            </w:r>
          </w:p>
        </w:tc>
      </w:tr>
      <w:tr>
        <w:trPr>
          <w:trHeight w:val="288" w:hRule="exact"/>
        </w:trPr>
        <w:tc>
          <w:tcPr>
            <w:tcW w:w="285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印花税</w:t>
            </w:r>
          </w:p>
        </w:tc>
        <w:tc>
          <w:tcPr>
            <w:tcW w:w="301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2,101,016</w:t>
            </w:r>
          </w:p>
        </w:tc>
        <w:tc>
          <w:tcPr>
            <w:tcW w:w="302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1,345,851</w:t>
            </w:r>
          </w:p>
        </w:tc>
      </w:tr>
      <w:tr>
        <w:trPr>
          <w:trHeight w:val="286" w:hRule="exact"/>
        </w:trPr>
        <w:tc>
          <w:tcPr>
            <w:tcW w:w="285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01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4,079,060</w:t>
            </w:r>
          </w:p>
        </w:tc>
        <w:tc>
          <w:tcPr>
            <w:tcW w:w="302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5,534,420</w:t>
            </w:r>
          </w:p>
        </w:tc>
      </w:tr>
      <w:tr>
        <w:trPr>
          <w:trHeight w:val="288" w:hRule="exact"/>
        </w:trPr>
        <w:tc>
          <w:tcPr>
            <w:tcW w:w="2859" w:type="dxa"/>
            <w:tcBorders>
              <w:top w:val="single" w:sz="6" w:space="0" w:color="000000"/>
              <w:left w:val="single" w:sz="6" w:space="0" w:color="000000"/>
              <w:bottom w:val="single" w:sz="6" w:space="0" w:color="000000"/>
              <w:right w:val="single" w:sz="6" w:space="0" w:color="000000"/>
            </w:tcBorders>
          </w:tcPr>
          <w:p>
            <w:pPr/>
          </w:p>
        </w:tc>
        <w:tc>
          <w:tcPr>
            <w:tcW w:w="3017" w:type="dxa"/>
            <w:tcBorders>
              <w:top w:val="single" w:sz="6" w:space="0" w:color="000000"/>
              <w:left w:val="single" w:sz="6" w:space="0" w:color="000000"/>
              <w:bottom w:val="single" w:sz="6" w:space="0" w:color="000000"/>
              <w:right w:val="single" w:sz="6" w:space="0" w:color="000000"/>
            </w:tcBorders>
          </w:tcPr>
          <w:p>
            <w:pPr/>
          </w:p>
        </w:tc>
        <w:tc>
          <w:tcPr>
            <w:tcW w:w="3020"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85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208"/>
              <w:jc w:val="right"/>
              <w:rPr>
                <w:rFonts w:ascii="宋体" w:hAnsi="宋体" w:cs="宋体" w:eastAsia="宋体" w:hint="default"/>
                <w:sz w:val="21"/>
                <w:szCs w:val="21"/>
              </w:rPr>
            </w:pPr>
            <w:r>
              <w:rPr>
                <w:rFonts w:ascii="宋体" w:hAnsi="宋体" w:cs="宋体" w:eastAsia="宋体" w:hint="default"/>
                <w:sz w:val="21"/>
                <w:szCs w:val="21"/>
              </w:rPr>
              <w:t>合计</w:t>
            </w:r>
          </w:p>
        </w:tc>
        <w:tc>
          <w:tcPr>
            <w:tcW w:w="301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94,776,444</w:t>
            </w:r>
          </w:p>
        </w:tc>
        <w:tc>
          <w:tcPr>
            <w:tcW w:w="302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72,828,971</w:t>
            </w:r>
          </w:p>
        </w:tc>
      </w:tr>
    </w:tbl>
    <w:p>
      <w:pPr>
        <w:spacing w:line="240" w:lineRule="auto" w:before="7"/>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type w:val="continuous"/>
          <w:pgSz w:w="11910" w:h="16840"/>
          <w:pgMar w:top="1320" w:bottom="1380" w:left="1580" w:right="1040"/>
        </w:sectPr>
      </w:pPr>
    </w:p>
    <w:p>
      <w:pPr>
        <w:pStyle w:val="Heading3"/>
        <w:spacing w:line="240" w:lineRule="auto" w:before="36"/>
        <w:ind w:right="-18"/>
        <w:jc w:val="left"/>
        <w:rPr>
          <w:b w:val="0"/>
          <w:bCs w:val="0"/>
        </w:rPr>
      </w:pPr>
      <w:r>
        <w:rPr>
          <w:rFonts w:ascii="宋体" w:hAnsi="宋体" w:cs="宋体" w:eastAsia="宋体" w:hint="default"/>
        </w:rPr>
        <w:t>63</w:t>
      </w:r>
      <w:r>
        <w:rPr/>
        <w:t>、</w:t>
      </w:r>
      <w:r>
        <w:rPr>
          <w:spacing w:val="-25"/>
        </w:rPr>
        <w:t> </w:t>
      </w:r>
      <w:r>
        <w:rPr/>
        <w:t>销售费用</w:t>
      </w:r>
      <w:r>
        <w:rPr>
          <w:b w:val="0"/>
          <w:bCs w:val="0"/>
        </w:rPr>
      </w:r>
    </w:p>
    <w:p>
      <w:pPr>
        <w:pStyle w:val="BodyText"/>
        <w:spacing w:line="240" w:lineRule="auto" w:before="59"/>
        <w:ind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9"/>
          <w:szCs w:val="29"/>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1795" w:space="4938"/>
            <w:col w:w="2557"/>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332"/>
        <w:gridCol w:w="2861"/>
        <w:gridCol w:w="2857"/>
      </w:tblGrid>
      <w:tr>
        <w:trPr>
          <w:trHeight w:val="281"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97"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95"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83"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职工薪酬及福利</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971,911,203</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838,611,508</w:t>
            </w:r>
          </w:p>
        </w:tc>
      </w:tr>
      <w:tr>
        <w:trPr>
          <w:trHeight w:val="283"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业务宣传费</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142,063,486</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192,101,561</w:t>
            </w:r>
          </w:p>
        </w:tc>
      </w:tr>
      <w:tr>
        <w:trPr>
          <w:trHeight w:val="281"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86,958,632</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88,415,840</w:t>
            </w:r>
          </w:p>
        </w:tc>
      </w:tr>
      <w:tr>
        <w:trPr>
          <w:trHeight w:val="283"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100,847,203</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102,747,355</w:t>
            </w:r>
          </w:p>
        </w:tc>
      </w:tr>
      <w:tr>
        <w:trPr>
          <w:trHeight w:val="283"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咨询服务费</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53,164,408</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39,900,655</w:t>
            </w:r>
          </w:p>
        </w:tc>
      </w:tr>
      <w:tr>
        <w:trPr>
          <w:trHeight w:val="281"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21,481,680</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29,663,991</w:t>
            </w:r>
          </w:p>
        </w:tc>
      </w:tr>
      <w:tr>
        <w:trPr>
          <w:trHeight w:val="283"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折旧及摊销</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8,700,886</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5,446,683</w:t>
            </w:r>
          </w:p>
        </w:tc>
      </w:tr>
      <w:tr>
        <w:trPr>
          <w:trHeight w:val="283"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租赁费及物业管理费</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10,746,788</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7,452,312</w:t>
            </w:r>
          </w:p>
        </w:tc>
      </w:tr>
      <w:tr>
        <w:trPr>
          <w:trHeight w:val="281"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21,424,682</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8,731,068</w:t>
            </w:r>
          </w:p>
        </w:tc>
      </w:tr>
      <w:tr>
        <w:trPr>
          <w:trHeight w:val="283" w:hRule="exact"/>
        </w:trPr>
        <w:tc>
          <w:tcPr>
            <w:tcW w:w="3332" w:type="dxa"/>
            <w:tcBorders>
              <w:top w:val="single" w:sz="4" w:space="0" w:color="000000"/>
              <w:left w:val="single" w:sz="4" w:space="0" w:color="000000"/>
              <w:bottom w:val="single" w:sz="4" w:space="0" w:color="000000"/>
              <w:right w:val="single" w:sz="4" w:space="0" w:color="000000"/>
            </w:tcBorders>
          </w:tcPr>
          <w:p>
            <w:pPr/>
          </w:p>
        </w:tc>
        <w:tc>
          <w:tcPr>
            <w:tcW w:w="2861" w:type="dxa"/>
            <w:tcBorders>
              <w:top w:val="single" w:sz="4" w:space="0" w:color="000000"/>
              <w:left w:val="single" w:sz="4" w:space="0" w:color="000000"/>
              <w:bottom w:val="single" w:sz="4" w:space="0" w:color="000000"/>
              <w:right w:val="single" w:sz="4" w:space="0" w:color="000000"/>
            </w:tcBorders>
          </w:tcPr>
          <w:p>
            <w:pPr/>
          </w:p>
        </w:tc>
        <w:tc>
          <w:tcPr>
            <w:tcW w:w="285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332" w:type="dxa"/>
            <w:tcBorders>
              <w:top w:val="single" w:sz="4" w:space="0" w:color="000000"/>
              <w:left w:val="single" w:sz="4" w:space="0" w:color="000000"/>
              <w:bottom w:val="single" w:sz="4" w:space="0" w:color="000000"/>
              <w:right w:val="single" w:sz="4" w:space="0" w:color="000000"/>
            </w:tcBorders>
          </w:tcPr>
          <w:p>
            <w:pPr/>
          </w:p>
        </w:tc>
        <w:tc>
          <w:tcPr>
            <w:tcW w:w="2861" w:type="dxa"/>
            <w:tcBorders>
              <w:top w:val="single" w:sz="4" w:space="0" w:color="000000"/>
              <w:left w:val="single" w:sz="4" w:space="0" w:color="000000"/>
              <w:bottom w:val="single" w:sz="4" w:space="0" w:color="000000"/>
              <w:right w:val="single" w:sz="4" w:space="0" w:color="000000"/>
            </w:tcBorders>
          </w:tcPr>
          <w:p>
            <w:pPr/>
          </w:p>
        </w:tc>
        <w:tc>
          <w:tcPr>
            <w:tcW w:w="2857"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1,417,298,968</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1,313,070,973</w:t>
            </w:r>
          </w:p>
        </w:tc>
      </w:tr>
    </w:tbl>
    <w:p>
      <w:pPr>
        <w:spacing w:line="240" w:lineRule="auto" w:before="9"/>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type w:val="continuous"/>
          <w:pgSz w:w="11910" w:h="16840"/>
          <w:pgMar w:top="1320" w:bottom="1380" w:left="1580" w:right="1040"/>
        </w:sectPr>
      </w:pPr>
    </w:p>
    <w:p>
      <w:pPr>
        <w:pStyle w:val="Heading3"/>
        <w:spacing w:line="240" w:lineRule="auto" w:before="36"/>
        <w:ind w:right="-18"/>
        <w:jc w:val="left"/>
        <w:rPr>
          <w:b w:val="0"/>
          <w:bCs w:val="0"/>
        </w:rPr>
      </w:pPr>
      <w:r>
        <w:rPr>
          <w:rFonts w:ascii="宋体" w:hAnsi="宋体" w:cs="宋体" w:eastAsia="宋体" w:hint="default"/>
        </w:rPr>
        <w:t>64</w:t>
      </w:r>
      <w:r>
        <w:rPr/>
        <w:t>、</w:t>
      </w:r>
      <w:r>
        <w:rPr>
          <w:spacing w:val="-25"/>
        </w:rPr>
        <w:t> </w:t>
      </w:r>
      <w:r>
        <w:rPr/>
        <w:t>管理费用</w:t>
      </w:r>
      <w:r>
        <w:rPr>
          <w:b w:val="0"/>
          <w:bCs w:val="0"/>
        </w:rPr>
      </w:r>
    </w:p>
    <w:p>
      <w:pPr>
        <w:pStyle w:val="BodyText"/>
        <w:spacing w:line="240" w:lineRule="auto" w:before="56"/>
        <w:ind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1795" w:space="4938"/>
            <w:col w:w="2557"/>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339"/>
        <w:gridCol w:w="2909"/>
        <w:gridCol w:w="2801"/>
      </w:tblGrid>
      <w:tr>
        <w:trPr>
          <w:trHeight w:val="283" w:hRule="exact"/>
        </w:trPr>
        <w:tc>
          <w:tcPr>
            <w:tcW w:w="33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23"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71"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83" w:hRule="exact"/>
        </w:trPr>
        <w:tc>
          <w:tcPr>
            <w:tcW w:w="33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职工薪酬及福利</w:t>
            </w:r>
          </w:p>
        </w:tc>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1,715,521,384</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1,495,618,769</w:t>
            </w:r>
          </w:p>
        </w:tc>
      </w:tr>
      <w:tr>
        <w:trPr>
          <w:trHeight w:val="281" w:hRule="exact"/>
        </w:trPr>
        <w:tc>
          <w:tcPr>
            <w:tcW w:w="33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业务宣传费</w:t>
            </w:r>
          </w:p>
        </w:tc>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19,388,947</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19,759,753</w:t>
            </w:r>
          </w:p>
        </w:tc>
      </w:tr>
      <w:tr>
        <w:trPr>
          <w:trHeight w:val="284" w:hRule="exact"/>
        </w:trPr>
        <w:tc>
          <w:tcPr>
            <w:tcW w:w="33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24,921,943</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26,025,135</w:t>
            </w:r>
          </w:p>
        </w:tc>
      </w:tr>
      <w:tr>
        <w:trPr>
          <w:trHeight w:val="283" w:hRule="exact"/>
        </w:trPr>
        <w:tc>
          <w:tcPr>
            <w:tcW w:w="33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77,840,154</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66,967,148</w:t>
            </w:r>
          </w:p>
        </w:tc>
      </w:tr>
      <w:tr>
        <w:trPr>
          <w:trHeight w:val="281" w:hRule="exact"/>
        </w:trPr>
        <w:tc>
          <w:tcPr>
            <w:tcW w:w="33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咨询服务费</w:t>
            </w:r>
          </w:p>
        </w:tc>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86,936,009</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71,116,113</w:t>
            </w:r>
          </w:p>
        </w:tc>
      </w:tr>
    </w:tbl>
    <w:p>
      <w:pPr>
        <w:spacing w:after="0" w:line="241" w:lineRule="exact"/>
        <w:jc w:val="right"/>
        <w:rPr>
          <w:rFonts w:ascii="宋体" w:hAnsi="宋体" w:cs="宋体" w:eastAsia="宋体" w:hint="default"/>
          <w:sz w:val="21"/>
          <w:szCs w:val="21"/>
        </w:rPr>
        <w:sectPr>
          <w:type w:val="continuous"/>
          <w:pgSz w:w="11910" w:h="16840"/>
          <w:pgMar w:top="1320" w:bottom="1380" w:left="1580" w:right="1040"/>
        </w:sectPr>
      </w:pPr>
    </w:p>
    <w:p>
      <w:pPr>
        <w:spacing w:line="240" w:lineRule="auto" w:before="6"/>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3339"/>
        <w:gridCol w:w="2909"/>
        <w:gridCol w:w="2801"/>
      </w:tblGrid>
      <w:tr>
        <w:trPr>
          <w:trHeight w:val="284" w:hRule="exact"/>
        </w:trPr>
        <w:tc>
          <w:tcPr>
            <w:tcW w:w="3339"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8"/>
              <w:jc w:val="right"/>
              <w:rPr>
                <w:rFonts w:ascii="宋体" w:hAnsi="宋体" w:cs="宋体" w:eastAsia="宋体" w:hint="default"/>
                <w:sz w:val="21"/>
                <w:szCs w:val="21"/>
              </w:rPr>
            </w:pPr>
            <w:r>
              <w:rPr>
                <w:rFonts w:ascii="宋体"/>
                <w:spacing w:val="-1"/>
                <w:sz w:val="21"/>
              </w:rPr>
              <w:t>50,169,149</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6"/>
              <w:jc w:val="right"/>
              <w:rPr>
                <w:rFonts w:ascii="宋体" w:hAnsi="宋体" w:cs="宋体" w:eastAsia="宋体" w:hint="default"/>
                <w:sz w:val="21"/>
                <w:szCs w:val="21"/>
              </w:rPr>
            </w:pPr>
            <w:r>
              <w:rPr>
                <w:rFonts w:ascii="宋体"/>
                <w:spacing w:val="-1"/>
                <w:sz w:val="21"/>
              </w:rPr>
              <w:t>45,348,403</w:t>
            </w:r>
          </w:p>
        </w:tc>
      </w:tr>
      <w:tr>
        <w:trPr>
          <w:trHeight w:val="283" w:hRule="exact"/>
        </w:trPr>
        <w:tc>
          <w:tcPr>
            <w:tcW w:w="33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折旧及摊销</w:t>
            </w:r>
          </w:p>
        </w:tc>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176,772,537</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149,073,936</w:t>
            </w:r>
          </w:p>
        </w:tc>
      </w:tr>
      <w:tr>
        <w:trPr>
          <w:trHeight w:val="281" w:hRule="exact"/>
        </w:trPr>
        <w:tc>
          <w:tcPr>
            <w:tcW w:w="33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租赁费及物业管理费</w:t>
            </w:r>
          </w:p>
        </w:tc>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144,866,410</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126,887,174</w:t>
            </w:r>
          </w:p>
        </w:tc>
      </w:tr>
      <w:tr>
        <w:trPr>
          <w:trHeight w:val="283" w:hRule="exact"/>
        </w:trPr>
        <w:tc>
          <w:tcPr>
            <w:tcW w:w="333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37,767,545</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30,127,840</w:t>
            </w:r>
          </w:p>
        </w:tc>
      </w:tr>
      <w:tr>
        <w:trPr>
          <w:trHeight w:val="283" w:hRule="exact"/>
        </w:trPr>
        <w:tc>
          <w:tcPr>
            <w:tcW w:w="3339" w:type="dxa"/>
            <w:tcBorders>
              <w:top w:val="single" w:sz="4" w:space="0" w:color="000000"/>
              <w:left w:val="single" w:sz="4" w:space="0" w:color="000000"/>
              <w:bottom w:val="single" w:sz="4" w:space="0" w:color="000000"/>
              <w:right w:val="single" w:sz="4" w:space="0" w:color="000000"/>
            </w:tcBorders>
          </w:tcPr>
          <w:p>
            <w:pPr/>
          </w:p>
        </w:tc>
        <w:tc>
          <w:tcPr>
            <w:tcW w:w="2909" w:type="dxa"/>
            <w:tcBorders>
              <w:top w:val="single" w:sz="4" w:space="0" w:color="000000"/>
              <w:left w:val="single" w:sz="4" w:space="0" w:color="000000"/>
              <w:bottom w:val="single" w:sz="4" w:space="0" w:color="000000"/>
              <w:right w:val="single" w:sz="4" w:space="0" w:color="000000"/>
            </w:tcBorders>
          </w:tcPr>
          <w:p>
            <w:pPr/>
          </w:p>
        </w:tc>
        <w:tc>
          <w:tcPr>
            <w:tcW w:w="2801"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339" w:type="dxa"/>
            <w:tcBorders>
              <w:top w:val="single" w:sz="4" w:space="0" w:color="000000"/>
              <w:left w:val="single" w:sz="4" w:space="0" w:color="000000"/>
              <w:bottom w:val="single" w:sz="4" w:space="0" w:color="000000"/>
              <w:right w:val="single" w:sz="4" w:space="0" w:color="000000"/>
            </w:tcBorders>
          </w:tcPr>
          <w:p>
            <w:pPr/>
          </w:p>
        </w:tc>
        <w:tc>
          <w:tcPr>
            <w:tcW w:w="2909" w:type="dxa"/>
            <w:tcBorders>
              <w:top w:val="single" w:sz="4" w:space="0" w:color="000000"/>
              <w:left w:val="single" w:sz="4" w:space="0" w:color="000000"/>
              <w:bottom w:val="single" w:sz="4" w:space="0" w:color="000000"/>
              <w:right w:val="single" w:sz="4" w:space="0" w:color="000000"/>
            </w:tcBorders>
          </w:tcPr>
          <w:p>
            <w:pPr/>
          </w:p>
        </w:tc>
        <w:tc>
          <w:tcPr>
            <w:tcW w:w="280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3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2,334,184,078</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2,030,924,271</w:t>
            </w:r>
          </w:p>
        </w:tc>
      </w:tr>
    </w:tbl>
    <w:p>
      <w:pPr>
        <w:spacing w:line="240" w:lineRule="auto" w:before="2"/>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57" w:footer="1195" w:top="1320" w:bottom="1380" w:left="1580" w:right="1040"/>
        </w:sectPr>
      </w:pPr>
    </w:p>
    <w:p>
      <w:pPr>
        <w:pStyle w:val="Heading3"/>
        <w:spacing w:line="240" w:lineRule="auto" w:before="36"/>
        <w:ind w:right="-18"/>
        <w:jc w:val="left"/>
        <w:rPr>
          <w:b w:val="0"/>
          <w:bCs w:val="0"/>
        </w:rPr>
      </w:pPr>
      <w:r>
        <w:rPr>
          <w:rFonts w:ascii="宋体" w:hAnsi="宋体" w:cs="宋体" w:eastAsia="宋体" w:hint="default"/>
        </w:rPr>
        <w:t>65</w:t>
      </w:r>
      <w:r>
        <w:rPr/>
        <w:t>、</w:t>
      </w:r>
      <w:r>
        <w:rPr>
          <w:spacing w:val="-25"/>
        </w:rPr>
        <w:t> </w:t>
      </w:r>
      <w:r>
        <w:rPr/>
        <w:t>财务费用</w:t>
      </w:r>
      <w:r>
        <w:rPr>
          <w:b w:val="0"/>
          <w:bCs w:val="0"/>
        </w:rPr>
      </w:r>
    </w:p>
    <w:p>
      <w:pPr>
        <w:pStyle w:val="BodyText"/>
        <w:spacing w:line="240" w:lineRule="auto" w:before="56"/>
        <w:ind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1795" w:space="4938"/>
            <w:col w:w="2557"/>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4006"/>
        <w:gridCol w:w="2604"/>
        <w:gridCol w:w="2439"/>
      </w:tblGrid>
      <w:tr>
        <w:trPr>
          <w:trHeight w:val="284" w:hRule="exact"/>
        </w:trPr>
        <w:tc>
          <w:tcPr>
            <w:tcW w:w="40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70"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89"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81" w:hRule="exact"/>
        </w:trPr>
        <w:tc>
          <w:tcPr>
            <w:tcW w:w="40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158,920,531</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91,316,777</w:t>
            </w:r>
          </w:p>
        </w:tc>
      </w:tr>
      <w:tr>
        <w:trPr>
          <w:trHeight w:val="283" w:hRule="exact"/>
        </w:trPr>
        <w:tc>
          <w:tcPr>
            <w:tcW w:w="40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减：利息收入</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-53,857,458</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-38,885,355</w:t>
            </w:r>
          </w:p>
        </w:tc>
      </w:tr>
      <w:tr>
        <w:trPr>
          <w:trHeight w:val="283" w:hRule="exact"/>
        </w:trPr>
        <w:tc>
          <w:tcPr>
            <w:tcW w:w="40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减：利息资本化金额</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-21,659,593</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-20,060,864</w:t>
            </w:r>
          </w:p>
        </w:tc>
      </w:tr>
      <w:tr>
        <w:trPr>
          <w:trHeight w:val="281" w:hRule="exact"/>
        </w:trPr>
        <w:tc>
          <w:tcPr>
            <w:tcW w:w="40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汇兑损失</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77,110,578</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34,630,252</w:t>
            </w:r>
          </w:p>
        </w:tc>
      </w:tr>
      <w:tr>
        <w:trPr>
          <w:trHeight w:val="283" w:hRule="exact"/>
        </w:trPr>
        <w:tc>
          <w:tcPr>
            <w:tcW w:w="40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8,411,613</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9,146,981</w:t>
            </w:r>
          </w:p>
        </w:tc>
      </w:tr>
      <w:tr>
        <w:trPr>
          <w:trHeight w:val="283" w:hRule="exact"/>
        </w:trPr>
        <w:tc>
          <w:tcPr>
            <w:tcW w:w="40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168,925,671</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76,147,791</w:t>
            </w:r>
          </w:p>
        </w:tc>
      </w:tr>
    </w:tbl>
    <w:p>
      <w:pPr>
        <w:spacing w:line="240" w:lineRule="auto" w:before="12"/>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type w:val="continuous"/>
          <w:pgSz w:w="11910" w:h="16840"/>
          <w:pgMar w:top="1320" w:bottom="1380" w:left="1580" w:right="1040"/>
        </w:sectPr>
      </w:pPr>
    </w:p>
    <w:p>
      <w:pPr>
        <w:pStyle w:val="Heading3"/>
        <w:spacing w:line="240" w:lineRule="auto" w:before="36"/>
        <w:ind w:right="-18"/>
        <w:jc w:val="left"/>
        <w:rPr>
          <w:b w:val="0"/>
          <w:bCs w:val="0"/>
        </w:rPr>
      </w:pPr>
      <w:r>
        <w:rPr>
          <w:rFonts w:ascii="宋体" w:hAnsi="宋体" w:cs="宋体" w:eastAsia="宋体" w:hint="default"/>
        </w:rPr>
        <w:t>66</w:t>
      </w:r>
      <w:r>
        <w:rPr/>
        <w:t>、</w:t>
      </w:r>
      <w:r>
        <w:rPr>
          <w:spacing w:val="-24"/>
        </w:rPr>
        <w:t> </w:t>
      </w:r>
      <w:r>
        <w:rPr/>
        <w:t>资产减值损失</w:t>
      </w:r>
      <w:r>
        <w:rPr>
          <w:b w:val="0"/>
          <w:bCs w:val="0"/>
        </w:rPr>
      </w:r>
    </w:p>
    <w:p>
      <w:pPr>
        <w:pStyle w:val="BodyText"/>
        <w:spacing w:line="240" w:lineRule="auto" w:before="58"/>
        <w:ind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1990" w:space="4743"/>
            <w:col w:w="2557"/>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399"/>
        <w:gridCol w:w="2573"/>
        <w:gridCol w:w="3077"/>
      </w:tblGrid>
      <w:tr>
        <w:trPr>
          <w:trHeight w:val="281"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56"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8"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一、坏账损失</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221,064,946</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108,257,793</w:t>
            </w:r>
          </w:p>
        </w:tc>
      </w:tr>
      <w:tr>
        <w:trPr>
          <w:trHeight w:val="281"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二、存货跌价损失</w:t>
            </w: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三、可供出售金融资产减值损失</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5,300,000</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10,680,500</w:t>
            </w: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四、持有至到期投资减值损失</w:t>
            </w: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五、长期股权投资减值损失</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2,565,082</w:t>
            </w: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六、投资性房地产减值损失</w:t>
            </w: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七、固定资产减值损失</w:t>
            </w: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八、工程物资减值损失</w:t>
            </w: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九、在建工程减值损失</w:t>
            </w: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十、生产性生物资产减值损失</w:t>
            </w: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十一、油气资产减值损失</w:t>
            </w: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十二、无形资产减值损失</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9,819,208</w:t>
            </w: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十三、商誉减值损失</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44,761,976</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772,800</w:t>
            </w:r>
          </w:p>
        </w:tc>
      </w:tr>
      <w:tr>
        <w:trPr>
          <w:trHeight w:val="281"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十四、其他</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15,653,187</w:t>
            </w: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299,164,399</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119,711,093</w:t>
            </w:r>
          </w:p>
        </w:tc>
      </w:tr>
    </w:tbl>
    <w:p>
      <w:pPr>
        <w:spacing w:line="240" w:lineRule="auto" w:before="7"/>
        <w:rPr>
          <w:rFonts w:ascii="宋体" w:hAnsi="宋体" w:cs="宋体" w:eastAsia="宋体" w:hint="default"/>
          <w:sz w:val="24"/>
          <w:szCs w:val="24"/>
        </w:rPr>
      </w:pPr>
    </w:p>
    <w:p>
      <w:pPr>
        <w:pStyle w:val="Heading3"/>
        <w:spacing w:line="240" w:lineRule="auto" w:before="36"/>
        <w:ind w:right="99"/>
        <w:jc w:val="left"/>
        <w:rPr>
          <w:b w:val="0"/>
          <w:bCs w:val="0"/>
        </w:rPr>
      </w:pPr>
      <w:r>
        <w:rPr>
          <w:rFonts w:ascii="宋体" w:hAnsi="宋体" w:cs="宋体" w:eastAsia="宋体" w:hint="default"/>
        </w:rPr>
        <w:t>67</w:t>
      </w:r>
      <w:r>
        <w:rPr/>
        <w:t>、</w:t>
      </w:r>
      <w:r>
        <w:rPr>
          <w:spacing w:val="-24"/>
        </w:rPr>
        <w:t> </w:t>
      </w:r>
      <w:r>
        <w:rPr/>
        <w:t>公允价值变动收益</w:t>
      </w:r>
      <w:r>
        <w:rPr>
          <w:b w:val="0"/>
          <w:bCs w:val="0"/>
        </w:rPr>
      </w:r>
    </w:p>
    <w:p>
      <w:pPr>
        <w:pStyle w:val="BodyText"/>
        <w:spacing w:line="240" w:lineRule="auto" w:before="58"/>
        <w:ind w:right="99"/>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320" w:bottom="1380" w:left="1580" w:right="1040"/>
        </w:sectPr>
      </w:pPr>
    </w:p>
    <w:p>
      <w:pPr>
        <w:pStyle w:val="Heading3"/>
        <w:spacing w:line="240" w:lineRule="auto" w:before="36"/>
        <w:ind w:right="-18"/>
        <w:jc w:val="left"/>
        <w:rPr>
          <w:b w:val="0"/>
          <w:bCs w:val="0"/>
        </w:rPr>
      </w:pPr>
      <w:r>
        <w:rPr>
          <w:rFonts w:ascii="宋体" w:hAnsi="宋体" w:cs="宋体" w:eastAsia="宋体" w:hint="default"/>
        </w:rPr>
        <w:t>68</w:t>
      </w:r>
      <w:r>
        <w:rPr/>
        <w:t>、</w:t>
      </w:r>
      <w:r>
        <w:rPr>
          <w:spacing w:val="-25"/>
        </w:rPr>
        <w:t> </w:t>
      </w:r>
      <w:r>
        <w:rPr/>
        <w:t>投资收益</w:t>
      </w:r>
      <w:r>
        <w:rPr>
          <w:b w:val="0"/>
          <w:bCs w:val="0"/>
        </w:rPr>
      </w:r>
    </w:p>
    <w:p>
      <w:pPr>
        <w:pStyle w:val="BodyText"/>
        <w:spacing w:line="240" w:lineRule="auto" w:before="59"/>
        <w:ind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9"/>
          <w:szCs w:val="29"/>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1795" w:space="4938"/>
            <w:col w:w="2557"/>
          </w:cols>
        </w:sectPr>
      </w:pPr>
    </w:p>
    <w:p>
      <w:pPr>
        <w:spacing w:line="240" w:lineRule="auto" w:before="6"/>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3399"/>
        <w:gridCol w:w="2573"/>
        <w:gridCol w:w="3077"/>
      </w:tblGrid>
      <w:tr>
        <w:trPr>
          <w:trHeight w:val="284"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756"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08"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权益法核算的长期股权投资收益</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-13,850,998</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4,827,064</w:t>
            </w:r>
          </w:p>
        </w:tc>
      </w:tr>
      <w:tr>
        <w:trPr>
          <w:trHeight w:val="281"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处置长期股权投资产生的投资收益</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4,634,265</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12,558,089</w:t>
            </w:r>
          </w:p>
        </w:tc>
      </w:tr>
      <w:tr>
        <w:trPr>
          <w:trHeight w:val="828"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以公允价值计量且其变动计入当期</w:t>
            </w:r>
          </w:p>
          <w:p>
            <w:pPr>
              <w:pStyle w:val="TableParagraph"/>
              <w:spacing w:line="272" w:lineRule="exact" w:before="26"/>
              <w:ind w:left="103" w:right="130"/>
              <w:jc w:val="left"/>
              <w:rPr>
                <w:rFonts w:ascii="宋体" w:hAnsi="宋体" w:cs="宋体" w:eastAsia="宋体" w:hint="default"/>
                <w:sz w:val="21"/>
                <w:szCs w:val="21"/>
              </w:rPr>
            </w:pPr>
            <w:r>
              <w:rPr>
                <w:rFonts w:ascii="宋体" w:hAnsi="宋体" w:cs="宋体" w:eastAsia="宋体" w:hint="default"/>
                <w:spacing w:val="-2"/>
                <w:sz w:val="21"/>
                <w:szCs w:val="21"/>
              </w:rPr>
              <w:t>损益的金融资产在持有期间的投资</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收益</w:t>
            </w: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828"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处置以公允价值计量且其变动计入</w:t>
            </w:r>
          </w:p>
          <w:p>
            <w:pPr>
              <w:pStyle w:val="TableParagraph"/>
              <w:spacing w:line="272" w:lineRule="exact" w:before="27"/>
              <w:ind w:left="103" w:right="130"/>
              <w:jc w:val="left"/>
              <w:rPr>
                <w:rFonts w:ascii="宋体" w:hAnsi="宋体" w:cs="宋体" w:eastAsia="宋体" w:hint="default"/>
                <w:sz w:val="21"/>
                <w:szCs w:val="21"/>
              </w:rPr>
            </w:pPr>
            <w:r>
              <w:rPr>
                <w:rFonts w:ascii="宋体" w:hAnsi="宋体" w:cs="宋体" w:eastAsia="宋体" w:hint="default"/>
                <w:spacing w:val="-2"/>
                <w:sz w:val="21"/>
                <w:szCs w:val="21"/>
              </w:rPr>
              <w:t>当期损益的金融资产取得的投资收</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益</w:t>
            </w: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持有至到期投资在持有期间的投资</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收益</w:t>
            </w: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555"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可供出售金融资产等取得的投资收</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益</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884,692</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537,260</w:t>
            </w:r>
          </w:p>
        </w:tc>
      </w:tr>
      <w:tr>
        <w:trPr>
          <w:trHeight w:val="554"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处置可供出售金融资产取得的投资</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收益</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7,013,021</w:t>
            </w: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丧失控制权后，剩余股权按公允价</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值重新计量产生的利得</w:t>
            </w: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金融资产在持有期间取得的投资收</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益</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72,953,716</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33,595,421</w:t>
            </w: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71,634,696</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51,517,834</w:t>
            </w:r>
          </w:p>
        </w:tc>
      </w:tr>
    </w:tbl>
    <w:p>
      <w:pPr>
        <w:spacing w:line="240" w:lineRule="auto" w:before="12"/>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pgSz w:w="11910" w:h="16840"/>
          <w:pgMar w:header="857" w:footer="1195" w:top="1320" w:bottom="1380" w:left="1580" w:right="1040"/>
        </w:sectPr>
      </w:pPr>
    </w:p>
    <w:p>
      <w:pPr>
        <w:spacing w:line="292" w:lineRule="auto" w:before="36"/>
        <w:ind w:left="218" w:right="105" w:firstLine="0"/>
        <w:jc w:val="left"/>
        <w:rPr>
          <w:rFonts w:ascii="宋体" w:hAnsi="宋体" w:cs="宋体" w:eastAsia="宋体" w:hint="default"/>
          <w:sz w:val="21"/>
          <w:szCs w:val="21"/>
        </w:rPr>
      </w:pPr>
      <w:r>
        <w:rPr>
          <w:rFonts w:ascii="宋体" w:hAnsi="宋体" w:cs="宋体" w:eastAsia="宋体" w:hint="default"/>
          <w:b/>
          <w:bCs/>
          <w:sz w:val="21"/>
          <w:szCs w:val="21"/>
        </w:rPr>
        <w:t>69</w:t>
      </w:r>
      <w:r>
        <w:rPr>
          <w:rFonts w:ascii="宋体" w:hAnsi="宋体" w:cs="宋体" w:eastAsia="宋体" w:hint="default"/>
          <w:b/>
          <w:bCs/>
          <w:sz w:val="21"/>
          <w:szCs w:val="21"/>
        </w:rPr>
        <w:t>、</w:t>
      </w:r>
      <w:r>
        <w:rPr>
          <w:rFonts w:ascii="宋体" w:hAnsi="宋体" w:cs="宋体" w:eastAsia="宋体" w:hint="default"/>
          <w:b/>
          <w:bCs/>
          <w:spacing w:val="-25"/>
          <w:sz w:val="21"/>
          <w:szCs w:val="21"/>
        </w:rPr>
        <w:t> </w:t>
      </w:r>
      <w:r>
        <w:rPr>
          <w:rFonts w:ascii="宋体" w:hAnsi="宋体" w:cs="宋体" w:eastAsia="宋体" w:hint="default"/>
          <w:b/>
          <w:bCs/>
          <w:sz w:val="21"/>
          <w:szCs w:val="21"/>
        </w:rPr>
        <w:t>营业外收入</w:t>
      </w:r>
      <w:r>
        <w:rPr>
          <w:rFonts w:ascii="宋体" w:hAnsi="宋体" w:cs="宋体" w:eastAsia="宋体" w:hint="default"/>
          <w:b/>
          <w:bCs/>
          <w:w w:val="100"/>
          <w:sz w:val="21"/>
          <w:szCs w:val="21"/>
        </w:rPr>
        <w:t> </w:t>
      </w:r>
      <w:r>
        <w:rPr>
          <w:rFonts w:ascii="宋体" w:hAnsi="宋体" w:cs="宋体" w:eastAsia="宋体" w:hint="default"/>
          <w:sz w:val="21"/>
          <w:szCs w:val="21"/>
        </w:rPr>
        <w:t>营业外收入情况</w:t>
      </w:r>
    </w:p>
    <w:p>
      <w:pPr>
        <w:pStyle w:val="BodyText"/>
        <w:tabs>
          <w:tab w:pos="1060" w:val="left" w:leader="none"/>
        </w:tabs>
        <w:spacing w:line="225" w:lineRule="exact"/>
        <w:ind w:right="-12"/>
        <w:jc w:val="left"/>
      </w:pPr>
      <w:r>
        <w:rPr>
          <w:spacing w:val="-1"/>
        </w:rPr>
        <w:t>√适用</w:t>
        <w:tab/>
      </w:r>
      <w:r>
        <w:rPr>
          <w:spacing w:val="-2"/>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9"/>
          <w:szCs w:val="29"/>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1901" w:space="4832"/>
            <w:col w:w="2557"/>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112"/>
        <w:gridCol w:w="2304"/>
        <w:gridCol w:w="2316"/>
        <w:gridCol w:w="2317"/>
      </w:tblGrid>
      <w:tr>
        <w:trPr>
          <w:trHeight w:val="554"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619"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626" w:right="0"/>
              <w:jc w:val="left"/>
              <w:rPr>
                <w:rFonts w:ascii="宋体" w:hAnsi="宋体" w:cs="宋体" w:eastAsia="宋体" w:hint="default"/>
                <w:sz w:val="21"/>
                <w:szCs w:val="21"/>
              </w:rPr>
            </w:pPr>
            <w:r>
              <w:rPr>
                <w:rFonts w:ascii="宋体" w:hAnsi="宋体" w:cs="宋体" w:eastAsia="宋体" w:hint="default"/>
                <w:sz w:val="21"/>
                <w:szCs w:val="21"/>
              </w:rPr>
              <w:t>上期发生额</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 w:right="0"/>
              <w:jc w:val="center"/>
              <w:rPr>
                <w:rFonts w:ascii="宋体" w:hAnsi="宋体" w:cs="宋体" w:eastAsia="宋体" w:hint="default"/>
                <w:sz w:val="21"/>
                <w:szCs w:val="21"/>
              </w:rPr>
            </w:pPr>
            <w:r>
              <w:rPr>
                <w:rFonts w:ascii="宋体" w:hAnsi="宋体" w:cs="宋体" w:eastAsia="宋体" w:hint="default"/>
                <w:sz w:val="21"/>
                <w:szCs w:val="21"/>
              </w:rPr>
              <w:t>计入当期非经常性损益</w:t>
            </w:r>
          </w:p>
          <w:p>
            <w:pPr>
              <w:pStyle w:val="TableParagraph"/>
              <w:spacing w:line="274" w:lineRule="exact"/>
              <w:ind w:left="3" w:right="0"/>
              <w:jc w:val="center"/>
              <w:rPr>
                <w:rFonts w:ascii="宋体" w:hAnsi="宋体" w:cs="宋体" w:eastAsia="宋体" w:hint="default"/>
                <w:sz w:val="21"/>
                <w:szCs w:val="21"/>
              </w:rPr>
            </w:pPr>
            <w:r>
              <w:rPr>
                <w:rFonts w:ascii="宋体" w:hAnsi="宋体" w:cs="宋体" w:eastAsia="宋体" w:hint="default"/>
                <w:sz w:val="21"/>
                <w:szCs w:val="21"/>
              </w:rPr>
              <w:t>的金额</w:t>
            </w:r>
          </w:p>
        </w:tc>
      </w:tr>
      <w:tr>
        <w:trPr>
          <w:trHeight w:val="554"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非流动资产处置利得</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304" w:type="dxa"/>
            <w:tcBorders>
              <w:top w:val="single" w:sz="4" w:space="0" w:color="000000"/>
              <w:left w:val="single" w:sz="4" w:space="0" w:color="000000"/>
              <w:bottom w:val="single" w:sz="4" w:space="0" w:color="000000"/>
              <w:right w:val="single" w:sz="4" w:space="0" w:color="000000"/>
            </w:tcBorders>
          </w:tcPr>
          <w:p>
            <w:pPr/>
          </w:p>
        </w:tc>
        <w:tc>
          <w:tcPr>
            <w:tcW w:w="2316"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其中：固定资产处置</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利得</w:t>
            </w:r>
          </w:p>
        </w:tc>
        <w:tc>
          <w:tcPr>
            <w:tcW w:w="2304" w:type="dxa"/>
            <w:tcBorders>
              <w:top w:val="single" w:sz="4" w:space="0" w:color="000000"/>
              <w:left w:val="single" w:sz="4" w:space="0" w:color="000000"/>
              <w:bottom w:val="single" w:sz="4" w:space="0" w:color="000000"/>
              <w:right w:val="single" w:sz="4" w:space="0" w:color="000000"/>
            </w:tcBorders>
          </w:tcPr>
          <w:p>
            <w:pPr/>
          </w:p>
        </w:tc>
        <w:tc>
          <w:tcPr>
            <w:tcW w:w="2316"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无形资产处置</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利得</w:t>
            </w:r>
          </w:p>
        </w:tc>
        <w:tc>
          <w:tcPr>
            <w:tcW w:w="2304" w:type="dxa"/>
            <w:tcBorders>
              <w:top w:val="single" w:sz="4" w:space="0" w:color="000000"/>
              <w:left w:val="single" w:sz="4" w:space="0" w:color="000000"/>
              <w:bottom w:val="single" w:sz="4" w:space="0" w:color="000000"/>
              <w:right w:val="single" w:sz="4" w:space="0" w:color="000000"/>
            </w:tcBorders>
          </w:tcPr>
          <w:p>
            <w:pPr/>
          </w:p>
        </w:tc>
        <w:tc>
          <w:tcPr>
            <w:tcW w:w="2316"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债务重组利得</w:t>
            </w:r>
          </w:p>
        </w:tc>
        <w:tc>
          <w:tcPr>
            <w:tcW w:w="2304" w:type="dxa"/>
            <w:tcBorders>
              <w:top w:val="single" w:sz="4" w:space="0" w:color="000000"/>
              <w:left w:val="single" w:sz="4" w:space="0" w:color="000000"/>
              <w:bottom w:val="single" w:sz="4" w:space="0" w:color="000000"/>
              <w:right w:val="single" w:sz="4" w:space="0" w:color="000000"/>
            </w:tcBorders>
          </w:tcPr>
          <w:p>
            <w:pPr/>
          </w:p>
        </w:tc>
        <w:tc>
          <w:tcPr>
            <w:tcW w:w="2316"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555"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非货币性资产交换利</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得</w:t>
            </w:r>
          </w:p>
        </w:tc>
        <w:tc>
          <w:tcPr>
            <w:tcW w:w="2304" w:type="dxa"/>
            <w:tcBorders>
              <w:top w:val="single" w:sz="4" w:space="0" w:color="000000"/>
              <w:left w:val="single" w:sz="4" w:space="0" w:color="000000"/>
              <w:bottom w:val="single" w:sz="4" w:space="0" w:color="000000"/>
              <w:right w:val="single" w:sz="4" w:space="0" w:color="000000"/>
            </w:tcBorders>
          </w:tcPr>
          <w:p>
            <w:pPr/>
          </w:p>
        </w:tc>
        <w:tc>
          <w:tcPr>
            <w:tcW w:w="2316"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接受捐赠</w:t>
            </w:r>
          </w:p>
        </w:tc>
        <w:tc>
          <w:tcPr>
            <w:tcW w:w="2304" w:type="dxa"/>
            <w:tcBorders>
              <w:top w:val="single" w:sz="4" w:space="0" w:color="000000"/>
              <w:left w:val="single" w:sz="4" w:space="0" w:color="000000"/>
              <w:bottom w:val="single" w:sz="4" w:space="0" w:color="000000"/>
              <w:right w:val="single" w:sz="4" w:space="0" w:color="000000"/>
            </w:tcBorders>
          </w:tcPr>
          <w:p>
            <w:pPr/>
          </w:p>
        </w:tc>
        <w:tc>
          <w:tcPr>
            <w:tcW w:w="2316"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2304" w:type="dxa"/>
            <w:tcBorders>
              <w:top w:val="single" w:sz="4" w:space="0" w:color="000000"/>
              <w:left w:val="single" w:sz="4" w:space="0" w:color="000000"/>
              <w:bottom w:val="single" w:sz="4" w:space="0" w:color="000000"/>
              <w:right w:val="single" w:sz="4" w:space="0" w:color="000000"/>
            </w:tcBorders>
          </w:tcPr>
          <w:p>
            <w:pPr/>
          </w:p>
        </w:tc>
        <w:tc>
          <w:tcPr>
            <w:tcW w:w="2316"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增值税退税返还</w:t>
            </w:r>
          </w:p>
        </w:tc>
        <w:tc>
          <w:tcPr>
            <w:tcW w:w="2304" w:type="dxa"/>
            <w:tcBorders>
              <w:top w:val="single" w:sz="4" w:space="0" w:color="000000"/>
              <w:left w:val="single" w:sz="4" w:space="0" w:color="000000"/>
              <w:bottom w:val="single" w:sz="4" w:space="0" w:color="000000"/>
              <w:right w:val="single" w:sz="4" w:space="0" w:color="000000"/>
            </w:tcBorders>
          </w:tcPr>
          <w:p>
            <w:pP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289,608,232</w:t>
            </w: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与日常经营活动无关</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的政府补助</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8,423,096</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62,903,262</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8,423,096</w:t>
            </w:r>
          </w:p>
        </w:tc>
      </w:tr>
      <w:tr>
        <w:trPr>
          <w:trHeight w:val="283"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罚款净收入</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34,781</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133,456</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34,781</w:t>
            </w:r>
          </w:p>
        </w:tc>
      </w:tr>
      <w:tr>
        <w:trPr>
          <w:trHeight w:val="283"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9,249,517</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8,609,778</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9,249,517</w:t>
            </w:r>
          </w:p>
        </w:tc>
      </w:tr>
      <w:tr>
        <w:trPr>
          <w:trHeight w:val="281"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17,707,394</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361,254,728</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17,707,394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BodyText"/>
        <w:spacing w:line="240" w:lineRule="auto" w:before="36"/>
        <w:ind w:right="99"/>
        <w:jc w:val="left"/>
      </w:pPr>
      <w:r>
        <w:rPr/>
        <w:t>计入当期损益的政府补助</w:t>
      </w:r>
    </w:p>
    <w:p>
      <w:pPr>
        <w:spacing w:after="0" w:line="240" w:lineRule="auto"/>
        <w:jc w:val="left"/>
        <w:sectPr>
          <w:type w:val="continuous"/>
          <w:pgSz w:w="11910" w:h="16840"/>
          <w:pgMar w:top="1320" w:bottom="1380" w:left="1580" w:right="1040"/>
        </w:sectPr>
      </w:pPr>
    </w:p>
    <w:p>
      <w:pPr>
        <w:spacing w:line="240" w:lineRule="auto" w:before="2"/>
        <w:rPr>
          <w:rFonts w:ascii="宋体" w:hAnsi="宋体" w:cs="宋体" w:eastAsia="宋体" w:hint="default"/>
          <w:sz w:val="9"/>
          <w:szCs w:val="9"/>
        </w:rPr>
      </w:pPr>
    </w:p>
    <w:p>
      <w:pPr>
        <w:pStyle w:val="BodyText"/>
        <w:spacing w:line="274" w:lineRule="exact" w:before="36"/>
        <w:ind w:right="99"/>
        <w:jc w:val="left"/>
      </w:pPr>
      <w:r>
        <w:rPr/>
        <w:t>√适用</w:t>
      </w:r>
      <w:r>
        <w:rPr>
          <w:spacing w:val="-1"/>
        </w:rPr>
        <w:t> </w:t>
      </w:r>
      <w:r>
        <w:rPr/>
        <w:t>□不适用</w:t>
      </w:r>
    </w:p>
    <w:p>
      <w:pPr>
        <w:pStyle w:val="BodyText"/>
        <w:spacing w:line="274" w:lineRule="exact"/>
        <w:ind w:left="0" w:right="230"/>
        <w:jc w:val="right"/>
      </w:pPr>
      <w:r>
        <w:rPr>
          <w:spacing w:val="-2"/>
        </w:rPr>
        <w:t>单位：元币种：人民币</w:t>
      </w:r>
    </w:p>
    <w:p>
      <w:pPr>
        <w:spacing w:line="240" w:lineRule="auto" w:before="4"/>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3569"/>
        <w:gridCol w:w="1431"/>
        <w:gridCol w:w="1428"/>
        <w:gridCol w:w="2468"/>
      </w:tblGrid>
      <w:tr>
        <w:trPr>
          <w:trHeight w:val="566" w:hRule="exact"/>
        </w:trPr>
        <w:tc>
          <w:tcPr>
            <w:tcW w:w="3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4" w:right="0"/>
              <w:jc w:val="center"/>
              <w:rPr>
                <w:rFonts w:ascii="宋体" w:hAnsi="宋体" w:cs="宋体" w:eastAsia="宋体" w:hint="default"/>
                <w:sz w:val="21"/>
                <w:szCs w:val="21"/>
              </w:rPr>
            </w:pPr>
            <w:r>
              <w:rPr>
                <w:rFonts w:ascii="宋体" w:hAnsi="宋体" w:cs="宋体" w:eastAsia="宋体" w:hint="default"/>
                <w:sz w:val="21"/>
                <w:szCs w:val="21"/>
              </w:rPr>
              <w:t>补助项目</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77"/>
              <w:jc w:val="right"/>
              <w:rPr>
                <w:rFonts w:ascii="宋体" w:hAnsi="宋体" w:cs="宋体" w:eastAsia="宋体" w:hint="default"/>
                <w:sz w:val="21"/>
                <w:szCs w:val="21"/>
              </w:rPr>
            </w:pPr>
            <w:r>
              <w:rPr>
                <w:rFonts w:ascii="宋体" w:hAnsi="宋体" w:cs="宋体" w:eastAsia="宋体" w:hint="default"/>
                <w:spacing w:val="-1"/>
                <w:sz w:val="21"/>
                <w:szCs w:val="21"/>
              </w:rPr>
              <w:t>本期发生金额</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76" w:right="0"/>
              <w:jc w:val="left"/>
              <w:rPr>
                <w:rFonts w:ascii="宋体" w:hAnsi="宋体" w:cs="宋体" w:eastAsia="宋体" w:hint="default"/>
                <w:sz w:val="21"/>
                <w:szCs w:val="21"/>
              </w:rPr>
            </w:pPr>
            <w:r>
              <w:rPr>
                <w:rFonts w:ascii="宋体" w:hAnsi="宋体" w:cs="宋体" w:eastAsia="宋体" w:hint="default"/>
                <w:sz w:val="21"/>
                <w:szCs w:val="21"/>
              </w:rPr>
              <w:t>上期发生金额</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0"/>
              <w:jc w:val="center"/>
              <w:rPr>
                <w:rFonts w:ascii="宋体" w:hAnsi="宋体" w:cs="宋体" w:eastAsia="宋体" w:hint="default"/>
                <w:sz w:val="21"/>
                <w:szCs w:val="21"/>
              </w:rPr>
            </w:pPr>
            <w:r>
              <w:rPr>
                <w:rFonts w:ascii="宋体" w:hAnsi="宋体" w:cs="宋体" w:eastAsia="宋体" w:hint="default"/>
                <w:sz w:val="21"/>
                <w:szCs w:val="21"/>
              </w:rPr>
              <w:t>与资产相关</w:t>
            </w:r>
            <w:r>
              <w:rPr>
                <w:rFonts w:ascii="宋体" w:hAnsi="宋体" w:cs="宋体" w:eastAsia="宋体" w:hint="default"/>
                <w:sz w:val="21"/>
                <w:szCs w:val="21"/>
              </w:rPr>
              <w:t>/</w:t>
            </w:r>
            <w:r>
              <w:rPr>
                <w:rFonts w:ascii="宋体" w:hAnsi="宋体" w:cs="宋体" w:eastAsia="宋体" w:hint="default"/>
                <w:sz w:val="21"/>
                <w:szCs w:val="21"/>
              </w:rPr>
              <w:t>与收益相关</w:t>
            </w:r>
          </w:p>
        </w:tc>
      </w:tr>
      <w:tr>
        <w:trPr>
          <w:trHeight w:val="554" w:hRule="exact"/>
        </w:trPr>
        <w:tc>
          <w:tcPr>
            <w:tcW w:w="35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海南财政厅</w:t>
            </w:r>
            <w:r>
              <w:rPr>
                <w:rFonts w:ascii="宋体" w:hAnsi="宋体" w:cs="宋体" w:eastAsia="宋体" w:hint="default"/>
                <w:spacing w:val="-54"/>
                <w:sz w:val="21"/>
                <w:szCs w:val="21"/>
              </w:rPr>
              <w:t> </w:t>
            </w:r>
            <w:r>
              <w:rPr>
                <w:rFonts w:ascii="宋体" w:hAnsi="宋体" w:cs="宋体" w:eastAsia="宋体" w:hint="default"/>
                <w:sz w:val="21"/>
                <w:szCs w:val="21"/>
              </w:rPr>
              <w:t>2016</w:t>
            </w:r>
            <w:r>
              <w:rPr>
                <w:rFonts w:ascii="宋体" w:hAnsi="宋体" w:cs="宋体" w:eastAsia="宋体" w:hint="default"/>
                <w:spacing w:val="-54"/>
                <w:sz w:val="21"/>
                <w:szCs w:val="21"/>
              </w:rPr>
              <w:t> </w:t>
            </w:r>
            <w:r>
              <w:rPr>
                <w:rFonts w:ascii="宋体" w:hAnsi="宋体" w:cs="宋体" w:eastAsia="宋体" w:hint="default"/>
                <w:sz w:val="21"/>
                <w:szCs w:val="21"/>
              </w:rPr>
              <w:t>年海南省互联网产业</w:t>
            </w:r>
          </w:p>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发展专项资金</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4,907,755</w:t>
            </w:r>
          </w:p>
        </w:tc>
        <w:tc>
          <w:tcPr>
            <w:tcW w:w="1428" w:type="dxa"/>
            <w:tcBorders>
              <w:top w:val="single" w:sz="4" w:space="0" w:color="000000"/>
              <w:left w:val="single" w:sz="4" w:space="0" w:color="000000"/>
              <w:bottom w:val="single" w:sz="4" w:space="0" w:color="000000"/>
              <w:right w:val="single" w:sz="4" w:space="0" w:color="000000"/>
            </w:tcBorders>
          </w:tcPr>
          <w:p>
            <w:pP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283" w:hRule="exact"/>
        </w:trPr>
        <w:tc>
          <w:tcPr>
            <w:tcW w:w="35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新三板挂牌补助</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1,000,000</w:t>
            </w:r>
          </w:p>
        </w:tc>
        <w:tc>
          <w:tcPr>
            <w:tcW w:w="1428" w:type="dxa"/>
            <w:tcBorders>
              <w:top w:val="single" w:sz="4" w:space="0" w:color="000000"/>
              <w:left w:val="single" w:sz="4" w:space="0" w:color="000000"/>
              <w:bottom w:val="single" w:sz="4" w:space="0" w:color="000000"/>
              <w:right w:val="single" w:sz="4" w:space="0" w:color="000000"/>
            </w:tcBorders>
          </w:tcPr>
          <w:p>
            <w:pP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283" w:hRule="exact"/>
        </w:trPr>
        <w:tc>
          <w:tcPr>
            <w:tcW w:w="35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统一移动软件平台研发与产业化</w:t>
            </w:r>
          </w:p>
        </w:tc>
        <w:tc>
          <w:tcPr>
            <w:tcW w:w="1431"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8,000,000</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554" w:hRule="exact"/>
        </w:trPr>
        <w:tc>
          <w:tcPr>
            <w:tcW w:w="356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上海嘉定工业区经济发展有限公司财</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政扶持奖励</w:t>
            </w:r>
          </w:p>
        </w:tc>
        <w:tc>
          <w:tcPr>
            <w:tcW w:w="1431"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6,708,714</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554" w:hRule="exact"/>
        </w:trPr>
        <w:tc>
          <w:tcPr>
            <w:tcW w:w="356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支撑新型应用模式的专有云解决方案</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研发及推广</w:t>
            </w:r>
          </w:p>
        </w:tc>
        <w:tc>
          <w:tcPr>
            <w:tcW w:w="1431"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5,000,000</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555" w:hRule="exact"/>
        </w:trPr>
        <w:tc>
          <w:tcPr>
            <w:tcW w:w="35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pacing w:val="-5"/>
                <w:sz w:val="21"/>
                <w:szCs w:val="21"/>
              </w:rPr>
              <w:t>大型企业互联网开放平台（</w:t>
            </w:r>
            <w:r>
              <w:rPr>
                <w:rFonts w:ascii="宋体" w:hAnsi="宋体" w:cs="宋体" w:eastAsia="宋体" w:hint="default"/>
                <w:spacing w:val="-5"/>
                <w:sz w:val="21"/>
                <w:szCs w:val="21"/>
              </w:rPr>
              <w:t>IUAP</w:t>
            </w:r>
            <w:r>
              <w:rPr>
                <w:rFonts w:ascii="宋体" w:hAnsi="宋体" w:cs="宋体" w:eastAsia="宋体" w:hint="default"/>
                <w:spacing w:val="-5"/>
                <w:sz w:val="21"/>
                <w:szCs w:val="21"/>
              </w:rPr>
              <w:t>）研发</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与推广</w:t>
            </w:r>
          </w:p>
        </w:tc>
        <w:tc>
          <w:tcPr>
            <w:tcW w:w="1431"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5,000,000</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554" w:hRule="exact"/>
        </w:trPr>
        <w:tc>
          <w:tcPr>
            <w:tcW w:w="35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支撑互联网</w:t>
            </w:r>
            <w:r>
              <w:rPr>
                <w:rFonts w:ascii="宋体" w:hAnsi="宋体" w:cs="宋体" w:eastAsia="宋体" w:hint="default"/>
                <w:sz w:val="21"/>
                <w:szCs w:val="21"/>
              </w:rPr>
              <w:t>+</w:t>
            </w:r>
            <w:r>
              <w:rPr>
                <w:rFonts w:ascii="宋体" w:hAnsi="宋体" w:cs="宋体" w:eastAsia="宋体" w:hint="default"/>
                <w:sz w:val="21"/>
                <w:szCs w:val="21"/>
              </w:rPr>
              <w:t>新模式的企业互联网开放</w:t>
            </w:r>
          </w:p>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平台建设与运营</w:t>
            </w:r>
          </w:p>
        </w:tc>
        <w:tc>
          <w:tcPr>
            <w:tcW w:w="1431"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5,000,000</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554" w:hRule="exact"/>
        </w:trPr>
        <w:tc>
          <w:tcPr>
            <w:tcW w:w="35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支撑行业大数据应用的软件平台研发</w:t>
            </w:r>
          </w:p>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与产业化</w:t>
            </w:r>
          </w:p>
        </w:tc>
        <w:tc>
          <w:tcPr>
            <w:tcW w:w="1431"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4,616,000</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554" w:hRule="exact"/>
        </w:trPr>
        <w:tc>
          <w:tcPr>
            <w:tcW w:w="35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基于安全可靠基础软硬件的事务处理</w:t>
            </w:r>
          </w:p>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应用研究与示范工程</w:t>
            </w:r>
          </w:p>
        </w:tc>
        <w:tc>
          <w:tcPr>
            <w:tcW w:w="1431"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4,337,280</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283" w:hRule="exact"/>
        </w:trPr>
        <w:tc>
          <w:tcPr>
            <w:tcW w:w="35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总部企业落户北京奖励</w:t>
            </w:r>
          </w:p>
        </w:tc>
        <w:tc>
          <w:tcPr>
            <w:tcW w:w="1431"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3,734,700</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554" w:hRule="exact"/>
        </w:trPr>
        <w:tc>
          <w:tcPr>
            <w:tcW w:w="35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企业云平台关键技术北京市工程实验</w:t>
            </w:r>
          </w:p>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w w:val="100"/>
                <w:sz w:val="21"/>
                <w:szCs w:val="21"/>
              </w:rPr>
              <w:t>室</w:t>
            </w:r>
          </w:p>
        </w:tc>
        <w:tc>
          <w:tcPr>
            <w:tcW w:w="1431"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3,112,900</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284" w:hRule="exact"/>
        </w:trPr>
        <w:tc>
          <w:tcPr>
            <w:tcW w:w="35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2016</w:t>
            </w:r>
            <w:r>
              <w:rPr>
                <w:rFonts w:ascii="宋体" w:hAnsi="宋体" w:cs="宋体" w:eastAsia="宋体" w:hint="default"/>
                <w:spacing w:val="-54"/>
                <w:sz w:val="21"/>
                <w:szCs w:val="21"/>
              </w:rPr>
              <w:t> </w:t>
            </w:r>
            <w:r>
              <w:rPr>
                <w:rFonts w:ascii="宋体" w:hAnsi="宋体" w:cs="宋体" w:eastAsia="宋体" w:hint="default"/>
                <w:sz w:val="21"/>
                <w:szCs w:val="21"/>
              </w:rPr>
              <w:t>年北京市高新技术成果转化项目</w:t>
            </w:r>
          </w:p>
        </w:tc>
        <w:tc>
          <w:tcPr>
            <w:tcW w:w="1431"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3,000,000</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281" w:hRule="exact"/>
        </w:trPr>
        <w:tc>
          <w:tcPr>
            <w:tcW w:w="35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新道科技</w:t>
            </w:r>
            <w:r>
              <w:rPr>
                <w:rFonts w:ascii="宋体" w:hAnsi="宋体" w:cs="宋体" w:eastAsia="宋体" w:hint="default"/>
                <w:spacing w:val="-53"/>
                <w:sz w:val="21"/>
                <w:szCs w:val="21"/>
              </w:rPr>
              <w:t> </w:t>
            </w:r>
            <w:r>
              <w:rPr>
                <w:rFonts w:ascii="宋体" w:hAnsi="宋体" w:cs="宋体" w:eastAsia="宋体" w:hint="default"/>
                <w:sz w:val="21"/>
                <w:szCs w:val="21"/>
              </w:rPr>
              <w:t>VBSE</w:t>
            </w:r>
            <w:r>
              <w:rPr>
                <w:rFonts w:ascii="宋体" w:hAnsi="宋体" w:cs="宋体" w:eastAsia="宋体" w:hint="default"/>
                <w:spacing w:val="-55"/>
                <w:sz w:val="21"/>
                <w:szCs w:val="21"/>
              </w:rPr>
              <w:t> </w:t>
            </w:r>
            <w:r>
              <w:rPr>
                <w:rFonts w:ascii="宋体" w:hAnsi="宋体" w:cs="宋体" w:eastAsia="宋体" w:hint="default"/>
                <w:sz w:val="21"/>
                <w:szCs w:val="21"/>
              </w:rPr>
              <w:t>系列产品研发项目</w:t>
            </w:r>
          </w:p>
        </w:tc>
        <w:tc>
          <w:tcPr>
            <w:tcW w:w="1431"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2,327,300</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283" w:hRule="exact"/>
        </w:trPr>
        <w:tc>
          <w:tcPr>
            <w:tcW w:w="35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政府扶持基金</w:t>
            </w:r>
          </w:p>
        </w:tc>
        <w:tc>
          <w:tcPr>
            <w:tcW w:w="1431"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2,120,000</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554" w:hRule="exact"/>
        </w:trPr>
        <w:tc>
          <w:tcPr>
            <w:tcW w:w="35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面向制造企业供应链管理的第三方电</w:t>
            </w:r>
          </w:p>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子商务平台研发及应用示范</w:t>
            </w:r>
          </w:p>
        </w:tc>
        <w:tc>
          <w:tcPr>
            <w:tcW w:w="1431"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1,250,000</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283" w:hRule="exact"/>
        </w:trPr>
        <w:tc>
          <w:tcPr>
            <w:tcW w:w="35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幸福投资</w:t>
            </w:r>
          </w:p>
        </w:tc>
        <w:tc>
          <w:tcPr>
            <w:tcW w:w="1431"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1,245,000</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281" w:hRule="exact"/>
        </w:trPr>
        <w:tc>
          <w:tcPr>
            <w:tcW w:w="35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厦门市科学技术信息研究院科技项目</w:t>
            </w:r>
          </w:p>
        </w:tc>
        <w:tc>
          <w:tcPr>
            <w:tcW w:w="1431"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1,215,100</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283" w:hRule="exact"/>
        </w:trPr>
        <w:tc>
          <w:tcPr>
            <w:tcW w:w="35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小巨人奖励资金</w:t>
            </w:r>
          </w:p>
        </w:tc>
        <w:tc>
          <w:tcPr>
            <w:tcW w:w="1431"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1,200,000</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283" w:hRule="exact"/>
        </w:trPr>
        <w:tc>
          <w:tcPr>
            <w:tcW w:w="35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中关村管委会支持资金</w:t>
            </w:r>
          </w:p>
        </w:tc>
        <w:tc>
          <w:tcPr>
            <w:tcW w:w="1431"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1,032,000</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281" w:hRule="exact"/>
        </w:trPr>
        <w:tc>
          <w:tcPr>
            <w:tcW w:w="35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三亚市金融业专项资金</w:t>
            </w:r>
          </w:p>
        </w:tc>
        <w:tc>
          <w:tcPr>
            <w:tcW w:w="1431"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1,000,000</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283" w:hRule="exact"/>
        </w:trPr>
        <w:tc>
          <w:tcPr>
            <w:tcW w:w="35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2"/>
              <w:jc w:val="right"/>
              <w:rPr>
                <w:rFonts w:ascii="宋体" w:hAnsi="宋体" w:cs="宋体" w:eastAsia="宋体" w:hint="default"/>
                <w:sz w:val="21"/>
                <w:szCs w:val="21"/>
              </w:rPr>
            </w:pPr>
            <w:r>
              <w:rPr>
                <w:rFonts w:ascii="宋体"/>
                <w:spacing w:val="-1"/>
                <w:sz w:val="21"/>
              </w:rPr>
              <w:t>2,515,341</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3,004,268</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center"/>
              <w:rPr>
                <w:rFonts w:ascii="宋体" w:hAnsi="宋体" w:cs="宋体" w:eastAsia="宋体" w:hint="default"/>
                <w:sz w:val="21"/>
                <w:szCs w:val="21"/>
              </w:rPr>
            </w:pPr>
            <w:r>
              <w:rPr>
                <w:rFonts w:ascii="宋体" w:hAnsi="宋体" w:cs="宋体" w:eastAsia="宋体" w:hint="default"/>
                <w:sz w:val="21"/>
                <w:szCs w:val="21"/>
              </w:rPr>
              <w:t>与收益相关</w:t>
            </w:r>
          </w:p>
        </w:tc>
      </w:tr>
      <w:tr>
        <w:trPr>
          <w:trHeight w:val="283" w:hRule="exact"/>
        </w:trPr>
        <w:tc>
          <w:tcPr>
            <w:tcW w:w="3569" w:type="dxa"/>
            <w:tcBorders>
              <w:top w:val="single" w:sz="4" w:space="0" w:color="000000"/>
              <w:left w:val="single" w:sz="4" w:space="0" w:color="000000"/>
              <w:bottom w:val="single" w:sz="4" w:space="0" w:color="000000"/>
              <w:right w:val="single" w:sz="4" w:space="0" w:color="000000"/>
            </w:tcBorders>
          </w:tcPr>
          <w:p>
            <w:pPr/>
          </w:p>
        </w:tc>
        <w:tc>
          <w:tcPr>
            <w:tcW w:w="1431"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2468"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5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8,423,096</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62,903,262</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7"/>
          <w:szCs w:val="27"/>
        </w:rPr>
      </w:pPr>
    </w:p>
    <w:p>
      <w:pPr>
        <w:pStyle w:val="BodyText"/>
        <w:spacing w:line="240" w:lineRule="auto" w:before="36"/>
        <w:ind w:right="99"/>
        <w:jc w:val="left"/>
      </w:pPr>
      <w:r>
        <w:rPr/>
        <w:t>其他说明：</w:t>
      </w:r>
    </w:p>
    <w:p>
      <w:pPr>
        <w:pStyle w:val="BodyText"/>
        <w:spacing w:line="240" w:lineRule="auto" w:before="145"/>
        <w:ind w:right="99"/>
        <w:jc w:val="left"/>
      </w:pPr>
      <w:r>
        <w:rPr/>
        <w:t>√适用</w:t>
      </w:r>
      <w:r>
        <w:rPr>
          <w:spacing w:val="-1"/>
        </w:rPr>
        <w:t> </w:t>
      </w:r>
      <w:r>
        <w:rPr/>
        <w:t>□不适用</w:t>
      </w:r>
    </w:p>
    <w:p>
      <w:pPr>
        <w:pStyle w:val="BodyText"/>
        <w:spacing w:line="240" w:lineRule="auto" w:before="68"/>
        <w:ind w:right="99"/>
        <w:jc w:val="left"/>
      </w:pPr>
      <w:r>
        <w:rPr/>
        <w:t>于</w:t>
      </w:r>
      <w:r>
        <w:rPr>
          <w:spacing w:val="-53"/>
        </w:rPr>
        <w:t> </w:t>
      </w:r>
      <w:r>
        <w:rPr>
          <w:rFonts w:ascii="宋体" w:hAnsi="宋体" w:cs="宋体" w:eastAsia="宋体" w:hint="default"/>
        </w:rPr>
        <w:t>2017</w:t>
      </w:r>
      <w:r>
        <w:rPr>
          <w:rFonts w:ascii="宋体" w:hAnsi="宋体" w:cs="宋体" w:eastAsia="宋体" w:hint="default"/>
          <w:spacing w:val="-53"/>
        </w:rPr>
        <w:t> </w:t>
      </w:r>
      <w:r>
        <w:rPr/>
        <w:t>年度及</w:t>
      </w:r>
      <w:r>
        <w:rPr>
          <w:spacing w:val="-55"/>
        </w:rPr>
        <w:t> </w:t>
      </w:r>
      <w:r>
        <w:rPr>
          <w:rFonts w:ascii="宋体" w:hAnsi="宋体" w:cs="宋体" w:eastAsia="宋体" w:hint="default"/>
        </w:rPr>
        <w:t>2016</w:t>
      </w:r>
      <w:r>
        <w:rPr>
          <w:rFonts w:ascii="宋体" w:hAnsi="宋体" w:cs="宋体" w:eastAsia="宋体" w:hint="default"/>
          <w:spacing w:val="-55"/>
        </w:rPr>
        <w:t> </w:t>
      </w:r>
      <w:r>
        <w:rPr/>
        <w:t>年度，本集团所获得的与日常经营活动无关的政府补助均为与收益相关。</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57" w:footer="1195" w:top="1320" w:bottom="1380" w:left="1580" w:right="1040"/>
        </w:sectPr>
      </w:pPr>
    </w:p>
    <w:p>
      <w:pPr>
        <w:pStyle w:val="Heading3"/>
        <w:spacing w:line="240" w:lineRule="auto" w:before="36"/>
        <w:ind w:right="-12"/>
        <w:jc w:val="left"/>
        <w:rPr>
          <w:b w:val="0"/>
          <w:bCs w:val="0"/>
        </w:rPr>
      </w:pPr>
      <w:r>
        <w:rPr>
          <w:rFonts w:ascii="宋体" w:hAnsi="宋体" w:cs="宋体" w:eastAsia="宋体" w:hint="default"/>
        </w:rPr>
        <w:t>70</w:t>
      </w:r>
      <w:r>
        <w:rPr/>
        <w:t>、</w:t>
      </w:r>
      <w:r>
        <w:rPr>
          <w:spacing w:val="-25"/>
        </w:rPr>
        <w:t> </w:t>
      </w:r>
      <w:r>
        <w:rPr/>
        <w:t>营业外支出</w:t>
      </w:r>
      <w:r>
        <w:rPr>
          <w:b w:val="0"/>
          <w:bCs w:val="0"/>
        </w:rPr>
      </w:r>
    </w:p>
    <w:p>
      <w:pPr>
        <w:pStyle w:val="BodyText"/>
        <w:tabs>
          <w:tab w:pos="1060" w:val="left" w:leader="none"/>
        </w:tabs>
        <w:spacing w:line="240" w:lineRule="auto" w:before="56"/>
        <w:ind w:right="-12"/>
        <w:jc w:val="left"/>
      </w:pPr>
      <w:r>
        <w:rPr>
          <w:spacing w:val="-1"/>
        </w:rPr>
        <w:t>√适用</w:t>
        <w:tab/>
      </w:r>
      <w:r>
        <w:rPr>
          <w:spacing w:val="-2"/>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9"/>
          <w:szCs w:val="29"/>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1901" w:space="4832"/>
            <w:col w:w="2557"/>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028"/>
        <w:gridCol w:w="2377"/>
        <w:gridCol w:w="2328"/>
        <w:gridCol w:w="2317"/>
      </w:tblGrid>
      <w:tr>
        <w:trPr>
          <w:trHeight w:val="557"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3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655"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631" w:right="0"/>
              <w:jc w:val="left"/>
              <w:rPr>
                <w:rFonts w:ascii="宋体" w:hAnsi="宋体" w:cs="宋体" w:eastAsia="宋体" w:hint="default"/>
                <w:sz w:val="21"/>
                <w:szCs w:val="21"/>
              </w:rPr>
            </w:pPr>
            <w:r>
              <w:rPr>
                <w:rFonts w:ascii="宋体" w:hAnsi="宋体" w:cs="宋体" w:eastAsia="宋体" w:hint="default"/>
                <w:sz w:val="21"/>
                <w:szCs w:val="21"/>
              </w:rPr>
              <w:t>上期发生额</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 w:right="0"/>
              <w:jc w:val="center"/>
              <w:rPr>
                <w:rFonts w:ascii="宋体" w:hAnsi="宋体" w:cs="宋体" w:eastAsia="宋体" w:hint="default"/>
                <w:sz w:val="21"/>
                <w:szCs w:val="21"/>
              </w:rPr>
            </w:pPr>
            <w:r>
              <w:rPr>
                <w:rFonts w:ascii="宋体" w:hAnsi="宋体" w:cs="宋体" w:eastAsia="宋体" w:hint="default"/>
                <w:sz w:val="21"/>
                <w:szCs w:val="21"/>
              </w:rPr>
              <w:t>计入当期非经常性损益</w:t>
            </w:r>
          </w:p>
          <w:p>
            <w:pPr>
              <w:pStyle w:val="TableParagraph"/>
              <w:spacing w:line="274" w:lineRule="exact"/>
              <w:ind w:left="3" w:right="0"/>
              <w:jc w:val="center"/>
              <w:rPr>
                <w:rFonts w:ascii="宋体" w:hAnsi="宋体" w:cs="宋体" w:eastAsia="宋体" w:hint="default"/>
                <w:sz w:val="21"/>
                <w:szCs w:val="21"/>
              </w:rPr>
            </w:pPr>
            <w:r>
              <w:rPr>
                <w:rFonts w:ascii="宋体" w:hAnsi="宋体" w:cs="宋体" w:eastAsia="宋体" w:hint="default"/>
                <w:sz w:val="21"/>
                <w:szCs w:val="21"/>
              </w:rPr>
              <w:t>的金额</w:t>
            </w:r>
          </w:p>
        </w:tc>
      </w:tr>
    </w:tbl>
    <w:p>
      <w:pPr>
        <w:spacing w:after="0" w:line="274" w:lineRule="exact"/>
        <w:jc w:val="center"/>
        <w:rPr>
          <w:rFonts w:ascii="宋体" w:hAnsi="宋体" w:cs="宋体" w:eastAsia="宋体" w:hint="default"/>
          <w:sz w:val="21"/>
          <w:szCs w:val="21"/>
        </w:rPr>
        <w:sectPr>
          <w:type w:val="continuous"/>
          <w:pgSz w:w="11910" w:h="16840"/>
          <w:pgMar w:top="1320" w:bottom="1380" w:left="1580" w:right="1040"/>
        </w:sectPr>
      </w:pPr>
    </w:p>
    <w:p>
      <w:pPr>
        <w:spacing w:line="240" w:lineRule="auto" w:before="6"/>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2028"/>
        <w:gridCol w:w="2377"/>
        <w:gridCol w:w="2328"/>
        <w:gridCol w:w="2317"/>
      </w:tblGrid>
      <w:tr>
        <w:trPr>
          <w:trHeight w:val="557"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103" w:right="0"/>
              <w:jc w:val="left"/>
              <w:rPr>
                <w:rFonts w:ascii="宋体" w:hAnsi="宋体" w:cs="宋体" w:eastAsia="宋体" w:hint="default"/>
                <w:sz w:val="21"/>
                <w:szCs w:val="21"/>
              </w:rPr>
            </w:pPr>
            <w:r>
              <w:rPr>
                <w:rFonts w:ascii="宋体" w:hAnsi="宋体" w:cs="宋体" w:eastAsia="宋体" w:hint="default"/>
                <w:sz w:val="21"/>
                <w:szCs w:val="21"/>
              </w:rPr>
              <w:t>非流动资产处置损</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失合计</w:t>
            </w:r>
          </w:p>
        </w:tc>
        <w:tc>
          <w:tcPr>
            <w:tcW w:w="2377"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10"/>
                <w:sz w:val="21"/>
                <w:szCs w:val="21"/>
              </w:rPr>
              <w:t>其中：固定资产处置</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损失</w:t>
            </w:r>
          </w:p>
        </w:tc>
        <w:tc>
          <w:tcPr>
            <w:tcW w:w="2377"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734" w:right="0"/>
              <w:jc w:val="left"/>
              <w:rPr>
                <w:rFonts w:ascii="宋体" w:hAnsi="宋体" w:cs="宋体" w:eastAsia="宋体" w:hint="default"/>
                <w:sz w:val="21"/>
                <w:szCs w:val="21"/>
              </w:rPr>
            </w:pPr>
            <w:r>
              <w:rPr>
                <w:rFonts w:ascii="宋体" w:hAnsi="宋体" w:cs="宋体" w:eastAsia="宋体" w:hint="default"/>
                <w:sz w:val="21"/>
                <w:szCs w:val="21"/>
              </w:rPr>
              <w:t>无形资产处</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置损失</w:t>
            </w:r>
          </w:p>
        </w:tc>
        <w:tc>
          <w:tcPr>
            <w:tcW w:w="2377"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债务重组损失</w:t>
            </w:r>
          </w:p>
        </w:tc>
        <w:tc>
          <w:tcPr>
            <w:tcW w:w="2377"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非货币性资产交换</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损失</w:t>
            </w:r>
          </w:p>
        </w:tc>
        <w:tc>
          <w:tcPr>
            <w:tcW w:w="2377"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对外捐赠</w:t>
            </w:r>
          </w:p>
        </w:tc>
        <w:tc>
          <w:tcPr>
            <w:tcW w:w="23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5,283,200</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13,130,325</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5,283,200</w:t>
            </w:r>
          </w:p>
        </w:tc>
      </w:tr>
      <w:tr>
        <w:trPr>
          <w:trHeight w:val="283"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罚款支出</w:t>
            </w:r>
          </w:p>
        </w:tc>
        <w:tc>
          <w:tcPr>
            <w:tcW w:w="23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19,083</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189,909</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19,083</w:t>
            </w:r>
          </w:p>
        </w:tc>
      </w:tr>
      <w:tr>
        <w:trPr>
          <w:trHeight w:val="281"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盘亏损失</w:t>
            </w:r>
          </w:p>
        </w:tc>
        <w:tc>
          <w:tcPr>
            <w:tcW w:w="23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620</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15,307</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620</w:t>
            </w:r>
          </w:p>
        </w:tc>
      </w:tr>
      <w:tr>
        <w:trPr>
          <w:trHeight w:val="284"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377"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01"/>
              <w:jc w:val="right"/>
              <w:rPr>
                <w:rFonts w:ascii="宋体" w:hAnsi="宋体" w:cs="宋体" w:eastAsia="宋体" w:hint="default"/>
                <w:sz w:val="21"/>
                <w:szCs w:val="21"/>
              </w:rPr>
            </w:pPr>
            <w:r>
              <w:rPr>
                <w:rFonts w:ascii="宋体"/>
                <w:spacing w:val="-1"/>
                <w:sz w:val="21"/>
              </w:rPr>
              <w:t>2,801,037</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01"/>
              <w:jc w:val="right"/>
              <w:rPr>
                <w:rFonts w:ascii="宋体" w:hAnsi="宋体" w:cs="宋体" w:eastAsia="宋体" w:hint="default"/>
                <w:sz w:val="21"/>
                <w:szCs w:val="21"/>
              </w:rPr>
            </w:pPr>
            <w:r>
              <w:rPr>
                <w:rFonts w:ascii="宋体"/>
                <w:spacing w:val="-1"/>
                <w:sz w:val="21"/>
              </w:rPr>
              <w:t>901,276</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8"/>
              <w:jc w:val="right"/>
              <w:rPr>
                <w:rFonts w:ascii="宋体" w:hAnsi="宋体" w:cs="宋体" w:eastAsia="宋体" w:hint="default"/>
                <w:sz w:val="21"/>
                <w:szCs w:val="21"/>
              </w:rPr>
            </w:pPr>
            <w:r>
              <w:rPr>
                <w:rFonts w:ascii="宋体"/>
                <w:spacing w:val="-1"/>
                <w:sz w:val="21"/>
              </w:rPr>
              <w:t>2,801,037</w:t>
            </w:r>
          </w:p>
        </w:tc>
      </w:tr>
      <w:tr>
        <w:trPr>
          <w:trHeight w:val="283" w:hRule="exact"/>
        </w:trPr>
        <w:tc>
          <w:tcPr>
            <w:tcW w:w="2028" w:type="dxa"/>
            <w:tcBorders>
              <w:top w:val="single" w:sz="4" w:space="0" w:color="000000"/>
              <w:left w:val="single" w:sz="4" w:space="0" w:color="000000"/>
              <w:bottom w:val="single" w:sz="4" w:space="0" w:color="000000"/>
              <w:right w:val="single" w:sz="4" w:space="0" w:color="000000"/>
            </w:tcBorders>
          </w:tcPr>
          <w:p>
            <w:pPr/>
          </w:p>
        </w:tc>
        <w:tc>
          <w:tcPr>
            <w:tcW w:w="2377"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center"/>
              <w:rPr>
                <w:rFonts w:ascii="宋体" w:hAnsi="宋体" w:cs="宋体" w:eastAsia="宋体" w:hint="default"/>
                <w:sz w:val="21"/>
                <w:szCs w:val="21"/>
              </w:rPr>
            </w:pPr>
            <w:r>
              <w:rPr>
                <w:rFonts w:ascii="宋体" w:hAnsi="宋体" w:cs="宋体" w:eastAsia="宋体" w:hint="default"/>
                <w:sz w:val="21"/>
                <w:szCs w:val="21"/>
              </w:rPr>
              <w:t>合计</w:t>
            </w:r>
          </w:p>
        </w:tc>
        <w:tc>
          <w:tcPr>
            <w:tcW w:w="23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8,103,940</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14,236,817</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8,103,940</w:t>
            </w:r>
          </w:p>
        </w:tc>
      </w:tr>
    </w:tbl>
    <w:p>
      <w:pPr>
        <w:spacing w:line="240" w:lineRule="auto" w:before="7"/>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857" w:footer="1195" w:top="1320" w:bottom="1380" w:left="1580" w:right="1040"/>
        </w:sectPr>
      </w:pPr>
    </w:p>
    <w:p>
      <w:pPr>
        <w:pStyle w:val="Heading3"/>
        <w:spacing w:line="290" w:lineRule="auto" w:before="36"/>
        <w:ind w:right="-20"/>
        <w:jc w:val="left"/>
        <w:rPr>
          <w:b w:val="0"/>
          <w:bCs w:val="0"/>
        </w:rPr>
      </w:pPr>
      <w:r>
        <w:rPr>
          <w:rFonts w:ascii="宋体" w:hAnsi="宋体" w:cs="宋体" w:eastAsia="宋体" w:hint="default"/>
        </w:rPr>
        <w:t>71</w:t>
      </w:r>
      <w:r>
        <w:rPr/>
        <w:t>、</w:t>
      </w:r>
      <w:r>
        <w:rPr>
          <w:spacing w:val="-25"/>
        </w:rPr>
        <w:t> </w:t>
      </w:r>
      <w:r>
        <w:rPr/>
        <w:t>所得税费用</w:t>
      </w:r>
      <w:r>
        <w:rPr>
          <w:w w:val="100"/>
        </w:rPr>
        <w:t> </w:t>
      </w:r>
      <w:r>
        <w:rPr>
          <w:rFonts w:ascii="宋体" w:hAnsi="宋体" w:cs="宋体" w:eastAsia="宋体" w:hint="default"/>
        </w:rPr>
        <w:t>(1)</w:t>
      </w:r>
      <w:r>
        <w:rPr>
          <w:rFonts w:ascii="宋体" w:hAnsi="宋体" w:cs="宋体" w:eastAsia="宋体" w:hint="default"/>
          <w:spacing w:val="3"/>
        </w:rPr>
        <w:t> </w:t>
      </w:r>
      <w:r>
        <w:rPr/>
        <w:t>所得税费用表</w:t>
      </w:r>
      <w:r>
        <w:rPr>
          <w:b w:val="0"/>
          <w:bCs w:val="0"/>
        </w:rPr>
      </w:r>
    </w:p>
    <w:p>
      <w:pPr>
        <w:pStyle w:val="BodyText"/>
        <w:spacing w:line="240" w:lineRule="auto" w:before="12"/>
        <w:ind w:right="-20"/>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1911" w:space="4822"/>
            <w:col w:w="2557"/>
          </w:cols>
        </w:sectPr>
      </w:pPr>
    </w:p>
    <w:p>
      <w:pPr>
        <w:spacing w:line="240" w:lineRule="auto" w:before="7"/>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3159"/>
        <w:gridCol w:w="2876"/>
        <w:gridCol w:w="2861"/>
      </w:tblGrid>
      <w:tr>
        <w:trPr>
          <w:trHeight w:val="288"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1364"/>
              <w:jc w:val="right"/>
              <w:rPr>
                <w:rFonts w:ascii="宋体" w:hAnsi="宋体" w:cs="宋体" w:eastAsia="宋体" w:hint="default"/>
                <w:sz w:val="21"/>
                <w:szCs w:val="21"/>
              </w:rPr>
            </w:pPr>
            <w:r>
              <w:rPr>
                <w:rFonts w:ascii="宋体" w:hAnsi="宋体" w:cs="宋体" w:eastAsia="宋体" w:hint="default"/>
                <w:sz w:val="21"/>
                <w:szCs w:val="21"/>
              </w:rPr>
              <w:t>项目</w:t>
            </w:r>
          </w:p>
        </w:tc>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902"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897"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83"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当期所得税费用</w:t>
            </w:r>
          </w:p>
        </w:tc>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122,778,988</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6"/>
              <w:jc w:val="right"/>
              <w:rPr>
                <w:rFonts w:ascii="宋体" w:hAnsi="宋体" w:cs="宋体" w:eastAsia="宋体" w:hint="default"/>
                <w:sz w:val="21"/>
                <w:szCs w:val="21"/>
              </w:rPr>
            </w:pPr>
            <w:r>
              <w:rPr>
                <w:rFonts w:ascii="宋体"/>
                <w:spacing w:val="-1"/>
                <w:sz w:val="21"/>
              </w:rPr>
              <w:t>75,579,146</w:t>
            </w:r>
          </w:p>
        </w:tc>
      </w:tr>
      <w:tr>
        <w:trPr>
          <w:trHeight w:val="28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递延所得税费用</w:t>
            </w:r>
          </w:p>
        </w:tc>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3,009,230</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right"/>
              <w:rPr>
                <w:rFonts w:ascii="宋体" w:hAnsi="宋体" w:cs="宋体" w:eastAsia="宋体" w:hint="default"/>
                <w:sz w:val="21"/>
                <w:szCs w:val="21"/>
              </w:rPr>
            </w:pPr>
            <w:r>
              <w:rPr>
                <w:rFonts w:ascii="宋体"/>
                <w:spacing w:val="-1"/>
                <w:sz w:val="21"/>
              </w:rPr>
              <w:t>-24,259,020</w:t>
            </w:r>
          </w:p>
        </w:tc>
      </w:tr>
      <w:tr>
        <w:trPr>
          <w:trHeight w:val="281" w:hRule="exact"/>
        </w:trPr>
        <w:tc>
          <w:tcPr>
            <w:tcW w:w="3159" w:type="dxa"/>
            <w:tcBorders>
              <w:top w:val="single" w:sz="4" w:space="0" w:color="000000"/>
              <w:left w:val="single" w:sz="4" w:space="0" w:color="000000"/>
              <w:bottom w:val="single" w:sz="4" w:space="0" w:color="000000"/>
              <w:right w:val="single" w:sz="4" w:space="0" w:color="000000"/>
            </w:tcBorders>
          </w:tcPr>
          <w:p>
            <w:pPr/>
          </w:p>
        </w:tc>
        <w:tc>
          <w:tcPr>
            <w:tcW w:w="2876" w:type="dxa"/>
            <w:tcBorders>
              <w:top w:val="single" w:sz="4" w:space="0" w:color="000000"/>
              <w:left w:val="single" w:sz="4" w:space="0" w:color="000000"/>
              <w:bottom w:val="single" w:sz="4" w:space="0" w:color="000000"/>
              <w:right w:val="single" w:sz="4" w:space="0" w:color="000000"/>
            </w:tcBorders>
          </w:tcPr>
          <w:p>
            <w:pPr/>
          </w:p>
        </w:tc>
        <w:tc>
          <w:tcPr>
            <w:tcW w:w="286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159" w:type="dxa"/>
            <w:tcBorders>
              <w:top w:val="single" w:sz="4" w:space="0" w:color="000000"/>
              <w:left w:val="single" w:sz="4" w:space="0" w:color="000000"/>
              <w:bottom w:val="single" w:sz="4" w:space="0" w:color="000000"/>
              <w:right w:val="single" w:sz="4" w:space="0" w:color="000000"/>
            </w:tcBorders>
          </w:tcPr>
          <w:p>
            <w:pPr/>
          </w:p>
        </w:tc>
        <w:tc>
          <w:tcPr>
            <w:tcW w:w="2876" w:type="dxa"/>
            <w:tcBorders>
              <w:top w:val="single" w:sz="4" w:space="0" w:color="000000"/>
              <w:left w:val="single" w:sz="4" w:space="0" w:color="000000"/>
              <w:bottom w:val="single" w:sz="4" w:space="0" w:color="000000"/>
              <w:right w:val="single" w:sz="4" w:space="0" w:color="000000"/>
            </w:tcBorders>
          </w:tcPr>
          <w:p>
            <w:pPr/>
          </w:p>
        </w:tc>
        <w:tc>
          <w:tcPr>
            <w:tcW w:w="286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364"/>
              <w:jc w:val="right"/>
              <w:rPr>
                <w:rFonts w:ascii="宋体" w:hAnsi="宋体" w:cs="宋体" w:eastAsia="宋体" w:hint="default"/>
                <w:sz w:val="21"/>
                <w:szCs w:val="21"/>
              </w:rPr>
            </w:pPr>
            <w:r>
              <w:rPr>
                <w:rFonts w:ascii="宋体" w:hAnsi="宋体" w:cs="宋体" w:eastAsia="宋体" w:hint="default"/>
                <w:sz w:val="21"/>
                <w:szCs w:val="21"/>
              </w:rPr>
              <w:t>合计</w:t>
            </w:r>
          </w:p>
        </w:tc>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right"/>
              <w:rPr>
                <w:rFonts w:ascii="宋体" w:hAnsi="宋体" w:cs="宋体" w:eastAsia="宋体" w:hint="default"/>
                <w:sz w:val="21"/>
                <w:szCs w:val="21"/>
              </w:rPr>
            </w:pPr>
            <w:r>
              <w:rPr>
                <w:rFonts w:ascii="宋体"/>
                <w:spacing w:val="-1"/>
                <w:sz w:val="21"/>
              </w:rPr>
              <w:t>125,788,218</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right"/>
              <w:rPr>
                <w:rFonts w:ascii="宋体" w:hAnsi="宋体" w:cs="宋体" w:eastAsia="宋体" w:hint="default"/>
                <w:sz w:val="21"/>
                <w:szCs w:val="21"/>
              </w:rPr>
            </w:pPr>
            <w:r>
              <w:rPr>
                <w:rFonts w:ascii="宋体"/>
                <w:spacing w:val="-1"/>
                <w:sz w:val="21"/>
              </w:rPr>
              <w:t>51,320,126</w:t>
            </w:r>
          </w:p>
        </w:tc>
      </w:tr>
    </w:tbl>
    <w:p>
      <w:pPr>
        <w:spacing w:line="240" w:lineRule="auto" w:before="12"/>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type w:val="continuous"/>
          <w:pgSz w:w="11910" w:h="16840"/>
          <w:pgMar w:top="1320" w:bottom="1380" w:left="1580" w:right="1040"/>
        </w:sectPr>
      </w:pPr>
    </w:p>
    <w:p>
      <w:pPr>
        <w:pStyle w:val="Heading3"/>
        <w:spacing w:line="240" w:lineRule="auto" w:before="36"/>
        <w:ind w:right="-18"/>
        <w:jc w:val="left"/>
        <w:rPr>
          <w:b w:val="0"/>
          <w:bCs w:val="0"/>
        </w:rPr>
      </w:pPr>
      <w:r>
        <w:rPr>
          <w:rFonts w:ascii="宋体" w:hAnsi="宋体" w:cs="宋体" w:eastAsia="宋体" w:hint="default"/>
        </w:rPr>
        <w:t>(2)</w:t>
      </w:r>
      <w:r>
        <w:rPr>
          <w:rFonts w:ascii="宋体" w:hAnsi="宋体" w:cs="宋体" w:eastAsia="宋体" w:hint="default"/>
          <w:spacing w:val="1"/>
        </w:rPr>
        <w:t> </w:t>
      </w:r>
      <w:r>
        <w:rPr/>
        <w:t>会计利润与所得税费用调整过程：</w:t>
      </w:r>
      <w:r>
        <w:rPr>
          <w:b w:val="0"/>
          <w:bCs w:val="0"/>
        </w:rPr>
      </w:r>
    </w:p>
    <w:p>
      <w:pPr>
        <w:pStyle w:val="BodyText"/>
        <w:spacing w:line="240" w:lineRule="auto" w:before="58"/>
        <w:ind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3807" w:space="2926"/>
            <w:col w:w="2557"/>
          </w:cols>
        </w:sectPr>
      </w:pPr>
    </w:p>
    <w:p>
      <w:pPr>
        <w:spacing w:line="240" w:lineRule="auto" w:before="7"/>
        <w:rPr>
          <w:rFonts w:ascii="宋体" w:hAnsi="宋体" w:cs="宋体" w:eastAsia="宋体" w:hint="default"/>
          <w:sz w:val="2"/>
          <w:szCs w:val="2"/>
        </w:rPr>
      </w:pPr>
    </w:p>
    <w:tbl>
      <w:tblPr>
        <w:tblW w:w="0" w:type="auto"/>
        <w:jc w:val="left"/>
        <w:tblInd w:w="179" w:type="dxa"/>
        <w:tblLayout w:type="fixed"/>
        <w:tblCellMar>
          <w:top w:w="0" w:type="dxa"/>
          <w:left w:w="0" w:type="dxa"/>
          <w:bottom w:w="0" w:type="dxa"/>
          <w:right w:w="0" w:type="dxa"/>
        </w:tblCellMar>
        <w:tblLook w:val="01E0"/>
      </w:tblPr>
      <w:tblGrid>
        <w:gridCol w:w="4301"/>
        <w:gridCol w:w="4592"/>
      </w:tblGrid>
      <w:tr>
        <w:trPr>
          <w:trHeight w:val="281" w:hRule="exact"/>
        </w:trPr>
        <w:tc>
          <w:tcPr>
            <w:tcW w:w="43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4592" w:type="dxa"/>
            <w:tcBorders>
              <w:top w:val="single" w:sz="4" w:space="0" w:color="000000"/>
              <w:left w:val="single" w:sz="4" w:space="0" w:color="000000"/>
              <w:bottom w:val="single" w:sz="4" w:space="0" w:color="000000"/>
              <w:right w:val="single" w:sz="5"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本期发生额</w:t>
            </w:r>
          </w:p>
        </w:tc>
      </w:tr>
      <w:tr>
        <w:trPr>
          <w:trHeight w:val="286" w:hRule="exact"/>
        </w:trPr>
        <w:tc>
          <w:tcPr>
            <w:tcW w:w="43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4592" w:type="dxa"/>
            <w:tcBorders>
              <w:top w:val="single" w:sz="4" w:space="0" w:color="000000"/>
              <w:left w:val="single" w:sz="4" w:space="0" w:color="000000"/>
              <w:bottom w:val="single" w:sz="6" w:space="0" w:color="000000"/>
              <w:right w:val="single" w:sz="6"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685,810,775</w:t>
            </w:r>
          </w:p>
        </w:tc>
      </w:tr>
      <w:tr>
        <w:trPr>
          <w:trHeight w:val="288" w:hRule="exact"/>
        </w:trPr>
        <w:tc>
          <w:tcPr>
            <w:tcW w:w="43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按法定</w:t>
            </w:r>
            <w:r>
              <w:rPr>
                <w:rFonts w:ascii="宋体" w:hAnsi="宋体" w:cs="宋体" w:eastAsia="宋体" w:hint="default"/>
                <w:sz w:val="21"/>
                <w:szCs w:val="21"/>
              </w:rPr>
              <w:t>/</w:t>
            </w:r>
            <w:r>
              <w:rPr>
                <w:rFonts w:ascii="宋体" w:hAnsi="宋体" w:cs="宋体" w:eastAsia="宋体" w:hint="default"/>
                <w:sz w:val="21"/>
                <w:szCs w:val="21"/>
              </w:rPr>
              <w:t>适用税率计算的所得税费用</w:t>
            </w:r>
          </w:p>
        </w:tc>
        <w:tc>
          <w:tcPr>
            <w:tcW w:w="4592"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102,871,616</w:t>
            </w:r>
          </w:p>
        </w:tc>
      </w:tr>
      <w:tr>
        <w:trPr>
          <w:trHeight w:val="286" w:hRule="exact"/>
        </w:trPr>
        <w:tc>
          <w:tcPr>
            <w:tcW w:w="43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子公司适用不同税率的影响</w:t>
            </w:r>
          </w:p>
        </w:tc>
        <w:tc>
          <w:tcPr>
            <w:tcW w:w="4592"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7,349,157</w:t>
            </w:r>
          </w:p>
        </w:tc>
      </w:tr>
      <w:tr>
        <w:trPr>
          <w:trHeight w:val="288" w:hRule="exact"/>
        </w:trPr>
        <w:tc>
          <w:tcPr>
            <w:tcW w:w="4301"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6" w:right="0"/>
              <w:jc w:val="left"/>
              <w:rPr>
                <w:rFonts w:ascii="宋体" w:hAnsi="宋体" w:cs="宋体" w:eastAsia="宋体" w:hint="default"/>
                <w:sz w:val="21"/>
                <w:szCs w:val="21"/>
              </w:rPr>
            </w:pPr>
            <w:r>
              <w:rPr>
                <w:rFonts w:ascii="宋体" w:hAnsi="宋体" w:cs="宋体" w:eastAsia="宋体" w:hint="default"/>
                <w:sz w:val="21"/>
                <w:szCs w:val="21"/>
              </w:rPr>
              <w:t>调整以前期间所得税的影响</w:t>
            </w:r>
          </w:p>
        </w:tc>
        <w:tc>
          <w:tcPr>
            <w:tcW w:w="4592" w:type="dxa"/>
            <w:tcBorders>
              <w:top w:val="single" w:sz="6" w:space="0" w:color="000000"/>
              <w:left w:val="single" w:sz="4" w:space="0" w:color="000000"/>
              <w:bottom w:val="single" w:sz="6" w:space="0" w:color="000000"/>
              <w:right w:val="single" w:sz="6"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-3,617,391</w:t>
            </w:r>
          </w:p>
        </w:tc>
      </w:tr>
      <w:tr>
        <w:trPr>
          <w:trHeight w:val="288" w:hRule="exact"/>
        </w:trPr>
        <w:tc>
          <w:tcPr>
            <w:tcW w:w="43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非应税收入的影响</w:t>
            </w:r>
          </w:p>
        </w:tc>
        <w:tc>
          <w:tcPr>
            <w:tcW w:w="4592"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-50,692,390</w:t>
            </w:r>
          </w:p>
        </w:tc>
      </w:tr>
      <w:tr>
        <w:trPr>
          <w:trHeight w:val="288" w:hRule="exact"/>
        </w:trPr>
        <w:tc>
          <w:tcPr>
            <w:tcW w:w="43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不可抵扣的成本、费用和损失的影响</w:t>
            </w:r>
          </w:p>
        </w:tc>
        <w:tc>
          <w:tcPr>
            <w:tcW w:w="4592" w:type="dxa"/>
            <w:tcBorders>
              <w:top w:val="single" w:sz="6" w:space="0" w:color="000000"/>
              <w:left w:val="single" w:sz="4" w:space="0" w:color="000000"/>
              <w:bottom w:val="single" w:sz="6" w:space="0" w:color="000000"/>
              <w:right w:val="single" w:sz="6" w:space="0" w:color="000000"/>
            </w:tcBorders>
          </w:tcPr>
          <w:p>
            <w:pPr/>
          </w:p>
        </w:tc>
      </w:tr>
      <w:tr>
        <w:trPr>
          <w:trHeight w:val="559" w:hRule="exact"/>
        </w:trPr>
        <w:tc>
          <w:tcPr>
            <w:tcW w:w="43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使用前期未确认递延所得税资产的可抵扣亏损</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的影响</w:t>
            </w:r>
          </w:p>
        </w:tc>
        <w:tc>
          <w:tcPr>
            <w:tcW w:w="4592" w:type="dxa"/>
            <w:tcBorders>
              <w:top w:val="single" w:sz="6" w:space="0" w:color="000000"/>
              <w:left w:val="single" w:sz="4" w:space="0" w:color="000000"/>
              <w:bottom w:val="single" w:sz="6" w:space="0" w:color="000000"/>
              <w:right w:val="single" w:sz="6" w:space="0" w:color="000000"/>
            </w:tcBorders>
          </w:tcPr>
          <w:p>
            <w:pPr/>
          </w:p>
        </w:tc>
      </w:tr>
      <w:tr>
        <w:trPr>
          <w:trHeight w:val="559" w:hRule="exact"/>
        </w:trPr>
        <w:tc>
          <w:tcPr>
            <w:tcW w:w="43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本期未确认递延所得税资产的可抵扣暂时性差</w:t>
            </w:r>
          </w:p>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异或可抵扣亏损的影响</w:t>
            </w:r>
          </w:p>
        </w:tc>
        <w:tc>
          <w:tcPr>
            <w:tcW w:w="4592"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138,481,952</w:t>
            </w:r>
          </w:p>
        </w:tc>
      </w:tr>
      <w:tr>
        <w:trPr>
          <w:trHeight w:val="288" w:hRule="exact"/>
        </w:trPr>
        <w:tc>
          <w:tcPr>
            <w:tcW w:w="4301" w:type="dxa"/>
            <w:tcBorders>
              <w:top w:val="single" w:sz="4" w:space="0" w:color="000000"/>
              <w:left w:val="single" w:sz="6" w:space="0" w:color="000000"/>
              <w:bottom w:val="single" w:sz="6" w:space="0" w:color="000000"/>
              <w:right w:val="single" w:sz="6" w:space="0" w:color="000000"/>
            </w:tcBorders>
          </w:tcPr>
          <w:p>
            <w:pPr>
              <w:pStyle w:val="TableParagraph"/>
              <w:spacing w:line="243" w:lineRule="exact"/>
              <w:ind w:left="24" w:right="0"/>
              <w:jc w:val="left"/>
              <w:rPr>
                <w:rFonts w:ascii="宋体" w:hAnsi="宋体" w:cs="宋体" w:eastAsia="宋体" w:hint="default"/>
                <w:sz w:val="21"/>
                <w:szCs w:val="21"/>
              </w:rPr>
            </w:pPr>
            <w:r>
              <w:rPr>
                <w:rFonts w:ascii="宋体" w:hAnsi="宋体" w:cs="宋体" w:eastAsia="宋体" w:hint="default"/>
                <w:sz w:val="21"/>
                <w:szCs w:val="21"/>
              </w:rPr>
              <w:t>归属于联营企业的损益的影响</w:t>
            </w:r>
          </w:p>
        </w:tc>
        <w:tc>
          <w:tcPr>
            <w:tcW w:w="45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2,035,043</w:t>
            </w:r>
          </w:p>
        </w:tc>
      </w:tr>
      <w:tr>
        <w:trPr>
          <w:trHeight w:val="286" w:hRule="exact"/>
        </w:trPr>
        <w:tc>
          <w:tcPr>
            <w:tcW w:w="430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当年研发费</w:t>
            </w:r>
            <w:r>
              <w:rPr>
                <w:rFonts w:ascii="宋体" w:hAnsi="宋体" w:cs="宋体" w:eastAsia="宋体" w:hint="default"/>
                <w:spacing w:val="-52"/>
                <w:sz w:val="21"/>
                <w:szCs w:val="21"/>
              </w:rPr>
              <w:t> </w:t>
            </w:r>
            <w:r>
              <w:rPr>
                <w:rFonts w:ascii="宋体" w:hAnsi="宋体" w:cs="宋体" w:eastAsia="宋体" w:hint="default"/>
                <w:sz w:val="21"/>
                <w:szCs w:val="21"/>
              </w:rPr>
              <w:t>50%</w:t>
            </w:r>
            <w:r>
              <w:rPr>
                <w:rFonts w:ascii="宋体" w:hAnsi="宋体" w:cs="宋体" w:eastAsia="宋体" w:hint="default"/>
                <w:sz w:val="21"/>
                <w:szCs w:val="21"/>
              </w:rPr>
              <w:t>加计扣除的影响</w:t>
            </w:r>
          </w:p>
        </w:tc>
        <w:tc>
          <w:tcPr>
            <w:tcW w:w="45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-64,296,924</w:t>
            </w:r>
          </w:p>
        </w:tc>
      </w:tr>
      <w:tr>
        <w:trPr>
          <w:trHeight w:val="288" w:hRule="exact"/>
        </w:trPr>
        <w:tc>
          <w:tcPr>
            <w:tcW w:w="430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24" w:right="0"/>
              <w:jc w:val="left"/>
              <w:rPr>
                <w:rFonts w:ascii="宋体" w:hAnsi="宋体" w:cs="宋体" w:eastAsia="宋体" w:hint="default"/>
                <w:sz w:val="21"/>
                <w:szCs w:val="21"/>
              </w:rPr>
            </w:pPr>
            <w:r>
              <w:rPr>
                <w:rFonts w:ascii="宋体" w:hAnsi="宋体" w:cs="宋体" w:eastAsia="宋体" w:hint="default"/>
                <w:sz w:val="21"/>
                <w:szCs w:val="21"/>
              </w:rPr>
              <w:t>利用以前年度可抵扣亏损</w:t>
            </w:r>
          </w:p>
        </w:tc>
        <w:tc>
          <w:tcPr>
            <w:tcW w:w="459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-6,342,845</w:t>
            </w:r>
          </w:p>
        </w:tc>
      </w:tr>
      <w:tr>
        <w:trPr>
          <w:trHeight w:val="288" w:hRule="exact"/>
        </w:trPr>
        <w:tc>
          <w:tcPr>
            <w:tcW w:w="4301" w:type="dxa"/>
            <w:tcBorders>
              <w:top w:val="single" w:sz="6" w:space="0" w:color="000000"/>
              <w:left w:val="single" w:sz="6" w:space="0" w:color="000000"/>
              <w:bottom w:val="single" w:sz="6" w:space="0" w:color="000000"/>
              <w:right w:val="single" w:sz="6" w:space="0" w:color="000000"/>
            </w:tcBorders>
          </w:tcPr>
          <w:p>
            <w:pPr/>
          </w:p>
        </w:tc>
        <w:tc>
          <w:tcPr>
            <w:tcW w:w="459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4301" w:type="dxa"/>
            <w:tcBorders>
              <w:top w:val="single" w:sz="6"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所得税费用</w:t>
            </w:r>
          </w:p>
        </w:tc>
        <w:tc>
          <w:tcPr>
            <w:tcW w:w="4592"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125,788,218</w:t>
            </w:r>
          </w:p>
        </w:tc>
      </w:tr>
    </w:tbl>
    <w:p>
      <w:pPr>
        <w:spacing w:after="0" w:line="241" w:lineRule="exact"/>
        <w:jc w:val="right"/>
        <w:rPr>
          <w:rFonts w:ascii="宋体" w:hAnsi="宋体" w:cs="宋体" w:eastAsia="宋体" w:hint="default"/>
          <w:sz w:val="21"/>
          <w:szCs w:val="21"/>
        </w:rPr>
        <w:sectPr>
          <w:type w:val="continuous"/>
          <w:pgSz w:w="11910" w:h="16840"/>
          <w:pgMar w:top="1320" w:bottom="1380" w:left="1580" w:right="1040"/>
        </w:sectPr>
      </w:pPr>
    </w:p>
    <w:p>
      <w:pPr>
        <w:spacing w:line="240" w:lineRule="auto" w:before="2"/>
        <w:rPr>
          <w:rFonts w:ascii="宋体" w:hAnsi="宋体" w:cs="宋体" w:eastAsia="宋体" w:hint="default"/>
          <w:sz w:val="9"/>
          <w:szCs w:val="9"/>
        </w:rPr>
      </w:pPr>
    </w:p>
    <w:p>
      <w:pPr>
        <w:pStyle w:val="BodyText"/>
        <w:spacing w:line="240" w:lineRule="auto" w:before="36"/>
        <w:ind w:left="138" w:right="0"/>
        <w:jc w:val="left"/>
      </w:pPr>
      <w:r>
        <w:rPr/>
        <w:t>其他说明：</w:t>
      </w:r>
    </w:p>
    <w:p>
      <w:pPr>
        <w:pStyle w:val="BodyText"/>
        <w:spacing w:line="240" w:lineRule="auto" w:before="58"/>
        <w:ind w:left="138" w:right="0"/>
        <w:jc w:val="left"/>
      </w:pPr>
      <w:r>
        <w:rPr/>
        <w:t>√适用</w:t>
      </w:r>
      <w:r>
        <w:rPr>
          <w:spacing w:val="-1"/>
        </w:rPr>
        <w:t> </w:t>
      </w:r>
      <w:r>
        <w:rPr/>
        <w:t>□不适用</w:t>
      </w:r>
    </w:p>
    <w:p>
      <w:pPr>
        <w:pStyle w:val="BodyText"/>
        <w:tabs>
          <w:tab w:pos="977" w:val="left" w:leader="none"/>
        </w:tabs>
        <w:spacing w:line="240" w:lineRule="auto" w:before="56"/>
        <w:ind w:left="138" w:right="157"/>
        <w:jc w:val="left"/>
      </w:pPr>
      <w:r>
        <w:rPr/>
        <w:t>注</w:t>
      </w:r>
      <w:r>
        <w:rPr>
          <w:spacing w:val="-50"/>
        </w:rPr>
        <w:t> </w:t>
      </w:r>
      <w:r>
        <w:rPr>
          <w:rFonts w:ascii="宋体" w:hAnsi="宋体" w:cs="宋体" w:eastAsia="宋体" w:hint="default"/>
        </w:rPr>
        <w:t>1</w:t>
      </w:r>
      <w:r>
        <w:rPr/>
        <w:t>．</w:t>
        <w:tab/>
      </w:r>
      <w:r>
        <w:rPr>
          <w:spacing w:val="-2"/>
        </w:rPr>
        <w:t>本集团所得税按在中国境内取得的估计应纳税所得额及适用税率计提。源于其他地区应</w:t>
      </w:r>
      <w:r>
        <w:rPr>
          <w:spacing w:val="-32"/>
        </w:rPr>
        <w:t> </w:t>
      </w:r>
      <w:r>
        <w:rPr>
          <w:spacing w:val="-32"/>
        </w:rPr>
      </w:r>
      <w:r>
        <w:rPr/>
        <w:t>纳税所得的税项根据本集团经营所在国家的现行法律、解释公告和惯例，按照适用税率计算。</w:t>
      </w:r>
    </w:p>
    <w:p>
      <w:pPr>
        <w:spacing w:line="240" w:lineRule="auto" w:before="3"/>
        <w:rPr>
          <w:rFonts w:ascii="宋体" w:hAnsi="宋体" w:cs="宋体" w:eastAsia="宋体" w:hint="default"/>
          <w:sz w:val="25"/>
          <w:szCs w:val="25"/>
        </w:rPr>
      </w:pPr>
    </w:p>
    <w:p>
      <w:pPr>
        <w:pStyle w:val="Heading3"/>
        <w:spacing w:line="240" w:lineRule="auto"/>
        <w:ind w:left="138" w:right="0"/>
        <w:jc w:val="left"/>
        <w:rPr>
          <w:b w:val="0"/>
          <w:bCs w:val="0"/>
        </w:rPr>
      </w:pPr>
      <w:r>
        <w:rPr>
          <w:rFonts w:ascii="宋体" w:hAnsi="宋体" w:cs="宋体" w:eastAsia="宋体" w:hint="default"/>
        </w:rPr>
        <w:t>72</w:t>
      </w:r>
      <w:r>
        <w:rPr/>
        <w:t>、</w:t>
      </w:r>
      <w:r>
        <w:rPr>
          <w:spacing w:val="-24"/>
        </w:rPr>
        <w:t> </w:t>
      </w:r>
      <w:r>
        <w:rPr/>
        <w:t>其他综合收益</w:t>
      </w:r>
      <w:r>
        <w:rPr>
          <w:b w:val="0"/>
          <w:bCs w:val="0"/>
        </w:rPr>
      </w:r>
    </w:p>
    <w:p>
      <w:pPr>
        <w:pStyle w:val="BodyText"/>
        <w:spacing w:line="240" w:lineRule="auto" w:before="56"/>
        <w:ind w:left="138" w:right="6768"/>
        <w:jc w:val="left"/>
      </w:pPr>
      <w:r>
        <w:rPr/>
        <w:t>√适用</w:t>
      </w:r>
      <w:r>
        <w:rPr>
          <w:spacing w:val="-2"/>
        </w:rPr>
        <w:t> </w:t>
      </w:r>
      <w:r>
        <w:rPr/>
        <w:t>□不适用</w:t>
      </w:r>
      <w:r>
        <w:rPr>
          <w:w w:val="100"/>
        </w:rPr>
        <w:t> </w:t>
      </w:r>
      <w:r>
        <w:rPr>
          <w:spacing w:val="-2"/>
        </w:rPr>
        <w:t>详见附注七、</w:t>
      </w:r>
      <w:r>
        <w:rPr>
          <w:rFonts w:ascii="宋体" w:hAnsi="宋体" w:cs="宋体" w:eastAsia="宋体" w:hint="default"/>
          <w:spacing w:val="-2"/>
        </w:rPr>
        <w:t>57</w:t>
      </w:r>
      <w:r>
        <w:rPr>
          <w:spacing w:val="-2"/>
        </w:rPr>
        <w:t>。</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57" w:footer="1195" w:top="1320" w:bottom="1380" w:left="1660" w:right="1120"/>
        </w:sectPr>
      </w:pPr>
    </w:p>
    <w:p>
      <w:pPr>
        <w:pStyle w:val="Heading3"/>
        <w:spacing w:line="240" w:lineRule="auto" w:before="36"/>
        <w:ind w:left="138" w:right="-2"/>
        <w:jc w:val="left"/>
        <w:rPr>
          <w:b w:val="0"/>
          <w:bCs w:val="0"/>
        </w:rPr>
      </w:pPr>
      <w:r>
        <w:rPr>
          <w:rFonts w:ascii="宋体" w:hAnsi="宋体" w:cs="宋体" w:eastAsia="宋体" w:hint="default"/>
        </w:rPr>
        <w:t>73</w:t>
      </w:r>
      <w:r>
        <w:rPr/>
        <w:t>、</w:t>
      </w:r>
      <w:r>
        <w:rPr>
          <w:spacing w:val="-24"/>
        </w:rPr>
        <w:t> </w:t>
      </w:r>
      <w:r>
        <w:rPr/>
        <w:t>现金流量表项目</w:t>
      </w:r>
      <w:r>
        <w:rPr>
          <w:b w:val="0"/>
          <w:bCs w:val="0"/>
        </w:rPr>
      </w:r>
    </w:p>
    <w:p>
      <w:pPr>
        <w:pStyle w:val="Heading3"/>
        <w:tabs>
          <w:tab w:pos="838" w:val="left" w:leader="none"/>
        </w:tabs>
        <w:spacing w:line="240" w:lineRule="auto" w:before="56"/>
        <w:ind w:left="138" w:right="-2"/>
        <w:jc w:val="left"/>
        <w:rPr>
          <w:b w:val="0"/>
          <w:bCs w:val="0"/>
        </w:rPr>
      </w:pPr>
      <w:r>
        <w:rPr>
          <w:rFonts w:ascii="宋体" w:hAnsi="宋体" w:cs="宋体" w:eastAsia="宋体" w:hint="default"/>
          <w:w w:val="95"/>
        </w:rPr>
        <w:t>(1).</w:t>
        <w:tab/>
      </w:r>
      <w:r>
        <w:rPr>
          <w:spacing w:val="-1"/>
        </w:rPr>
        <w:t>收到的其他与经营活动有关的现金：</w:t>
      </w:r>
      <w:r>
        <w:rPr>
          <w:b w:val="0"/>
          <w:bCs w:val="0"/>
          <w:spacing w:val="-1"/>
        </w:rPr>
      </w:r>
    </w:p>
    <w:p>
      <w:pPr>
        <w:pStyle w:val="BodyText"/>
        <w:spacing w:line="240" w:lineRule="auto" w:before="59"/>
        <w:ind w:left="138" w:right="-2"/>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spacing w:line="240" w:lineRule="auto"/>
        <w:ind w:left="138" w:right="0"/>
        <w:jc w:val="left"/>
      </w:pPr>
      <w:r>
        <w:rPr/>
        <w:t>单位：元币种：人民币</w:t>
      </w:r>
    </w:p>
    <w:p>
      <w:pPr>
        <w:spacing w:after="0" w:line="240" w:lineRule="auto"/>
        <w:jc w:val="left"/>
        <w:sectPr>
          <w:type w:val="continuous"/>
          <w:pgSz w:w="11910" w:h="16840"/>
          <w:pgMar w:top="1320" w:bottom="1380" w:left="1660" w:right="1120"/>
          <w:cols w:num="2" w:equalWidth="0">
            <w:col w:w="4214" w:space="2519"/>
            <w:col w:w="2397"/>
          </w:cols>
        </w:sectPr>
      </w:pPr>
    </w:p>
    <w:p>
      <w:pPr>
        <w:spacing w:line="240" w:lineRule="auto" w:before="7"/>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3349"/>
        <w:gridCol w:w="2780"/>
        <w:gridCol w:w="2768"/>
      </w:tblGrid>
      <w:tr>
        <w:trPr>
          <w:trHeight w:val="281" w:hRule="exact"/>
        </w:trPr>
        <w:tc>
          <w:tcPr>
            <w:tcW w:w="33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7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56"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7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51"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83" w:hRule="exact"/>
        </w:trPr>
        <w:tc>
          <w:tcPr>
            <w:tcW w:w="33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政府补贴款</w:t>
            </w:r>
          </w:p>
        </w:tc>
        <w:tc>
          <w:tcPr>
            <w:tcW w:w="27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spacing w:val="-1"/>
                <w:sz w:val="21"/>
              </w:rPr>
              <w:t>61,508,547</w:t>
            </w:r>
          </w:p>
        </w:tc>
        <w:tc>
          <w:tcPr>
            <w:tcW w:w="27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87,815,093</w:t>
            </w:r>
          </w:p>
        </w:tc>
      </w:tr>
      <w:tr>
        <w:trPr>
          <w:trHeight w:val="283" w:hRule="exact"/>
        </w:trPr>
        <w:tc>
          <w:tcPr>
            <w:tcW w:w="33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其他营业收入</w:t>
            </w:r>
          </w:p>
        </w:tc>
        <w:tc>
          <w:tcPr>
            <w:tcW w:w="27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spacing w:val="-1"/>
                <w:sz w:val="21"/>
              </w:rPr>
              <w:t>192,855,950</w:t>
            </w:r>
          </w:p>
        </w:tc>
        <w:tc>
          <w:tcPr>
            <w:tcW w:w="27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129,659,520</w:t>
            </w:r>
          </w:p>
        </w:tc>
      </w:tr>
      <w:tr>
        <w:trPr>
          <w:trHeight w:val="281" w:hRule="exact"/>
        </w:trPr>
        <w:tc>
          <w:tcPr>
            <w:tcW w:w="33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已实现的与经营相关的汇兑损益</w:t>
            </w:r>
          </w:p>
        </w:tc>
        <w:tc>
          <w:tcPr>
            <w:tcW w:w="2780" w:type="dxa"/>
            <w:tcBorders>
              <w:top w:val="single" w:sz="4" w:space="0" w:color="000000"/>
              <w:left w:val="single" w:sz="4" w:space="0" w:color="000000"/>
              <w:bottom w:val="single" w:sz="4" w:space="0" w:color="000000"/>
              <w:right w:val="single" w:sz="4" w:space="0" w:color="000000"/>
            </w:tcBorders>
          </w:tcPr>
          <w:p>
            <w:pPr/>
          </w:p>
        </w:tc>
        <w:tc>
          <w:tcPr>
            <w:tcW w:w="27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912,345</w:t>
            </w:r>
          </w:p>
        </w:tc>
      </w:tr>
      <w:tr>
        <w:trPr>
          <w:trHeight w:val="283" w:hRule="exact"/>
        </w:trPr>
        <w:tc>
          <w:tcPr>
            <w:tcW w:w="33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7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spacing w:val="-1"/>
                <w:sz w:val="21"/>
              </w:rPr>
              <w:t>45,675,929</w:t>
            </w:r>
          </w:p>
        </w:tc>
        <w:tc>
          <w:tcPr>
            <w:tcW w:w="27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14,668,914</w:t>
            </w:r>
          </w:p>
        </w:tc>
      </w:tr>
      <w:tr>
        <w:trPr>
          <w:trHeight w:val="283" w:hRule="exact"/>
        </w:trPr>
        <w:tc>
          <w:tcPr>
            <w:tcW w:w="33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7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spacing w:val="-1"/>
                <w:sz w:val="21"/>
              </w:rPr>
              <w:t>300,040,426</w:t>
            </w:r>
          </w:p>
        </w:tc>
        <w:tc>
          <w:tcPr>
            <w:tcW w:w="27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233,055,872</w:t>
            </w:r>
          </w:p>
        </w:tc>
      </w:tr>
    </w:tbl>
    <w:p>
      <w:pPr>
        <w:spacing w:line="240" w:lineRule="auto" w:before="7"/>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type w:val="continuous"/>
          <w:pgSz w:w="11910" w:h="16840"/>
          <w:pgMar w:top="1320" w:bottom="1380" w:left="1660" w:right="1120"/>
        </w:sectPr>
      </w:pPr>
    </w:p>
    <w:p>
      <w:pPr>
        <w:pStyle w:val="Heading3"/>
        <w:tabs>
          <w:tab w:pos="838" w:val="left" w:leader="none"/>
        </w:tabs>
        <w:spacing w:line="240" w:lineRule="auto" w:before="36"/>
        <w:ind w:left="138" w:right="-2"/>
        <w:jc w:val="left"/>
        <w:rPr>
          <w:b w:val="0"/>
          <w:bCs w:val="0"/>
        </w:rPr>
      </w:pPr>
      <w:r>
        <w:rPr>
          <w:rFonts w:ascii="宋体" w:hAnsi="宋体" w:cs="宋体" w:eastAsia="宋体" w:hint="default"/>
          <w:w w:val="95"/>
        </w:rPr>
        <w:t>(2).</w:t>
        <w:tab/>
      </w:r>
      <w:r>
        <w:rPr>
          <w:spacing w:val="-1"/>
        </w:rPr>
        <w:t>支付的其他与经营活动有关的现金：</w:t>
      </w:r>
      <w:r>
        <w:rPr>
          <w:b w:val="0"/>
          <w:bCs w:val="0"/>
          <w:spacing w:val="-1"/>
        </w:rPr>
      </w:r>
    </w:p>
    <w:p>
      <w:pPr>
        <w:pStyle w:val="BodyText"/>
        <w:spacing w:line="240" w:lineRule="auto" w:before="58"/>
        <w:ind w:left="138" w:right="-2"/>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9"/>
          <w:szCs w:val="29"/>
        </w:rPr>
      </w:pPr>
    </w:p>
    <w:p>
      <w:pPr>
        <w:pStyle w:val="BodyText"/>
        <w:spacing w:line="240" w:lineRule="auto"/>
        <w:ind w:left="138" w:right="0"/>
        <w:jc w:val="left"/>
      </w:pPr>
      <w:r>
        <w:rPr/>
        <w:t>单位：元币种：人民币</w:t>
      </w:r>
    </w:p>
    <w:p>
      <w:pPr>
        <w:spacing w:after="0" w:line="240" w:lineRule="auto"/>
        <w:jc w:val="left"/>
        <w:sectPr>
          <w:type w:val="continuous"/>
          <w:pgSz w:w="11910" w:h="16840"/>
          <w:pgMar w:top="1320" w:bottom="1380" w:left="1660" w:right="1120"/>
          <w:cols w:num="2" w:equalWidth="0">
            <w:col w:w="4214" w:space="2519"/>
            <w:col w:w="2397"/>
          </w:cols>
        </w:sectPr>
      </w:pPr>
    </w:p>
    <w:p>
      <w:pPr>
        <w:spacing w:line="240" w:lineRule="auto" w:before="7"/>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3349"/>
        <w:gridCol w:w="2760"/>
        <w:gridCol w:w="2787"/>
      </w:tblGrid>
      <w:tr>
        <w:trPr>
          <w:trHeight w:val="281" w:hRule="exact"/>
        </w:trPr>
        <w:tc>
          <w:tcPr>
            <w:tcW w:w="33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455"/>
              <w:jc w:val="right"/>
              <w:rPr>
                <w:rFonts w:ascii="宋体" w:hAnsi="宋体" w:cs="宋体" w:eastAsia="宋体" w:hint="default"/>
                <w:sz w:val="21"/>
                <w:szCs w:val="21"/>
              </w:rPr>
            </w:pPr>
            <w:r>
              <w:rPr>
                <w:rFonts w:ascii="宋体" w:hAnsi="宋体" w:cs="宋体" w:eastAsia="宋体" w:hint="default"/>
                <w:sz w:val="21"/>
                <w:szCs w:val="21"/>
              </w:rPr>
              <w:t>项目</w:t>
            </w:r>
          </w:p>
        </w:tc>
        <w:tc>
          <w:tcPr>
            <w:tcW w:w="27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47"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61"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83" w:hRule="exact"/>
        </w:trPr>
        <w:tc>
          <w:tcPr>
            <w:tcW w:w="33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27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178,687,357</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169,714,503</w:t>
            </w:r>
          </w:p>
        </w:tc>
      </w:tr>
      <w:tr>
        <w:trPr>
          <w:trHeight w:val="281" w:hRule="exact"/>
        </w:trPr>
        <w:tc>
          <w:tcPr>
            <w:tcW w:w="33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业务宣传费</w:t>
            </w:r>
          </w:p>
        </w:tc>
        <w:tc>
          <w:tcPr>
            <w:tcW w:w="27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161,452,433</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181,103,049</w:t>
            </w:r>
          </w:p>
        </w:tc>
      </w:tr>
      <w:tr>
        <w:trPr>
          <w:trHeight w:val="283" w:hRule="exact"/>
        </w:trPr>
        <w:tc>
          <w:tcPr>
            <w:tcW w:w="334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租赁费及物业管理费</w:t>
            </w:r>
          </w:p>
        </w:tc>
        <w:tc>
          <w:tcPr>
            <w:tcW w:w="276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205,147,478</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134,339,486</w:t>
            </w:r>
          </w:p>
        </w:tc>
      </w:tr>
      <w:tr>
        <w:trPr>
          <w:trHeight w:val="283" w:hRule="exact"/>
        </w:trPr>
        <w:tc>
          <w:tcPr>
            <w:tcW w:w="33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27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111,880,575</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114,440,975</w:t>
            </w:r>
          </w:p>
        </w:tc>
      </w:tr>
      <w:tr>
        <w:trPr>
          <w:trHeight w:val="281" w:hRule="exact"/>
        </w:trPr>
        <w:tc>
          <w:tcPr>
            <w:tcW w:w="33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咨询服务费</w:t>
            </w:r>
          </w:p>
        </w:tc>
        <w:tc>
          <w:tcPr>
            <w:tcW w:w="27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140,100,417</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110,016,768</w:t>
            </w:r>
          </w:p>
        </w:tc>
      </w:tr>
      <w:tr>
        <w:trPr>
          <w:trHeight w:val="283" w:hRule="exact"/>
        </w:trPr>
        <w:tc>
          <w:tcPr>
            <w:tcW w:w="334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76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132,587,912</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68,219,350</w:t>
            </w:r>
          </w:p>
        </w:tc>
      </w:tr>
      <w:tr>
        <w:trPr>
          <w:trHeight w:val="283" w:hRule="exact"/>
        </w:trPr>
        <w:tc>
          <w:tcPr>
            <w:tcW w:w="33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455"/>
              <w:jc w:val="right"/>
              <w:rPr>
                <w:rFonts w:ascii="宋体" w:hAnsi="宋体" w:cs="宋体" w:eastAsia="宋体" w:hint="default"/>
                <w:sz w:val="21"/>
                <w:szCs w:val="21"/>
              </w:rPr>
            </w:pPr>
            <w:r>
              <w:rPr>
                <w:rFonts w:ascii="宋体" w:hAnsi="宋体" w:cs="宋体" w:eastAsia="宋体" w:hint="default"/>
                <w:sz w:val="21"/>
                <w:szCs w:val="21"/>
              </w:rPr>
              <w:t>合计</w:t>
            </w:r>
          </w:p>
        </w:tc>
        <w:tc>
          <w:tcPr>
            <w:tcW w:w="27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929,856,172</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777,834,131</w:t>
            </w:r>
          </w:p>
        </w:tc>
      </w:tr>
    </w:tbl>
    <w:p>
      <w:pPr>
        <w:spacing w:line="240" w:lineRule="auto" w:before="7"/>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type w:val="continuous"/>
          <w:pgSz w:w="11910" w:h="16840"/>
          <w:pgMar w:top="1320" w:bottom="1380" w:left="1660" w:right="1120"/>
        </w:sectPr>
      </w:pPr>
    </w:p>
    <w:p>
      <w:pPr>
        <w:pStyle w:val="Heading3"/>
        <w:tabs>
          <w:tab w:pos="865" w:val="left" w:leader="none"/>
        </w:tabs>
        <w:spacing w:line="240" w:lineRule="auto" w:before="36"/>
        <w:ind w:left="138" w:right="-4"/>
        <w:jc w:val="left"/>
        <w:rPr>
          <w:b w:val="0"/>
          <w:bCs w:val="0"/>
        </w:rPr>
      </w:pPr>
      <w:r>
        <w:rPr>
          <w:rFonts w:ascii="宋体" w:hAnsi="宋体" w:cs="宋体" w:eastAsia="宋体" w:hint="default"/>
          <w:w w:val="95"/>
        </w:rPr>
        <w:t>(3).</w:t>
        <w:tab/>
      </w:r>
      <w:r>
        <w:rPr>
          <w:spacing w:val="-1"/>
        </w:rPr>
        <w:t>收到的其他与投资活动有关的现金</w:t>
      </w:r>
      <w:r>
        <w:rPr>
          <w:b w:val="0"/>
          <w:bCs w:val="0"/>
          <w:spacing w:val="-1"/>
        </w:rPr>
      </w:r>
    </w:p>
    <w:p>
      <w:pPr>
        <w:pStyle w:val="BodyText"/>
        <w:spacing w:line="240" w:lineRule="auto" w:before="59"/>
        <w:ind w:left="138" w:right="-4"/>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9"/>
          <w:szCs w:val="29"/>
        </w:rPr>
      </w:pPr>
    </w:p>
    <w:p>
      <w:pPr>
        <w:pStyle w:val="BodyText"/>
        <w:spacing w:line="240" w:lineRule="auto"/>
        <w:ind w:left="138" w:right="0"/>
        <w:jc w:val="left"/>
      </w:pPr>
      <w:r>
        <w:rPr/>
        <w:t>单位：元币种</w:t>
      </w:r>
      <w:r>
        <w:rPr>
          <w:rFonts w:ascii="宋体" w:hAnsi="宋体" w:cs="宋体" w:eastAsia="宋体" w:hint="default"/>
        </w:rPr>
        <w:t>:</w:t>
      </w:r>
      <w:r>
        <w:rPr/>
        <w:t>人民币</w:t>
      </w:r>
    </w:p>
    <w:p>
      <w:pPr>
        <w:spacing w:after="0" w:line="240" w:lineRule="auto"/>
        <w:jc w:val="left"/>
        <w:sectPr>
          <w:type w:val="continuous"/>
          <w:pgSz w:w="11910" w:h="16840"/>
          <w:pgMar w:top="1320" w:bottom="1380" w:left="1660" w:right="1120"/>
          <w:cols w:num="2" w:equalWidth="0">
            <w:col w:w="4029" w:space="2809"/>
            <w:col w:w="2292"/>
          </w:cols>
        </w:sectPr>
      </w:pPr>
    </w:p>
    <w:p>
      <w:pPr>
        <w:spacing w:line="240" w:lineRule="auto" w:before="7"/>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3349"/>
        <w:gridCol w:w="2864"/>
        <w:gridCol w:w="2684"/>
      </w:tblGrid>
      <w:tr>
        <w:trPr>
          <w:trHeight w:val="281" w:hRule="exact"/>
        </w:trPr>
        <w:tc>
          <w:tcPr>
            <w:tcW w:w="33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00"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6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08"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83" w:hRule="exact"/>
        </w:trPr>
        <w:tc>
          <w:tcPr>
            <w:tcW w:w="334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理财产品及外汇远期投资收益</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71,147,437</w:t>
            </w:r>
          </w:p>
        </w:tc>
        <w:tc>
          <w:tcPr>
            <w:tcW w:w="268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33,595,421</w:t>
            </w:r>
          </w:p>
        </w:tc>
      </w:tr>
      <w:tr>
        <w:trPr>
          <w:trHeight w:val="283" w:hRule="exact"/>
        </w:trPr>
        <w:tc>
          <w:tcPr>
            <w:tcW w:w="33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存款利息收入</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19,571,131</w:t>
            </w:r>
          </w:p>
        </w:tc>
        <w:tc>
          <w:tcPr>
            <w:tcW w:w="26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33,420,671</w:t>
            </w:r>
          </w:p>
        </w:tc>
      </w:tr>
      <w:tr>
        <w:trPr>
          <w:trHeight w:val="283" w:hRule="exact"/>
        </w:trPr>
        <w:tc>
          <w:tcPr>
            <w:tcW w:w="33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90,718,568</w:t>
            </w:r>
          </w:p>
        </w:tc>
        <w:tc>
          <w:tcPr>
            <w:tcW w:w="26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67,016,092</w:t>
            </w:r>
          </w:p>
        </w:tc>
      </w:tr>
    </w:tbl>
    <w:p>
      <w:pPr>
        <w:spacing w:line="240" w:lineRule="auto" w:before="7"/>
        <w:rPr>
          <w:rFonts w:ascii="宋体" w:hAnsi="宋体" w:cs="宋体" w:eastAsia="宋体" w:hint="default"/>
          <w:sz w:val="24"/>
          <w:szCs w:val="24"/>
        </w:rPr>
      </w:pPr>
    </w:p>
    <w:p>
      <w:pPr>
        <w:pStyle w:val="Heading3"/>
        <w:tabs>
          <w:tab w:pos="865" w:val="left" w:leader="none"/>
        </w:tabs>
        <w:spacing w:line="240" w:lineRule="auto" w:before="36"/>
        <w:ind w:left="138" w:right="0"/>
        <w:jc w:val="left"/>
        <w:rPr>
          <w:b w:val="0"/>
          <w:bCs w:val="0"/>
        </w:rPr>
      </w:pPr>
      <w:r>
        <w:rPr>
          <w:rFonts w:ascii="宋体" w:hAnsi="宋体" w:cs="宋体" w:eastAsia="宋体" w:hint="default"/>
          <w:w w:val="95"/>
        </w:rPr>
        <w:t>(4).</w:t>
        <w:tab/>
      </w:r>
      <w:r>
        <w:rPr/>
        <w:t>支付的其他与投资活动有关的现金</w:t>
      </w:r>
      <w:r>
        <w:rPr>
          <w:b w:val="0"/>
          <w:bCs w:val="0"/>
        </w:rPr>
      </w:r>
    </w:p>
    <w:p>
      <w:pPr>
        <w:pStyle w:val="BodyText"/>
        <w:spacing w:line="240" w:lineRule="auto" w:before="56"/>
        <w:ind w:left="138" w:right="0"/>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pStyle w:val="Heading3"/>
        <w:tabs>
          <w:tab w:pos="977" w:val="left" w:leader="none"/>
        </w:tabs>
        <w:spacing w:line="240" w:lineRule="auto"/>
        <w:ind w:left="138" w:right="0"/>
        <w:jc w:val="left"/>
        <w:rPr>
          <w:b w:val="0"/>
          <w:bCs w:val="0"/>
        </w:rPr>
      </w:pPr>
      <w:r>
        <w:rPr>
          <w:rFonts w:ascii="宋体" w:hAnsi="宋体" w:cs="宋体" w:eastAsia="宋体" w:hint="default"/>
          <w:w w:val="95"/>
        </w:rPr>
        <w:t>(5).</w:t>
        <w:tab/>
      </w:r>
      <w:r>
        <w:rPr/>
        <w:t>收到的其他与筹资活动有关的现金</w:t>
      </w:r>
      <w:r>
        <w:rPr>
          <w:b w:val="0"/>
          <w:bCs w:val="0"/>
        </w:rPr>
      </w:r>
    </w:p>
    <w:p>
      <w:pPr>
        <w:pStyle w:val="BodyText"/>
        <w:spacing w:line="240" w:lineRule="auto" w:before="56"/>
        <w:ind w:left="138" w:right="0"/>
        <w:jc w:val="left"/>
      </w:pPr>
      <w:r>
        <w:rPr/>
        <w:t>□适用</w:t>
      </w:r>
      <w:r>
        <w:rPr>
          <w:spacing w:val="-1"/>
        </w:rPr>
        <w:t> </w:t>
      </w:r>
      <w:r>
        <w:rPr/>
        <w:t>√不适用</w:t>
      </w:r>
    </w:p>
    <w:p>
      <w:pPr>
        <w:spacing w:after="0" w:line="240" w:lineRule="auto"/>
        <w:jc w:val="left"/>
        <w:sectPr>
          <w:type w:val="continuous"/>
          <w:pgSz w:w="11910" w:h="16840"/>
          <w:pgMar w:top="1320" w:bottom="1380" w:left="1660" w:right="11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footerReference w:type="default" r:id="rId75"/>
          <w:pgSz w:w="11910" w:h="16840"/>
          <w:pgMar w:footer="1195" w:header="857" w:top="1320" w:bottom="1380" w:left="1580" w:right="1040"/>
        </w:sectPr>
      </w:pPr>
    </w:p>
    <w:p>
      <w:pPr>
        <w:pStyle w:val="Heading3"/>
        <w:tabs>
          <w:tab w:pos="1057" w:val="left" w:leader="none"/>
        </w:tabs>
        <w:spacing w:line="240" w:lineRule="auto" w:before="36"/>
        <w:ind w:right="-3"/>
        <w:jc w:val="left"/>
        <w:rPr>
          <w:b w:val="0"/>
          <w:bCs w:val="0"/>
        </w:rPr>
      </w:pPr>
      <w:r>
        <w:rPr>
          <w:rFonts w:ascii="宋体" w:hAnsi="宋体" w:cs="宋体" w:eastAsia="宋体" w:hint="default"/>
          <w:w w:val="95"/>
        </w:rPr>
        <w:t>(6).</w:t>
        <w:tab/>
      </w:r>
      <w:r>
        <w:rPr>
          <w:spacing w:val="-1"/>
        </w:rPr>
        <w:t>支付的其他与筹资活动有关的现金</w:t>
      </w:r>
      <w:r>
        <w:rPr>
          <w:b w:val="0"/>
          <w:bCs w:val="0"/>
          <w:spacing w:val="-1"/>
        </w:rPr>
      </w:r>
    </w:p>
    <w:p>
      <w:pPr>
        <w:pStyle w:val="BodyText"/>
        <w:spacing w:line="240" w:lineRule="auto" w:before="58"/>
        <w:ind w:right="-3"/>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4222" w:space="2511"/>
            <w:col w:w="2557"/>
          </w:cols>
        </w:sectPr>
      </w:pPr>
    </w:p>
    <w:p>
      <w:pPr>
        <w:spacing w:line="240" w:lineRule="auto" w:before="7"/>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3349"/>
        <w:gridCol w:w="2864"/>
        <w:gridCol w:w="2684"/>
      </w:tblGrid>
      <w:tr>
        <w:trPr>
          <w:trHeight w:val="281" w:hRule="exact"/>
        </w:trPr>
        <w:tc>
          <w:tcPr>
            <w:tcW w:w="33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00"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6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11"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83" w:hRule="exact"/>
        </w:trPr>
        <w:tc>
          <w:tcPr>
            <w:tcW w:w="334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股票回购</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352,810,801</w:t>
            </w:r>
          </w:p>
        </w:tc>
        <w:tc>
          <w:tcPr>
            <w:tcW w:w="268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18,937,500</w:t>
            </w:r>
          </w:p>
        </w:tc>
      </w:tr>
      <w:tr>
        <w:trPr>
          <w:trHeight w:val="283" w:hRule="exact"/>
        </w:trPr>
        <w:tc>
          <w:tcPr>
            <w:tcW w:w="33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与筹资相关的汇兑损失</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66,402,661</w:t>
            </w:r>
          </w:p>
        </w:tc>
        <w:tc>
          <w:tcPr>
            <w:tcW w:w="26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57,161,159</w:t>
            </w:r>
          </w:p>
        </w:tc>
      </w:tr>
      <w:tr>
        <w:trPr>
          <w:trHeight w:val="283" w:hRule="exact"/>
        </w:trPr>
        <w:tc>
          <w:tcPr>
            <w:tcW w:w="33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419,213,462</w:t>
            </w:r>
          </w:p>
        </w:tc>
        <w:tc>
          <w:tcPr>
            <w:tcW w:w="26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76,098,659</w:t>
            </w:r>
          </w:p>
        </w:tc>
      </w:tr>
    </w:tbl>
    <w:p>
      <w:pPr>
        <w:spacing w:line="240" w:lineRule="auto" w:before="7"/>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type w:val="continuous"/>
          <w:pgSz w:w="11910" w:h="16840"/>
          <w:pgMar w:top="1320" w:bottom="1380" w:left="1580" w:right="1040"/>
        </w:sectPr>
      </w:pPr>
    </w:p>
    <w:p>
      <w:pPr>
        <w:pStyle w:val="Heading3"/>
        <w:spacing w:line="290" w:lineRule="auto" w:before="36"/>
        <w:ind w:right="-18"/>
        <w:jc w:val="left"/>
        <w:rPr>
          <w:b w:val="0"/>
          <w:bCs w:val="0"/>
        </w:rPr>
      </w:pPr>
      <w:r>
        <w:rPr>
          <w:rFonts w:ascii="宋体" w:hAnsi="宋体" w:cs="宋体" w:eastAsia="宋体" w:hint="default"/>
        </w:rPr>
        <w:t>74</w:t>
      </w:r>
      <w:r>
        <w:rPr/>
        <w:t>、</w:t>
      </w:r>
      <w:r>
        <w:rPr>
          <w:spacing w:val="-23"/>
        </w:rPr>
        <w:t> </w:t>
      </w:r>
      <w:r>
        <w:rPr/>
        <w:t>现金流量表补充资料</w:t>
      </w:r>
      <w:r>
        <w:rPr>
          <w:w w:val="100"/>
        </w:rPr>
        <w:t> </w:t>
      </w:r>
      <w:r>
        <w:rPr>
          <w:rFonts w:ascii="宋体" w:hAnsi="宋体" w:cs="宋体" w:eastAsia="宋体" w:hint="default"/>
        </w:rPr>
        <w:t>(1)</w:t>
      </w:r>
      <w:r>
        <w:rPr>
          <w:rFonts w:ascii="宋体" w:hAnsi="宋体" w:cs="宋体" w:eastAsia="宋体" w:hint="default"/>
          <w:spacing w:val="4"/>
        </w:rPr>
        <w:t> </w:t>
      </w:r>
      <w:r>
        <w:rPr/>
        <w:t>现金流量表补充资料</w:t>
      </w:r>
      <w:r>
        <w:rPr>
          <w:b w:val="0"/>
          <w:bCs w:val="0"/>
        </w:rPr>
      </w:r>
    </w:p>
    <w:p>
      <w:pPr>
        <w:pStyle w:val="BodyText"/>
        <w:tabs>
          <w:tab w:pos="1060" w:val="left" w:leader="none"/>
        </w:tabs>
        <w:spacing w:line="240" w:lineRule="auto" w:before="14"/>
        <w:ind w:right="-18"/>
        <w:jc w:val="left"/>
      </w:pPr>
      <w:r>
        <w:rPr>
          <w:spacing w:val="-1"/>
        </w:rPr>
        <w:t>√适用</w:t>
        <w:tab/>
      </w:r>
      <w:r>
        <w:rPr>
          <w:spacing w:val="-2"/>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2623" w:space="4110"/>
            <w:col w:w="2557"/>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483"/>
        <w:gridCol w:w="2801"/>
        <w:gridCol w:w="2765"/>
      </w:tblGrid>
      <w:tr>
        <w:trPr>
          <w:trHeight w:val="283"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补充资料</w:t>
            </w:r>
          </w:p>
        </w:tc>
        <w:tc>
          <w:tcPr>
            <w:tcW w:w="2801" w:type="dxa"/>
            <w:tcBorders>
              <w:top w:val="single" w:sz="4" w:space="0" w:color="000000"/>
              <w:left w:val="single" w:sz="4" w:space="0" w:color="000000"/>
              <w:bottom w:val="single" w:sz="4" w:space="0" w:color="000000"/>
              <w:right w:val="single" w:sz="5"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765" w:type="dxa"/>
            <w:tcBorders>
              <w:top w:val="single" w:sz="4" w:space="0" w:color="000000"/>
              <w:left w:val="single" w:sz="5" w:space="0" w:color="000000"/>
              <w:bottom w:val="single" w:sz="4" w:space="0" w:color="000000"/>
              <w:right w:val="single" w:sz="5"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557"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．将净利润调节为经营活动现金流</w:t>
            </w:r>
            <w:r>
              <w:rPr>
                <w:rFonts w:ascii="宋体" w:hAnsi="宋体" w:cs="宋体" w:eastAsia="宋体" w:hint="default"/>
                <w:sz w:val="21"/>
                <w:szCs w:val="21"/>
              </w:rPr>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量：</w:t>
            </w:r>
            <w:r>
              <w:rPr>
                <w:rFonts w:ascii="宋体" w:hAnsi="宋体" w:cs="宋体" w:eastAsia="宋体" w:hint="default"/>
                <w:sz w:val="21"/>
                <w:szCs w:val="21"/>
              </w:rPr>
            </w:r>
          </w:p>
        </w:tc>
        <w:tc>
          <w:tcPr>
            <w:tcW w:w="2801" w:type="dxa"/>
            <w:tcBorders>
              <w:top w:val="single" w:sz="4" w:space="0" w:color="000000"/>
              <w:left w:val="single" w:sz="4" w:space="0" w:color="000000"/>
              <w:bottom w:val="single" w:sz="6" w:space="0" w:color="000000"/>
              <w:right w:val="single" w:sz="6" w:space="0" w:color="000000"/>
            </w:tcBorders>
          </w:tcPr>
          <w:p>
            <w:pPr/>
          </w:p>
        </w:tc>
        <w:tc>
          <w:tcPr>
            <w:tcW w:w="2765" w:type="dxa"/>
            <w:tcBorders>
              <w:top w:val="single" w:sz="4" w:space="0" w:color="000000"/>
              <w:left w:val="single" w:sz="6" w:space="0" w:color="000000"/>
              <w:bottom w:val="single" w:sz="6" w:space="0" w:color="000000"/>
              <w:right w:val="single" w:sz="6" w:space="0" w:color="000000"/>
            </w:tcBorders>
          </w:tcPr>
          <w:p>
            <w:pPr/>
          </w:p>
        </w:tc>
      </w:tr>
      <w:tr>
        <w:trPr>
          <w:trHeight w:val="286"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2801"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560,022,557</w:t>
            </w:r>
          </w:p>
        </w:tc>
        <w:tc>
          <w:tcPr>
            <w:tcW w:w="276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244,169,080</w:t>
            </w:r>
          </w:p>
        </w:tc>
      </w:tr>
      <w:tr>
        <w:trPr>
          <w:trHeight w:val="288"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2801" w:type="dxa"/>
            <w:tcBorders>
              <w:top w:val="single" w:sz="6" w:space="0" w:color="000000"/>
              <w:left w:val="single" w:sz="4"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299,164,399</w:t>
            </w:r>
          </w:p>
        </w:tc>
        <w:tc>
          <w:tcPr>
            <w:tcW w:w="276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119,711,093</w:t>
            </w:r>
          </w:p>
        </w:tc>
      </w:tr>
      <w:tr>
        <w:trPr>
          <w:trHeight w:val="559"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pacing w:val="-8"/>
                <w:sz w:val="21"/>
                <w:szCs w:val="21"/>
              </w:rPr>
              <w:t>固定资产折旧、油气资产折耗、生产</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性生物资产折旧</w:t>
            </w:r>
          </w:p>
        </w:tc>
        <w:tc>
          <w:tcPr>
            <w:tcW w:w="2801"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102,577,589</w:t>
            </w:r>
          </w:p>
        </w:tc>
        <w:tc>
          <w:tcPr>
            <w:tcW w:w="276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93,632,613</w:t>
            </w:r>
          </w:p>
        </w:tc>
      </w:tr>
      <w:tr>
        <w:trPr>
          <w:trHeight w:val="288"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2801" w:type="dxa"/>
            <w:tcBorders>
              <w:top w:val="single" w:sz="6" w:space="0" w:color="000000"/>
              <w:left w:val="single" w:sz="4"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92,729,358</w:t>
            </w:r>
          </w:p>
        </w:tc>
        <w:tc>
          <w:tcPr>
            <w:tcW w:w="276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73,134,233</w:t>
            </w:r>
          </w:p>
        </w:tc>
      </w:tr>
      <w:tr>
        <w:trPr>
          <w:trHeight w:val="288"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2801"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17,837,764</w:t>
            </w:r>
          </w:p>
        </w:tc>
        <w:tc>
          <w:tcPr>
            <w:tcW w:w="276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15,125,002</w:t>
            </w:r>
          </w:p>
        </w:tc>
      </w:tr>
      <w:tr>
        <w:trPr>
          <w:trHeight w:val="559"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处置</w:t>
            </w:r>
            <w:r>
              <w:rPr>
                <w:rFonts w:ascii="宋体" w:hAnsi="宋体" w:cs="宋体" w:eastAsia="宋体" w:hint="default"/>
                <w:spacing w:val="-3"/>
                <w:w w:val="100"/>
                <w:sz w:val="21"/>
                <w:szCs w:val="21"/>
              </w:rPr>
              <w:t>固</w:t>
            </w:r>
            <w:r>
              <w:rPr>
                <w:rFonts w:ascii="宋体" w:hAnsi="宋体" w:cs="宋体" w:eastAsia="宋体" w:hint="default"/>
                <w:w w:val="100"/>
                <w:sz w:val="21"/>
                <w:szCs w:val="21"/>
              </w:rPr>
              <w:t>定</w:t>
            </w:r>
            <w:r>
              <w:rPr>
                <w:rFonts w:ascii="宋体" w:hAnsi="宋体" w:cs="宋体" w:eastAsia="宋体" w:hint="default"/>
                <w:spacing w:val="-3"/>
                <w:w w:val="100"/>
                <w:sz w:val="21"/>
                <w:szCs w:val="21"/>
              </w:rPr>
              <w:t>资产</w:t>
            </w:r>
            <w:r>
              <w:rPr>
                <w:rFonts w:ascii="宋体" w:hAnsi="宋体" w:cs="宋体" w:eastAsia="宋体" w:hint="default"/>
                <w:spacing w:val="-94"/>
                <w:w w:val="100"/>
                <w:sz w:val="21"/>
                <w:szCs w:val="21"/>
              </w:rPr>
              <w:t>、</w:t>
            </w:r>
            <w:r>
              <w:rPr>
                <w:rFonts w:ascii="宋体" w:hAnsi="宋体" w:cs="宋体" w:eastAsia="宋体" w:hint="default"/>
                <w:spacing w:val="-3"/>
                <w:w w:val="100"/>
                <w:sz w:val="21"/>
                <w:szCs w:val="21"/>
              </w:rPr>
              <w:t>无</w:t>
            </w:r>
            <w:r>
              <w:rPr>
                <w:rFonts w:ascii="宋体" w:hAnsi="宋体" w:cs="宋体" w:eastAsia="宋体" w:hint="default"/>
                <w:w w:val="100"/>
                <w:sz w:val="21"/>
                <w:szCs w:val="21"/>
              </w:rPr>
              <w:t>形</w:t>
            </w:r>
            <w:r>
              <w:rPr>
                <w:rFonts w:ascii="宋体" w:hAnsi="宋体" w:cs="宋体" w:eastAsia="宋体" w:hint="default"/>
                <w:spacing w:val="-3"/>
                <w:w w:val="100"/>
                <w:sz w:val="21"/>
                <w:szCs w:val="21"/>
              </w:rPr>
              <w:t>资</w:t>
            </w:r>
            <w:r>
              <w:rPr>
                <w:rFonts w:ascii="宋体" w:hAnsi="宋体" w:cs="宋体" w:eastAsia="宋体" w:hint="default"/>
                <w:w w:val="100"/>
                <w:sz w:val="21"/>
                <w:szCs w:val="21"/>
              </w:rPr>
              <w:t>产</w:t>
            </w:r>
            <w:r>
              <w:rPr>
                <w:rFonts w:ascii="宋体" w:hAnsi="宋体" w:cs="宋体" w:eastAsia="宋体" w:hint="default"/>
                <w:spacing w:val="-3"/>
                <w:w w:val="100"/>
                <w:sz w:val="21"/>
                <w:szCs w:val="21"/>
              </w:rPr>
              <w:t>和</w:t>
            </w:r>
            <w:r>
              <w:rPr>
                <w:rFonts w:ascii="宋体" w:hAnsi="宋体" w:cs="宋体" w:eastAsia="宋体" w:hint="default"/>
                <w:w w:val="100"/>
                <w:sz w:val="21"/>
                <w:szCs w:val="21"/>
              </w:rPr>
              <w:t>其他</w:t>
            </w:r>
            <w:r>
              <w:rPr>
                <w:rFonts w:ascii="宋体" w:hAnsi="宋体" w:cs="宋体" w:eastAsia="宋体" w:hint="default"/>
                <w:spacing w:val="-3"/>
                <w:w w:val="100"/>
                <w:sz w:val="21"/>
                <w:szCs w:val="21"/>
              </w:rPr>
              <w:t>长</w:t>
            </w:r>
            <w:r>
              <w:rPr>
                <w:rFonts w:ascii="宋体" w:hAnsi="宋体" w:cs="宋体" w:eastAsia="宋体" w:hint="default"/>
                <w:w w:val="100"/>
                <w:sz w:val="21"/>
                <w:szCs w:val="21"/>
              </w:rPr>
              <w:t>期</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资产的损失（收益以“－”号填列）</w:t>
            </w:r>
          </w:p>
        </w:tc>
        <w:tc>
          <w:tcPr>
            <w:tcW w:w="2801"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-405,547</w:t>
            </w:r>
          </w:p>
        </w:tc>
        <w:tc>
          <w:tcPr>
            <w:tcW w:w="276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145,294</w:t>
            </w:r>
          </w:p>
        </w:tc>
      </w:tr>
      <w:tr>
        <w:trPr>
          <w:trHeight w:val="559"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固定</w:t>
            </w:r>
            <w:r>
              <w:rPr>
                <w:rFonts w:ascii="宋体" w:hAnsi="宋体" w:cs="宋体" w:eastAsia="宋体" w:hint="default"/>
                <w:spacing w:val="-3"/>
                <w:w w:val="100"/>
                <w:sz w:val="21"/>
                <w:szCs w:val="21"/>
              </w:rPr>
              <w:t>资</w:t>
            </w:r>
            <w:r>
              <w:rPr>
                <w:rFonts w:ascii="宋体" w:hAnsi="宋体" w:cs="宋体" w:eastAsia="宋体" w:hint="default"/>
                <w:w w:val="100"/>
                <w:sz w:val="21"/>
                <w:szCs w:val="21"/>
              </w:rPr>
              <w:t>产</w:t>
            </w:r>
            <w:r>
              <w:rPr>
                <w:rFonts w:ascii="宋体" w:hAnsi="宋体" w:cs="宋体" w:eastAsia="宋体" w:hint="default"/>
                <w:spacing w:val="-3"/>
                <w:w w:val="100"/>
                <w:sz w:val="21"/>
                <w:szCs w:val="21"/>
              </w:rPr>
              <w:t>报</w:t>
            </w:r>
            <w:r>
              <w:rPr>
                <w:rFonts w:ascii="宋体" w:hAnsi="宋体" w:cs="宋体" w:eastAsia="宋体" w:hint="default"/>
                <w:w w:val="100"/>
                <w:sz w:val="21"/>
                <w:szCs w:val="21"/>
              </w:rPr>
              <w:t>废</w:t>
            </w:r>
            <w:r>
              <w:rPr>
                <w:rFonts w:ascii="宋体" w:hAnsi="宋体" w:cs="宋体" w:eastAsia="宋体" w:hint="default"/>
                <w:spacing w:val="-3"/>
                <w:w w:val="100"/>
                <w:sz w:val="21"/>
                <w:szCs w:val="21"/>
              </w:rPr>
              <w:t>损</w:t>
            </w:r>
            <w:r>
              <w:rPr>
                <w:rFonts w:ascii="宋体" w:hAnsi="宋体" w:cs="宋体" w:eastAsia="宋体" w:hint="default"/>
                <w:spacing w:val="-97"/>
                <w:w w:val="100"/>
                <w:sz w:val="21"/>
                <w:szCs w:val="21"/>
              </w:rPr>
              <w:t>失</w:t>
            </w:r>
            <w:r>
              <w:rPr>
                <w:rFonts w:ascii="宋体" w:hAnsi="宋体" w:cs="宋体" w:eastAsia="宋体" w:hint="default"/>
                <w:w w:val="100"/>
                <w:sz w:val="21"/>
                <w:szCs w:val="21"/>
              </w:rPr>
              <w:t>（</w:t>
            </w:r>
            <w:r>
              <w:rPr>
                <w:rFonts w:ascii="宋体" w:hAnsi="宋体" w:cs="宋体" w:eastAsia="宋体" w:hint="default"/>
                <w:spacing w:val="-3"/>
                <w:w w:val="100"/>
                <w:sz w:val="21"/>
                <w:szCs w:val="21"/>
              </w:rPr>
              <w:t>收</w:t>
            </w:r>
            <w:r>
              <w:rPr>
                <w:rFonts w:ascii="宋体" w:hAnsi="宋体" w:cs="宋体" w:eastAsia="宋体" w:hint="default"/>
                <w:w w:val="100"/>
                <w:sz w:val="21"/>
                <w:szCs w:val="21"/>
              </w:rPr>
              <w:t>益</w:t>
            </w:r>
            <w:r>
              <w:rPr>
                <w:rFonts w:ascii="宋体" w:hAnsi="宋体" w:cs="宋体" w:eastAsia="宋体" w:hint="default"/>
                <w:spacing w:val="-3"/>
                <w:w w:val="100"/>
                <w:sz w:val="21"/>
                <w:szCs w:val="21"/>
              </w:rPr>
              <w:t>以</w:t>
            </w:r>
            <w:r>
              <w:rPr>
                <w:rFonts w:ascii="宋体" w:hAnsi="宋体" w:cs="宋体" w:eastAsia="宋体" w:hint="default"/>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号</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填列）</w:t>
            </w:r>
          </w:p>
        </w:tc>
        <w:tc>
          <w:tcPr>
            <w:tcW w:w="2801" w:type="dxa"/>
            <w:tcBorders>
              <w:top w:val="single" w:sz="6" w:space="0" w:color="000000"/>
              <w:left w:val="single" w:sz="4" w:space="0" w:color="000000"/>
              <w:bottom w:val="single" w:sz="6" w:space="0" w:color="000000"/>
              <w:right w:val="single" w:sz="6" w:space="0" w:color="000000"/>
            </w:tcBorders>
          </w:tcPr>
          <w:p>
            <w:pPr/>
          </w:p>
        </w:tc>
        <w:tc>
          <w:tcPr>
            <w:tcW w:w="2765"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公允</w:t>
            </w:r>
            <w:r>
              <w:rPr>
                <w:rFonts w:ascii="宋体" w:hAnsi="宋体" w:cs="宋体" w:eastAsia="宋体" w:hint="default"/>
                <w:spacing w:val="-3"/>
                <w:w w:val="100"/>
                <w:sz w:val="21"/>
                <w:szCs w:val="21"/>
              </w:rPr>
              <w:t>价</w:t>
            </w:r>
            <w:r>
              <w:rPr>
                <w:rFonts w:ascii="宋体" w:hAnsi="宋体" w:cs="宋体" w:eastAsia="宋体" w:hint="default"/>
                <w:w w:val="100"/>
                <w:sz w:val="21"/>
                <w:szCs w:val="21"/>
              </w:rPr>
              <w:t>值</w:t>
            </w:r>
            <w:r>
              <w:rPr>
                <w:rFonts w:ascii="宋体" w:hAnsi="宋体" w:cs="宋体" w:eastAsia="宋体" w:hint="default"/>
                <w:spacing w:val="-3"/>
                <w:w w:val="100"/>
                <w:sz w:val="21"/>
                <w:szCs w:val="21"/>
              </w:rPr>
              <w:t>变</w:t>
            </w:r>
            <w:r>
              <w:rPr>
                <w:rFonts w:ascii="宋体" w:hAnsi="宋体" w:cs="宋体" w:eastAsia="宋体" w:hint="default"/>
                <w:w w:val="100"/>
                <w:sz w:val="21"/>
                <w:szCs w:val="21"/>
              </w:rPr>
              <w:t>动</w:t>
            </w:r>
            <w:r>
              <w:rPr>
                <w:rFonts w:ascii="宋体" w:hAnsi="宋体" w:cs="宋体" w:eastAsia="宋体" w:hint="default"/>
                <w:spacing w:val="-3"/>
                <w:w w:val="100"/>
                <w:sz w:val="21"/>
                <w:szCs w:val="21"/>
              </w:rPr>
              <w:t>损</w:t>
            </w:r>
            <w:r>
              <w:rPr>
                <w:rFonts w:ascii="宋体" w:hAnsi="宋体" w:cs="宋体" w:eastAsia="宋体" w:hint="default"/>
                <w:spacing w:val="-97"/>
                <w:w w:val="100"/>
                <w:sz w:val="21"/>
                <w:szCs w:val="21"/>
              </w:rPr>
              <w:t>失</w:t>
            </w:r>
            <w:r>
              <w:rPr>
                <w:rFonts w:ascii="宋体" w:hAnsi="宋体" w:cs="宋体" w:eastAsia="宋体" w:hint="default"/>
                <w:w w:val="100"/>
                <w:sz w:val="21"/>
                <w:szCs w:val="21"/>
              </w:rPr>
              <w:t>（</w:t>
            </w:r>
            <w:r>
              <w:rPr>
                <w:rFonts w:ascii="宋体" w:hAnsi="宋体" w:cs="宋体" w:eastAsia="宋体" w:hint="default"/>
                <w:spacing w:val="-3"/>
                <w:w w:val="100"/>
                <w:sz w:val="21"/>
                <w:szCs w:val="21"/>
              </w:rPr>
              <w:t>收</w:t>
            </w:r>
            <w:r>
              <w:rPr>
                <w:rFonts w:ascii="宋体" w:hAnsi="宋体" w:cs="宋体" w:eastAsia="宋体" w:hint="default"/>
                <w:w w:val="100"/>
                <w:sz w:val="21"/>
                <w:szCs w:val="21"/>
              </w:rPr>
              <w:t>益</w:t>
            </w:r>
            <w:r>
              <w:rPr>
                <w:rFonts w:ascii="宋体" w:hAnsi="宋体" w:cs="宋体" w:eastAsia="宋体" w:hint="default"/>
                <w:spacing w:val="-3"/>
                <w:w w:val="100"/>
                <w:sz w:val="21"/>
                <w:szCs w:val="21"/>
              </w:rPr>
              <w:t>以</w:t>
            </w:r>
            <w:r>
              <w:rPr>
                <w:rFonts w:ascii="宋体" w:hAnsi="宋体" w:cs="宋体" w:eastAsia="宋体" w:hint="default"/>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号</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填列）</w:t>
            </w:r>
          </w:p>
        </w:tc>
        <w:tc>
          <w:tcPr>
            <w:tcW w:w="2801" w:type="dxa"/>
            <w:tcBorders>
              <w:top w:val="single" w:sz="6" w:space="0" w:color="000000"/>
              <w:left w:val="single" w:sz="4" w:space="0" w:color="000000"/>
              <w:bottom w:val="single" w:sz="6" w:space="0" w:color="000000"/>
              <w:right w:val="single" w:sz="6" w:space="0" w:color="000000"/>
            </w:tcBorders>
          </w:tcPr>
          <w:p>
            <w:pPr/>
          </w:p>
        </w:tc>
        <w:tc>
          <w:tcPr>
            <w:tcW w:w="2765"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财务费用（收益以“－”号填列）</w:t>
            </w:r>
          </w:p>
        </w:tc>
        <w:tc>
          <w:tcPr>
            <w:tcW w:w="2801" w:type="dxa"/>
            <w:tcBorders>
              <w:top w:val="single" w:sz="6" w:space="0" w:color="000000"/>
              <w:left w:val="single" w:sz="4"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200,776,978</w:t>
            </w:r>
          </w:p>
        </w:tc>
        <w:tc>
          <w:tcPr>
            <w:tcW w:w="276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67,913,156</w:t>
            </w:r>
          </w:p>
        </w:tc>
      </w:tr>
      <w:tr>
        <w:trPr>
          <w:trHeight w:val="288"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投资损失（收益以“－”号填列）</w:t>
            </w:r>
          </w:p>
        </w:tc>
        <w:tc>
          <w:tcPr>
            <w:tcW w:w="2801"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-71,634,696</w:t>
            </w:r>
          </w:p>
        </w:tc>
        <w:tc>
          <w:tcPr>
            <w:tcW w:w="276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-51,517,834</w:t>
            </w:r>
          </w:p>
        </w:tc>
      </w:tr>
      <w:tr>
        <w:trPr>
          <w:trHeight w:val="559"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递延</w:t>
            </w:r>
            <w:r>
              <w:rPr>
                <w:rFonts w:ascii="宋体" w:hAnsi="宋体" w:cs="宋体" w:eastAsia="宋体" w:hint="default"/>
                <w:spacing w:val="-3"/>
                <w:w w:val="100"/>
                <w:sz w:val="21"/>
                <w:szCs w:val="21"/>
              </w:rPr>
              <w:t>所</w:t>
            </w:r>
            <w:r>
              <w:rPr>
                <w:rFonts w:ascii="宋体" w:hAnsi="宋体" w:cs="宋体" w:eastAsia="宋体" w:hint="default"/>
                <w:w w:val="100"/>
                <w:sz w:val="21"/>
                <w:szCs w:val="21"/>
              </w:rPr>
              <w:t>得</w:t>
            </w:r>
            <w:r>
              <w:rPr>
                <w:rFonts w:ascii="宋体" w:hAnsi="宋体" w:cs="宋体" w:eastAsia="宋体" w:hint="default"/>
                <w:spacing w:val="-3"/>
                <w:w w:val="100"/>
                <w:sz w:val="21"/>
                <w:szCs w:val="21"/>
              </w:rPr>
              <w:t>税</w:t>
            </w:r>
            <w:r>
              <w:rPr>
                <w:rFonts w:ascii="宋体" w:hAnsi="宋体" w:cs="宋体" w:eastAsia="宋体" w:hint="default"/>
                <w:w w:val="100"/>
                <w:sz w:val="21"/>
                <w:szCs w:val="21"/>
              </w:rPr>
              <w:t>资</w:t>
            </w:r>
            <w:r>
              <w:rPr>
                <w:rFonts w:ascii="宋体" w:hAnsi="宋体" w:cs="宋体" w:eastAsia="宋体" w:hint="default"/>
                <w:spacing w:val="-3"/>
                <w:w w:val="100"/>
                <w:sz w:val="21"/>
                <w:szCs w:val="21"/>
              </w:rPr>
              <w:t>产</w:t>
            </w:r>
            <w:r>
              <w:rPr>
                <w:rFonts w:ascii="宋体" w:hAnsi="宋体" w:cs="宋体" w:eastAsia="宋体" w:hint="default"/>
                <w:w w:val="100"/>
                <w:sz w:val="21"/>
                <w:szCs w:val="21"/>
              </w:rPr>
              <w:t>减</w:t>
            </w:r>
            <w:r>
              <w:rPr>
                <w:rFonts w:ascii="宋体" w:hAnsi="宋体" w:cs="宋体" w:eastAsia="宋体" w:hint="default"/>
                <w:spacing w:val="-97"/>
                <w:w w:val="100"/>
                <w:sz w:val="21"/>
                <w:szCs w:val="21"/>
              </w:rPr>
              <w:t>少</w:t>
            </w:r>
            <w:r>
              <w:rPr>
                <w:rFonts w:ascii="宋体" w:hAnsi="宋体" w:cs="宋体" w:eastAsia="宋体" w:hint="default"/>
                <w:spacing w:val="-3"/>
                <w:w w:val="100"/>
                <w:sz w:val="21"/>
                <w:szCs w:val="21"/>
              </w:rPr>
              <w:t>（</w:t>
            </w:r>
            <w:r>
              <w:rPr>
                <w:rFonts w:ascii="宋体" w:hAnsi="宋体" w:cs="宋体" w:eastAsia="宋体" w:hint="default"/>
                <w:w w:val="100"/>
                <w:sz w:val="21"/>
                <w:szCs w:val="21"/>
              </w:rPr>
              <w:t>增</w:t>
            </w:r>
            <w:r>
              <w:rPr>
                <w:rFonts w:ascii="宋体" w:hAnsi="宋体" w:cs="宋体" w:eastAsia="宋体" w:hint="default"/>
                <w:spacing w:val="-3"/>
                <w:w w:val="100"/>
                <w:sz w:val="21"/>
                <w:szCs w:val="21"/>
              </w:rPr>
              <w:t>加</w:t>
            </w:r>
            <w:r>
              <w:rPr>
                <w:rFonts w:ascii="宋体" w:hAnsi="宋体" w:cs="宋体" w:eastAsia="宋体" w:hint="default"/>
                <w:w w:val="100"/>
                <w:sz w:val="21"/>
                <w:szCs w:val="21"/>
              </w:rPr>
              <w:t>以“</w:t>
            </w:r>
            <w:r>
              <w:rPr>
                <w:rFonts w:ascii="宋体" w:hAnsi="宋体" w:cs="宋体" w:eastAsia="宋体" w:hint="default"/>
                <w:spacing w:val="-3"/>
                <w:w w:val="100"/>
                <w:sz w:val="21"/>
                <w:szCs w:val="21"/>
              </w:rPr>
              <w:t>－</w:t>
            </w:r>
            <w:r>
              <w:rPr>
                <w:rFonts w:ascii="宋体" w:hAnsi="宋体" w:cs="宋体" w:eastAsia="宋体" w:hint="default"/>
                <w:w w:val="100"/>
                <w:sz w:val="21"/>
                <w:szCs w:val="21"/>
              </w:rPr>
              <w:t>”</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号填列）</w:t>
            </w:r>
          </w:p>
        </w:tc>
        <w:tc>
          <w:tcPr>
            <w:tcW w:w="2801"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5,505,394</w:t>
            </w:r>
          </w:p>
        </w:tc>
        <w:tc>
          <w:tcPr>
            <w:tcW w:w="276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-22,872,122</w:t>
            </w:r>
          </w:p>
        </w:tc>
      </w:tr>
      <w:tr>
        <w:trPr>
          <w:trHeight w:val="560"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递延</w:t>
            </w:r>
            <w:r>
              <w:rPr>
                <w:rFonts w:ascii="宋体" w:hAnsi="宋体" w:cs="宋体" w:eastAsia="宋体" w:hint="default"/>
                <w:spacing w:val="-3"/>
                <w:w w:val="100"/>
                <w:sz w:val="21"/>
                <w:szCs w:val="21"/>
              </w:rPr>
              <w:t>所</w:t>
            </w:r>
            <w:r>
              <w:rPr>
                <w:rFonts w:ascii="宋体" w:hAnsi="宋体" w:cs="宋体" w:eastAsia="宋体" w:hint="default"/>
                <w:w w:val="100"/>
                <w:sz w:val="21"/>
                <w:szCs w:val="21"/>
              </w:rPr>
              <w:t>得</w:t>
            </w:r>
            <w:r>
              <w:rPr>
                <w:rFonts w:ascii="宋体" w:hAnsi="宋体" w:cs="宋体" w:eastAsia="宋体" w:hint="default"/>
                <w:spacing w:val="-3"/>
                <w:w w:val="100"/>
                <w:sz w:val="21"/>
                <w:szCs w:val="21"/>
              </w:rPr>
              <w:t>税</w:t>
            </w:r>
            <w:r>
              <w:rPr>
                <w:rFonts w:ascii="宋体" w:hAnsi="宋体" w:cs="宋体" w:eastAsia="宋体" w:hint="default"/>
                <w:w w:val="100"/>
                <w:sz w:val="21"/>
                <w:szCs w:val="21"/>
              </w:rPr>
              <w:t>负</w:t>
            </w:r>
            <w:r>
              <w:rPr>
                <w:rFonts w:ascii="宋体" w:hAnsi="宋体" w:cs="宋体" w:eastAsia="宋体" w:hint="default"/>
                <w:spacing w:val="-3"/>
                <w:w w:val="100"/>
                <w:sz w:val="21"/>
                <w:szCs w:val="21"/>
              </w:rPr>
              <w:t>债</w:t>
            </w:r>
            <w:r>
              <w:rPr>
                <w:rFonts w:ascii="宋体" w:hAnsi="宋体" w:cs="宋体" w:eastAsia="宋体" w:hint="default"/>
                <w:w w:val="100"/>
                <w:sz w:val="21"/>
                <w:szCs w:val="21"/>
              </w:rPr>
              <w:t>增</w:t>
            </w:r>
            <w:r>
              <w:rPr>
                <w:rFonts w:ascii="宋体" w:hAnsi="宋体" w:cs="宋体" w:eastAsia="宋体" w:hint="default"/>
                <w:spacing w:val="-97"/>
                <w:w w:val="100"/>
                <w:sz w:val="21"/>
                <w:szCs w:val="21"/>
              </w:rPr>
              <w:t>加</w:t>
            </w:r>
            <w:r>
              <w:rPr>
                <w:rFonts w:ascii="宋体" w:hAnsi="宋体" w:cs="宋体" w:eastAsia="宋体" w:hint="default"/>
                <w:spacing w:val="-3"/>
                <w:w w:val="100"/>
                <w:sz w:val="21"/>
                <w:szCs w:val="21"/>
              </w:rPr>
              <w:t>（</w:t>
            </w:r>
            <w:r>
              <w:rPr>
                <w:rFonts w:ascii="宋体" w:hAnsi="宋体" w:cs="宋体" w:eastAsia="宋体" w:hint="default"/>
                <w:w w:val="100"/>
                <w:sz w:val="21"/>
                <w:szCs w:val="21"/>
              </w:rPr>
              <w:t>减</w:t>
            </w:r>
            <w:r>
              <w:rPr>
                <w:rFonts w:ascii="宋体" w:hAnsi="宋体" w:cs="宋体" w:eastAsia="宋体" w:hint="default"/>
                <w:spacing w:val="-3"/>
                <w:w w:val="100"/>
                <w:sz w:val="21"/>
                <w:szCs w:val="21"/>
              </w:rPr>
              <w:t>少</w:t>
            </w:r>
            <w:r>
              <w:rPr>
                <w:rFonts w:ascii="宋体" w:hAnsi="宋体" w:cs="宋体" w:eastAsia="宋体" w:hint="default"/>
                <w:w w:val="100"/>
                <w:sz w:val="21"/>
                <w:szCs w:val="21"/>
              </w:rPr>
              <w:t>以“</w:t>
            </w:r>
            <w:r>
              <w:rPr>
                <w:rFonts w:ascii="宋体" w:hAnsi="宋体" w:cs="宋体" w:eastAsia="宋体" w:hint="default"/>
                <w:spacing w:val="-3"/>
                <w:w w:val="100"/>
                <w:sz w:val="21"/>
                <w:szCs w:val="21"/>
              </w:rPr>
              <w:t>－</w:t>
            </w:r>
            <w:r>
              <w:rPr>
                <w:rFonts w:ascii="宋体" w:hAnsi="宋体" w:cs="宋体" w:eastAsia="宋体" w:hint="default"/>
                <w:w w:val="100"/>
                <w:sz w:val="21"/>
                <w:szCs w:val="21"/>
              </w:rPr>
              <w:t>”</w:t>
            </w:r>
          </w:p>
          <w:p>
            <w:pPr>
              <w:pStyle w:val="TableParagraph"/>
              <w:spacing w:line="275" w:lineRule="exact"/>
              <w:ind w:left="103" w:right="0"/>
              <w:jc w:val="left"/>
              <w:rPr>
                <w:rFonts w:ascii="宋体" w:hAnsi="宋体" w:cs="宋体" w:eastAsia="宋体" w:hint="default"/>
                <w:sz w:val="21"/>
                <w:szCs w:val="21"/>
              </w:rPr>
            </w:pPr>
            <w:r>
              <w:rPr>
                <w:rFonts w:ascii="宋体" w:hAnsi="宋体" w:cs="宋体" w:eastAsia="宋体" w:hint="default"/>
                <w:sz w:val="21"/>
                <w:szCs w:val="21"/>
              </w:rPr>
              <w:t>号填列）</w:t>
            </w:r>
          </w:p>
        </w:tc>
        <w:tc>
          <w:tcPr>
            <w:tcW w:w="2801"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13,502,660</w:t>
            </w:r>
          </w:p>
        </w:tc>
        <w:tc>
          <w:tcPr>
            <w:tcW w:w="276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-1,386,898</w:t>
            </w:r>
          </w:p>
        </w:tc>
      </w:tr>
      <w:tr>
        <w:trPr>
          <w:trHeight w:val="288"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存货的减少（增加以“－”号填列）</w:t>
            </w:r>
          </w:p>
        </w:tc>
        <w:tc>
          <w:tcPr>
            <w:tcW w:w="2801" w:type="dxa"/>
            <w:tcBorders>
              <w:top w:val="single" w:sz="6" w:space="0" w:color="000000"/>
              <w:left w:val="single" w:sz="4"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2,787,602</w:t>
            </w:r>
          </w:p>
        </w:tc>
        <w:tc>
          <w:tcPr>
            <w:tcW w:w="276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-10,719,992</w:t>
            </w:r>
          </w:p>
        </w:tc>
      </w:tr>
      <w:tr>
        <w:trPr>
          <w:trHeight w:val="559"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经营性应收项目的减少（增加以</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“－”号填列）</w:t>
            </w:r>
          </w:p>
        </w:tc>
        <w:tc>
          <w:tcPr>
            <w:tcW w:w="2801"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-305,640,951</w:t>
            </w:r>
          </w:p>
        </w:tc>
        <w:tc>
          <w:tcPr>
            <w:tcW w:w="276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-147,135,876</w:t>
            </w:r>
          </w:p>
        </w:tc>
      </w:tr>
      <w:tr>
        <w:trPr>
          <w:trHeight w:val="559"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经营性应付项目的增加（减少以</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“－”号填列）</w:t>
            </w:r>
          </w:p>
        </w:tc>
        <w:tc>
          <w:tcPr>
            <w:tcW w:w="2801"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318,066,231</w:t>
            </w:r>
          </w:p>
        </w:tc>
        <w:tc>
          <w:tcPr>
            <w:tcW w:w="276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364,664,863</w:t>
            </w:r>
          </w:p>
        </w:tc>
      </w:tr>
      <w:tr>
        <w:trPr>
          <w:trHeight w:val="288"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801" w:type="dxa"/>
            <w:tcBorders>
              <w:top w:val="single" w:sz="6" w:space="0" w:color="000000"/>
              <w:left w:val="single" w:sz="4"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195,036,514</w:t>
            </w:r>
          </w:p>
        </w:tc>
        <w:tc>
          <w:tcPr>
            <w:tcW w:w="276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142,218,577</w:t>
            </w:r>
          </w:p>
        </w:tc>
      </w:tr>
      <w:tr>
        <w:trPr>
          <w:trHeight w:val="288"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2801"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1,430,325,852</w:t>
            </w:r>
          </w:p>
        </w:tc>
        <w:tc>
          <w:tcPr>
            <w:tcW w:w="276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887,081,189</w:t>
            </w:r>
          </w:p>
        </w:tc>
      </w:tr>
      <w:tr>
        <w:trPr>
          <w:trHeight w:val="559"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．不涉及现金收支的重大投资和筹</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资活动：</w:t>
            </w:r>
            <w:r>
              <w:rPr>
                <w:rFonts w:ascii="宋体" w:hAnsi="宋体" w:cs="宋体" w:eastAsia="宋体" w:hint="default"/>
                <w:sz w:val="21"/>
                <w:szCs w:val="21"/>
              </w:rPr>
            </w:r>
          </w:p>
        </w:tc>
        <w:tc>
          <w:tcPr>
            <w:tcW w:w="2801" w:type="dxa"/>
            <w:tcBorders>
              <w:top w:val="single" w:sz="6" w:space="0" w:color="000000"/>
              <w:left w:val="single" w:sz="4" w:space="0" w:color="000000"/>
              <w:bottom w:val="single" w:sz="6" w:space="0" w:color="000000"/>
              <w:right w:val="single" w:sz="6" w:space="0" w:color="000000"/>
            </w:tcBorders>
          </w:tcPr>
          <w:p>
            <w:pPr/>
          </w:p>
        </w:tc>
        <w:tc>
          <w:tcPr>
            <w:tcW w:w="2765"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2801" w:type="dxa"/>
            <w:tcBorders>
              <w:top w:val="single" w:sz="6" w:space="0" w:color="000000"/>
              <w:left w:val="single" w:sz="4" w:space="0" w:color="000000"/>
              <w:bottom w:val="single" w:sz="6" w:space="0" w:color="000000"/>
              <w:right w:val="single" w:sz="6" w:space="0" w:color="000000"/>
            </w:tcBorders>
          </w:tcPr>
          <w:p>
            <w:pPr/>
          </w:p>
        </w:tc>
        <w:tc>
          <w:tcPr>
            <w:tcW w:w="2765"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2801" w:type="dxa"/>
            <w:tcBorders>
              <w:top w:val="single" w:sz="6" w:space="0" w:color="000000"/>
              <w:left w:val="single" w:sz="4" w:space="0" w:color="000000"/>
              <w:bottom w:val="single" w:sz="6" w:space="0" w:color="000000"/>
              <w:right w:val="single" w:sz="6" w:space="0" w:color="000000"/>
            </w:tcBorders>
          </w:tcPr>
          <w:p>
            <w:pPr/>
          </w:p>
        </w:tc>
        <w:tc>
          <w:tcPr>
            <w:tcW w:w="2765"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2801" w:type="dxa"/>
            <w:tcBorders>
              <w:top w:val="single" w:sz="6" w:space="0" w:color="000000"/>
              <w:left w:val="single" w:sz="4" w:space="0" w:color="000000"/>
              <w:bottom w:val="single" w:sz="6" w:space="0" w:color="000000"/>
              <w:right w:val="single" w:sz="6" w:space="0" w:color="000000"/>
            </w:tcBorders>
          </w:tcPr>
          <w:p>
            <w:pPr/>
          </w:p>
        </w:tc>
        <w:tc>
          <w:tcPr>
            <w:tcW w:w="2765"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．现金及现金等价物净变动情况：</w:t>
            </w:r>
            <w:r>
              <w:rPr>
                <w:rFonts w:ascii="宋体" w:hAnsi="宋体" w:cs="宋体" w:eastAsia="宋体" w:hint="default"/>
                <w:sz w:val="21"/>
                <w:szCs w:val="21"/>
              </w:rPr>
            </w:r>
          </w:p>
        </w:tc>
        <w:tc>
          <w:tcPr>
            <w:tcW w:w="2801" w:type="dxa"/>
            <w:tcBorders>
              <w:top w:val="single" w:sz="6" w:space="0" w:color="000000"/>
              <w:left w:val="single" w:sz="4" w:space="0" w:color="000000"/>
              <w:bottom w:val="single" w:sz="6" w:space="0" w:color="000000"/>
              <w:right w:val="single" w:sz="6" w:space="0" w:color="000000"/>
            </w:tcBorders>
          </w:tcPr>
          <w:p>
            <w:pPr/>
          </w:p>
        </w:tc>
        <w:tc>
          <w:tcPr>
            <w:tcW w:w="2765" w:type="dxa"/>
            <w:tcBorders>
              <w:top w:val="single" w:sz="6" w:space="0" w:color="000000"/>
              <w:left w:val="single" w:sz="6" w:space="0" w:color="000000"/>
              <w:bottom w:val="single" w:sz="6" w:space="0" w:color="000000"/>
              <w:right w:val="single" w:sz="6" w:space="0" w:color="000000"/>
            </w:tcBorders>
          </w:tcPr>
          <w:p>
            <w:pPr/>
          </w:p>
        </w:tc>
      </w:tr>
    </w:tbl>
    <w:p>
      <w:pPr>
        <w:spacing w:after="0"/>
        <w:sectPr>
          <w:type w:val="continuous"/>
          <w:pgSz w:w="11910" w:h="16840"/>
          <w:pgMar w:top="1320" w:bottom="1380" w:left="1580" w:right="1040"/>
        </w:sectPr>
      </w:pPr>
    </w:p>
    <w:p>
      <w:pPr>
        <w:spacing w:line="240" w:lineRule="auto" w:before="6"/>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3483"/>
        <w:gridCol w:w="2801"/>
        <w:gridCol w:w="2765"/>
      </w:tblGrid>
      <w:tr>
        <w:trPr>
          <w:trHeight w:val="288"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2801" w:type="dxa"/>
            <w:tcBorders>
              <w:top w:val="single" w:sz="6" w:space="0" w:color="000000"/>
              <w:left w:val="single" w:sz="4" w:space="0" w:color="000000"/>
              <w:bottom w:val="single" w:sz="6" w:space="0" w:color="000000"/>
              <w:right w:val="single" w:sz="6" w:space="0" w:color="000000"/>
            </w:tcBorders>
          </w:tcPr>
          <w:p>
            <w:pPr>
              <w:pStyle w:val="TableParagraph"/>
              <w:spacing w:line="244" w:lineRule="exact"/>
              <w:ind w:right="96"/>
              <w:jc w:val="right"/>
              <w:rPr>
                <w:rFonts w:ascii="宋体" w:hAnsi="宋体" w:cs="宋体" w:eastAsia="宋体" w:hint="default"/>
                <w:sz w:val="21"/>
                <w:szCs w:val="21"/>
              </w:rPr>
            </w:pPr>
            <w:r>
              <w:rPr>
                <w:rFonts w:ascii="宋体"/>
                <w:spacing w:val="-1"/>
                <w:sz w:val="21"/>
              </w:rPr>
              <w:t>3,416,062,876</w:t>
            </w:r>
          </w:p>
        </w:tc>
        <w:tc>
          <w:tcPr>
            <w:tcW w:w="2765"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right="96"/>
              <w:jc w:val="right"/>
              <w:rPr>
                <w:rFonts w:ascii="宋体" w:hAnsi="宋体" w:cs="宋体" w:eastAsia="宋体" w:hint="default"/>
                <w:sz w:val="21"/>
                <w:szCs w:val="21"/>
              </w:rPr>
            </w:pPr>
            <w:r>
              <w:rPr>
                <w:rFonts w:ascii="宋体"/>
                <w:spacing w:val="-1"/>
                <w:sz w:val="21"/>
              </w:rPr>
              <w:t>4,160,043,560</w:t>
            </w:r>
          </w:p>
        </w:tc>
      </w:tr>
      <w:tr>
        <w:trPr>
          <w:trHeight w:val="288"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2801"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4,160,043,560</w:t>
            </w:r>
          </w:p>
        </w:tc>
        <w:tc>
          <w:tcPr>
            <w:tcW w:w="276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3,836,031,027</w:t>
            </w:r>
          </w:p>
        </w:tc>
      </w:tr>
      <w:tr>
        <w:trPr>
          <w:trHeight w:val="288"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2801" w:type="dxa"/>
            <w:tcBorders>
              <w:top w:val="single" w:sz="6" w:space="0" w:color="000000"/>
              <w:left w:val="single" w:sz="4" w:space="0" w:color="000000"/>
              <w:bottom w:val="single" w:sz="6" w:space="0" w:color="000000"/>
              <w:right w:val="single" w:sz="6" w:space="0" w:color="000000"/>
            </w:tcBorders>
          </w:tcPr>
          <w:p>
            <w:pPr/>
          </w:p>
        </w:tc>
        <w:tc>
          <w:tcPr>
            <w:tcW w:w="2765"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2801" w:type="dxa"/>
            <w:tcBorders>
              <w:top w:val="single" w:sz="6" w:space="0" w:color="000000"/>
              <w:left w:val="single" w:sz="4" w:space="0" w:color="000000"/>
              <w:bottom w:val="single" w:sz="6" w:space="0" w:color="000000"/>
              <w:right w:val="single" w:sz="6" w:space="0" w:color="000000"/>
            </w:tcBorders>
          </w:tcPr>
          <w:p>
            <w:pPr/>
          </w:p>
        </w:tc>
        <w:tc>
          <w:tcPr>
            <w:tcW w:w="2765"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2801" w:type="dxa"/>
            <w:tcBorders>
              <w:top w:val="single" w:sz="6" w:space="0" w:color="000000"/>
              <w:left w:val="single" w:sz="4"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-743,980,684</w:t>
            </w:r>
          </w:p>
        </w:tc>
        <w:tc>
          <w:tcPr>
            <w:tcW w:w="276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324,012,533</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footerReference w:type="default" r:id="rId76"/>
          <w:pgSz w:w="11910" w:h="16840"/>
          <w:pgMar w:footer="1195" w:header="857" w:top="1320" w:bottom="1380" w:left="1580" w:right="1040"/>
          <w:pgNumType w:start="161"/>
        </w:sectPr>
      </w:pPr>
    </w:p>
    <w:p>
      <w:pPr>
        <w:pStyle w:val="Heading3"/>
        <w:spacing w:line="240" w:lineRule="auto" w:before="36"/>
        <w:ind w:right="-19"/>
        <w:jc w:val="left"/>
        <w:rPr>
          <w:b w:val="0"/>
          <w:bCs w:val="0"/>
        </w:rPr>
      </w:pPr>
      <w:r>
        <w:rPr>
          <w:rFonts w:ascii="宋体" w:hAnsi="宋体" w:cs="宋体" w:eastAsia="宋体" w:hint="default"/>
        </w:rPr>
        <w:t>(2)</w:t>
      </w:r>
      <w:r>
        <w:rPr>
          <w:rFonts w:ascii="宋体" w:hAnsi="宋体" w:cs="宋体" w:eastAsia="宋体" w:hint="default"/>
          <w:spacing w:val="1"/>
        </w:rPr>
        <w:t> </w:t>
      </w:r>
      <w:r>
        <w:rPr/>
        <w:t>本期支付的取得子公司的现金净额</w:t>
      </w:r>
      <w:r>
        <w:rPr>
          <w:b w:val="0"/>
          <w:bCs w:val="0"/>
        </w:rPr>
      </w:r>
    </w:p>
    <w:p>
      <w:pPr>
        <w:pStyle w:val="BodyText"/>
        <w:spacing w:line="240" w:lineRule="auto" w:before="58"/>
        <w:ind w:right="-19"/>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3807" w:space="2926"/>
            <w:col w:w="2557"/>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5917"/>
        <w:gridCol w:w="3133"/>
      </w:tblGrid>
      <w:tr>
        <w:trPr>
          <w:trHeight w:val="281" w:hRule="exact"/>
        </w:trPr>
        <w:tc>
          <w:tcPr>
            <w:tcW w:w="5917" w:type="dxa"/>
            <w:tcBorders>
              <w:top w:val="single" w:sz="4" w:space="0" w:color="000000"/>
              <w:left w:val="single" w:sz="4" w:space="0" w:color="000000"/>
              <w:bottom w:val="single" w:sz="4" w:space="0" w:color="000000"/>
              <w:right w:val="single" w:sz="4" w:space="0" w:color="000000"/>
            </w:tcBorders>
          </w:tcPr>
          <w:p>
            <w:pPr/>
          </w:p>
        </w:tc>
        <w:tc>
          <w:tcPr>
            <w:tcW w:w="31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284" w:hRule="exact"/>
        </w:trPr>
        <w:tc>
          <w:tcPr>
            <w:tcW w:w="59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本期发生的企业合并于本期支付的现金或现金等价物</w:t>
            </w:r>
          </w:p>
        </w:tc>
        <w:tc>
          <w:tcPr>
            <w:tcW w:w="31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2,049,641</w:t>
            </w:r>
          </w:p>
        </w:tc>
      </w:tr>
      <w:tr>
        <w:trPr>
          <w:trHeight w:val="283" w:hRule="exact"/>
        </w:trPr>
        <w:tc>
          <w:tcPr>
            <w:tcW w:w="59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取得子公司及其他营业单位支付的现金净额</w:t>
            </w:r>
          </w:p>
        </w:tc>
        <w:tc>
          <w:tcPr>
            <w:tcW w:w="31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2,049,641</w:t>
            </w:r>
          </w:p>
        </w:tc>
      </w:tr>
      <w:tr>
        <w:trPr>
          <w:trHeight w:val="281" w:hRule="exact"/>
        </w:trPr>
        <w:tc>
          <w:tcPr>
            <w:tcW w:w="5917" w:type="dxa"/>
            <w:tcBorders>
              <w:top w:val="single" w:sz="4" w:space="0" w:color="000000"/>
              <w:left w:val="single" w:sz="4" w:space="0" w:color="000000"/>
              <w:bottom w:val="single" w:sz="4" w:space="0" w:color="000000"/>
              <w:right w:val="single" w:sz="4" w:space="0" w:color="000000"/>
            </w:tcBorders>
          </w:tcPr>
          <w:p>
            <w:pPr/>
          </w:p>
        </w:tc>
        <w:tc>
          <w:tcPr>
            <w:tcW w:w="313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9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减：购买日子公司持有的现金及现金等价物</w:t>
            </w:r>
          </w:p>
        </w:tc>
        <w:tc>
          <w:tcPr>
            <w:tcW w:w="313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917" w:type="dxa"/>
            <w:tcBorders>
              <w:top w:val="single" w:sz="4" w:space="0" w:color="000000"/>
              <w:left w:val="single" w:sz="4" w:space="0" w:color="000000"/>
              <w:bottom w:val="single" w:sz="4" w:space="0" w:color="000000"/>
              <w:right w:val="single" w:sz="4" w:space="0" w:color="000000"/>
            </w:tcBorders>
          </w:tcPr>
          <w:p>
            <w:pPr/>
          </w:p>
        </w:tc>
        <w:tc>
          <w:tcPr>
            <w:tcW w:w="3133"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5917" w:type="dxa"/>
            <w:tcBorders>
              <w:top w:val="single" w:sz="4" w:space="0" w:color="000000"/>
              <w:left w:val="single" w:sz="4" w:space="0" w:color="000000"/>
              <w:bottom w:val="single" w:sz="4" w:space="0" w:color="000000"/>
              <w:right w:val="single" w:sz="4" w:space="0" w:color="000000"/>
            </w:tcBorders>
          </w:tcPr>
          <w:p>
            <w:pPr/>
          </w:p>
        </w:tc>
        <w:tc>
          <w:tcPr>
            <w:tcW w:w="313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9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加：以前期间发生的企业合并于本期支付的现金或现金等价物</w:t>
            </w:r>
          </w:p>
        </w:tc>
        <w:tc>
          <w:tcPr>
            <w:tcW w:w="3133"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5917" w:type="dxa"/>
            <w:tcBorders>
              <w:top w:val="single" w:sz="4" w:space="0" w:color="000000"/>
              <w:left w:val="single" w:sz="4" w:space="0" w:color="000000"/>
              <w:bottom w:val="single" w:sz="4" w:space="0" w:color="000000"/>
              <w:right w:val="single" w:sz="4" w:space="0" w:color="000000"/>
            </w:tcBorders>
          </w:tcPr>
          <w:p>
            <w:pPr/>
          </w:p>
        </w:tc>
        <w:tc>
          <w:tcPr>
            <w:tcW w:w="313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917" w:type="dxa"/>
            <w:tcBorders>
              <w:top w:val="single" w:sz="4" w:space="0" w:color="000000"/>
              <w:left w:val="single" w:sz="4" w:space="0" w:color="000000"/>
              <w:bottom w:val="single" w:sz="4" w:space="0" w:color="000000"/>
              <w:right w:val="single" w:sz="4" w:space="0" w:color="000000"/>
            </w:tcBorders>
          </w:tcPr>
          <w:p>
            <w:pPr/>
          </w:p>
        </w:tc>
        <w:tc>
          <w:tcPr>
            <w:tcW w:w="313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9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取得子公司支付的现金净额</w:t>
            </w:r>
          </w:p>
        </w:tc>
        <w:tc>
          <w:tcPr>
            <w:tcW w:w="31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2,049,641</w:t>
            </w:r>
          </w:p>
        </w:tc>
      </w:tr>
    </w:tbl>
    <w:p>
      <w:pPr>
        <w:spacing w:line="240" w:lineRule="auto" w:before="12"/>
        <w:rPr>
          <w:rFonts w:ascii="宋体" w:hAnsi="宋体" w:cs="宋体" w:eastAsia="宋体" w:hint="default"/>
          <w:sz w:val="19"/>
          <w:szCs w:val="19"/>
        </w:rPr>
      </w:pPr>
    </w:p>
    <w:p>
      <w:pPr>
        <w:pStyle w:val="Heading3"/>
        <w:spacing w:line="240" w:lineRule="auto" w:before="36"/>
        <w:ind w:right="99"/>
        <w:jc w:val="left"/>
        <w:rPr>
          <w:b w:val="0"/>
          <w:bCs w:val="0"/>
        </w:rPr>
      </w:pPr>
      <w:r>
        <w:rPr>
          <w:rFonts w:ascii="宋体" w:hAnsi="宋体" w:cs="宋体" w:eastAsia="宋体" w:hint="default"/>
        </w:rPr>
        <w:t>(3)</w:t>
      </w:r>
      <w:r>
        <w:rPr>
          <w:rFonts w:ascii="宋体" w:hAnsi="宋体" w:cs="宋体" w:eastAsia="宋体" w:hint="default"/>
          <w:spacing w:val="1"/>
        </w:rPr>
        <w:t> </w:t>
      </w:r>
      <w:r>
        <w:rPr/>
        <w:t>本期收到的处置子公司的现金净额</w:t>
      </w:r>
      <w:r>
        <w:rPr>
          <w:b w:val="0"/>
          <w:bCs w:val="0"/>
        </w:rPr>
      </w:r>
    </w:p>
    <w:p>
      <w:pPr>
        <w:pStyle w:val="BodyText"/>
        <w:spacing w:line="240" w:lineRule="auto" w:before="59"/>
        <w:ind w:right="99"/>
        <w:jc w:val="left"/>
      </w:pPr>
      <w:r>
        <w:rPr/>
        <w:t>□适用</w:t>
      </w:r>
      <w:r>
        <w:rPr>
          <w:spacing w:val="-1"/>
        </w:rPr>
        <w:t> </w:t>
      </w:r>
      <w:r>
        <w:rPr/>
        <w:t>√不适用</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type w:val="continuous"/>
          <w:pgSz w:w="11910" w:h="16840"/>
          <w:pgMar w:top="1320" w:bottom="1380" w:left="1580" w:right="1040"/>
        </w:sectPr>
      </w:pPr>
    </w:p>
    <w:p>
      <w:pPr>
        <w:pStyle w:val="Heading3"/>
        <w:spacing w:line="240" w:lineRule="auto" w:before="36"/>
        <w:ind w:right="-19"/>
        <w:jc w:val="left"/>
        <w:rPr>
          <w:b w:val="0"/>
          <w:bCs w:val="0"/>
        </w:rPr>
      </w:pPr>
      <w:r>
        <w:rPr>
          <w:rFonts w:ascii="宋体" w:hAnsi="宋体" w:cs="宋体" w:eastAsia="宋体" w:hint="default"/>
        </w:rPr>
        <w:t>(4)</w:t>
      </w:r>
      <w:r>
        <w:rPr>
          <w:rFonts w:ascii="宋体" w:hAnsi="宋体" w:cs="宋体" w:eastAsia="宋体" w:hint="default"/>
          <w:spacing w:val="2"/>
        </w:rPr>
        <w:t> </w:t>
      </w:r>
      <w:r>
        <w:rPr/>
        <w:t>现金和现金等价物的构成</w:t>
      </w:r>
      <w:r>
        <w:rPr>
          <w:b w:val="0"/>
          <w:bCs w:val="0"/>
        </w:rPr>
      </w:r>
    </w:p>
    <w:p>
      <w:pPr>
        <w:pStyle w:val="BodyText"/>
        <w:spacing w:line="240" w:lineRule="auto" w:before="56"/>
        <w:ind w:right="-19"/>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2965" w:space="3768"/>
            <w:col w:w="2557"/>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394"/>
        <w:gridCol w:w="2921"/>
        <w:gridCol w:w="2734"/>
      </w:tblGrid>
      <w:tr>
        <w:trPr>
          <w:trHeight w:val="295" w:hRule="exact"/>
        </w:trPr>
        <w:tc>
          <w:tcPr>
            <w:tcW w:w="339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104"/>
              <w:jc w:val="center"/>
              <w:rPr>
                <w:rFonts w:ascii="宋体" w:hAnsi="宋体" w:cs="宋体" w:eastAsia="宋体" w:hint="default"/>
                <w:sz w:val="21"/>
                <w:szCs w:val="21"/>
              </w:rPr>
            </w:pPr>
            <w:r>
              <w:rPr>
                <w:rFonts w:ascii="宋体" w:hAnsi="宋体" w:cs="宋体" w:eastAsia="宋体" w:hint="default"/>
                <w:sz w:val="21"/>
                <w:szCs w:val="21"/>
              </w:rPr>
              <w:t>项目</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95" w:hRule="exact"/>
        </w:trPr>
        <w:tc>
          <w:tcPr>
            <w:tcW w:w="339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一、现金</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3,416,062,876</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4,160,043,560</w:t>
            </w:r>
          </w:p>
        </w:tc>
      </w:tr>
      <w:tr>
        <w:trPr>
          <w:trHeight w:val="295" w:hRule="exact"/>
        </w:trPr>
        <w:tc>
          <w:tcPr>
            <w:tcW w:w="339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6,540,051</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7,999,758</w:t>
            </w:r>
          </w:p>
        </w:tc>
      </w:tr>
      <w:tr>
        <w:trPr>
          <w:trHeight w:val="295" w:hRule="exact"/>
        </w:trPr>
        <w:tc>
          <w:tcPr>
            <w:tcW w:w="339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525"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3,409,522,825</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4,152,043,802</w:t>
            </w:r>
          </w:p>
        </w:tc>
      </w:tr>
      <w:tr>
        <w:trPr>
          <w:trHeight w:val="555" w:hRule="exact"/>
        </w:trPr>
        <w:tc>
          <w:tcPr>
            <w:tcW w:w="339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25" w:right="0"/>
              <w:jc w:val="left"/>
              <w:rPr>
                <w:rFonts w:ascii="宋体" w:hAnsi="宋体" w:cs="宋体" w:eastAsia="宋体" w:hint="default"/>
                <w:sz w:val="21"/>
                <w:szCs w:val="21"/>
              </w:rPr>
            </w:pPr>
            <w:r>
              <w:rPr>
                <w:rFonts w:ascii="宋体" w:hAnsi="宋体" w:cs="宋体" w:eastAsia="宋体" w:hint="default"/>
                <w:sz w:val="21"/>
                <w:szCs w:val="21"/>
              </w:rPr>
              <w:t>可随时用于支付的其他货币资</w:t>
            </w:r>
          </w:p>
          <w:p>
            <w:pPr>
              <w:pStyle w:val="TableParagraph"/>
              <w:spacing w:line="275"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金</w:t>
            </w:r>
          </w:p>
        </w:tc>
        <w:tc>
          <w:tcPr>
            <w:tcW w:w="2921" w:type="dxa"/>
            <w:tcBorders>
              <w:top w:val="single" w:sz="4" w:space="0" w:color="000000"/>
              <w:left w:val="single" w:sz="4" w:space="0" w:color="000000"/>
              <w:bottom w:val="single" w:sz="4" w:space="0" w:color="000000"/>
              <w:right w:val="single" w:sz="4" w:space="0" w:color="000000"/>
            </w:tcBorders>
          </w:tcPr>
          <w:p>
            <w:pPr/>
          </w:p>
        </w:tc>
        <w:tc>
          <w:tcPr>
            <w:tcW w:w="2734"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339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25" w:right="0"/>
              <w:jc w:val="left"/>
              <w:rPr>
                <w:rFonts w:ascii="宋体" w:hAnsi="宋体" w:cs="宋体" w:eastAsia="宋体" w:hint="default"/>
                <w:sz w:val="21"/>
                <w:szCs w:val="21"/>
              </w:rPr>
            </w:pPr>
            <w:r>
              <w:rPr>
                <w:rFonts w:ascii="宋体" w:hAnsi="宋体" w:cs="宋体" w:eastAsia="宋体" w:hint="default"/>
                <w:sz w:val="21"/>
                <w:szCs w:val="21"/>
              </w:rPr>
              <w:t>可用于支付的存放中央银行款</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项</w:t>
            </w:r>
          </w:p>
        </w:tc>
        <w:tc>
          <w:tcPr>
            <w:tcW w:w="2921" w:type="dxa"/>
            <w:tcBorders>
              <w:top w:val="single" w:sz="4" w:space="0" w:color="000000"/>
              <w:left w:val="single" w:sz="4" w:space="0" w:color="000000"/>
              <w:bottom w:val="single" w:sz="4" w:space="0" w:color="000000"/>
              <w:right w:val="single" w:sz="4" w:space="0" w:color="000000"/>
            </w:tcBorders>
          </w:tcPr>
          <w:p>
            <w:pPr/>
          </w:p>
        </w:tc>
        <w:tc>
          <w:tcPr>
            <w:tcW w:w="2734"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339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525" w:right="0"/>
              <w:jc w:val="left"/>
              <w:rPr>
                <w:rFonts w:ascii="宋体" w:hAnsi="宋体" w:cs="宋体" w:eastAsia="宋体" w:hint="default"/>
                <w:sz w:val="21"/>
                <w:szCs w:val="21"/>
              </w:rPr>
            </w:pPr>
            <w:r>
              <w:rPr>
                <w:rFonts w:ascii="宋体" w:hAnsi="宋体" w:cs="宋体" w:eastAsia="宋体" w:hint="default"/>
                <w:sz w:val="21"/>
                <w:szCs w:val="21"/>
              </w:rPr>
              <w:t>存放同业款项</w:t>
            </w:r>
          </w:p>
        </w:tc>
        <w:tc>
          <w:tcPr>
            <w:tcW w:w="2921" w:type="dxa"/>
            <w:tcBorders>
              <w:top w:val="single" w:sz="4" w:space="0" w:color="000000"/>
              <w:left w:val="single" w:sz="4" w:space="0" w:color="000000"/>
              <w:bottom w:val="single" w:sz="4" w:space="0" w:color="000000"/>
              <w:right w:val="single" w:sz="4" w:space="0" w:color="000000"/>
            </w:tcBorders>
          </w:tcPr>
          <w:p>
            <w:pPr/>
          </w:p>
        </w:tc>
        <w:tc>
          <w:tcPr>
            <w:tcW w:w="2734"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339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525" w:right="0"/>
              <w:jc w:val="left"/>
              <w:rPr>
                <w:rFonts w:ascii="宋体" w:hAnsi="宋体" w:cs="宋体" w:eastAsia="宋体" w:hint="default"/>
                <w:sz w:val="21"/>
                <w:szCs w:val="21"/>
              </w:rPr>
            </w:pPr>
            <w:r>
              <w:rPr>
                <w:rFonts w:ascii="宋体" w:hAnsi="宋体" w:cs="宋体" w:eastAsia="宋体" w:hint="default"/>
                <w:sz w:val="21"/>
                <w:szCs w:val="21"/>
              </w:rPr>
              <w:t>拆放同业款项</w:t>
            </w:r>
          </w:p>
        </w:tc>
        <w:tc>
          <w:tcPr>
            <w:tcW w:w="2921" w:type="dxa"/>
            <w:tcBorders>
              <w:top w:val="single" w:sz="4" w:space="0" w:color="000000"/>
              <w:left w:val="single" w:sz="4" w:space="0" w:color="000000"/>
              <w:bottom w:val="single" w:sz="4" w:space="0" w:color="000000"/>
              <w:right w:val="single" w:sz="4" w:space="0" w:color="000000"/>
            </w:tcBorders>
          </w:tcPr>
          <w:p>
            <w:pPr/>
          </w:p>
        </w:tc>
        <w:tc>
          <w:tcPr>
            <w:tcW w:w="2734"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339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二、现金等价物</w:t>
            </w:r>
          </w:p>
        </w:tc>
        <w:tc>
          <w:tcPr>
            <w:tcW w:w="2921" w:type="dxa"/>
            <w:tcBorders>
              <w:top w:val="single" w:sz="4" w:space="0" w:color="000000"/>
              <w:left w:val="single" w:sz="4" w:space="0" w:color="000000"/>
              <w:bottom w:val="single" w:sz="4" w:space="0" w:color="000000"/>
              <w:right w:val="single" w:sz="4" w:space="0" w:color="000000"/>
            </w:tcBorders>
          </w:tcPr>
          <w:p>
            <w:pPr/>
          </w:p>
        </w:tc>
        <w:tc>
          <w:tcPr>
            <w:tcW w:w="2734"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339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其中：三个月内到期的债券投资</w:t>
            </w:r>
          </w:p>
        </w:tc>
        <w:tc>
          <w:tcPr>
            <w:tcW w:w="2921" w:type="dxa"/>
            <w:tcBorders>
              <w:top w:val="single" w:sz="4" w:space="0" w:color="000000"/>
              <w:left w:val="single" w:sz="4" w:space="0" w:color="000000"/>
              <w:bottom w:val="single" w:sz="4" w:space="0" w:color="000000"/>
              <w:right w:val="single" w:sz="4" w:space="0" w:color="000000"/>
            </w:tcBorders>
          </w:tcPr>
          <w:p>
            <w:pPr/>
          </w:p>
        </w:tc>
        <w:tc>
          <w:tcPr>
            <w:tcW w:w="2734"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3394" w:type="dxa"/>
            <w:tcBorders>
              <w:top w:val="single" w:sz="4" w:space="0" w:color="000000"/>
              <w:left w:val="single" w:sz="4" w:space="0" w:color="000000"/>
              <w:bottom w:val="single" w:sz="4" w:space="0" w:color="000000"/>
              <w:right w:val="single" w:sz="4" w:space="0" w:color="000000"/>
            </w:tcBorders>
          </w:tcPr>
          <w:p>
            <w:pPr/>
          </w:p>
        </w:tc>
        <w:tc>
          <w:tcPr>
            <w:tcW w:w="2921" w:type="dxa"/>
            <w:tcBorders>
              <w:top w:val="single" w:sz="4" w:space="0" w:color="000000"/>
              <w:left w:val="single" w:sz="4" w:space="0" w:color="000000"/>
              <w:bottom w:val="single" w:sz="4" w:space="0" w:color="000000"/>
              <w:right w:val="single" w:sz="4" w:space="0" w:color="000000"/>
            </w:tcBorders>
          </w:tcPr>
          <w:p>
            <w:pPr/>
          </w:p>
        </w:tc>
        <w:tc>
          <w:tcPr>
            <w:tcW w:w="2734"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3394" w:type="dxa"/>
            <w:tcBorders>
              <w:top w:val="single" w:sz="4" w:space="0" w:color="000000"/>
              <w:left w:val="single" w:sz="4" w:space="0" w:color="000000"/>
              <w:bottom w:val="single" w:sz="4" w:space="0" w:color="000000"/>
              <w:right w:val="single" w:sz="4" w:space="0" w:color="000000"/>
            </w:tcBorders>
          </w:tcPr>
          <w:p>
            <w:pPr/>
          </w:p>
        </w:tc>
        <w:tc>
          <w:tcPr>
            <w:tcW w:w="2921" w:type="dxa"/>
            <w:tcBorders>
              <w:top w:val="single" w:sz="4" w:space="0" w:color="000000"/>
              <w:left w:val="single" w:sz="4" w:space="0" w:color="000000"/>
              <w:bottom w:val="single" w:sz="4" w:space="0" w:color="000000"/>
              <w:right w:val="single" w:sz="4" w:space="0" w:color="000000"/>
            </w:tcBorders>
          </w:tcPr>
          <w:p>
            <w:pPr/>
          </w:p>
        </w:tc>
        <w:tc>
          <w:tcPr>
            <w:tcW w:w="2734"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339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三、期末现金及现金等价物余额</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3,416,062,876</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4,160,043,560</w:t>
            </w:r>
          </w:p>
        </w:tc>
      </w:tr>
      <w:tr>
        <w:trPr>
          <w:trHeight w:val="554" w:hRule="exact"/>
        </w:trPr>
        <w:tc>
          <w:tcPr>
            <w:tcW w:w="339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其中：母公司或集团内子公司使用</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受限制的现金和现金等价物</w:t>
            </w:r>
          </w:p>
        </w:tc>
        <w:tc>
          <w:tcPr>
            <w:tcW w:w="2921" w:type="dxa"/>
            <w:tcBorders>
              <w:top w:val="single" w:sz="4" w:space="0" w:color="000000"/>
              <w:left w:val="single" w:sz="4" w:space="0" w:color="000000"/>
              <w:bottom w:val="single" w:sz="4" w:space="0" w:color="000000"/>
              <w:right w:val="single" w:sz="4" w:space="0" w:color="000000"/>
            </w:tcBorders>
          </w:tcPr>
          <w:p>
            <w:pPr/>
          </w:p>
        </w:tc>
        <w:tc>
          <w:tcPr>
            <w:tcW w:w="273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3"/>
        <w:rPr>
          <w:rFonts w:ascii="宋体" w:hAnsi="宋体" w:cs="宋体" w:eastAsia="宋体" w:hint="default"/>
          <w:sz w:val="19"/>
          <w:szCs w:val="19"/>
        </w:rPr>
      </w:pPr>
    </w:p>
    <w:p>
      <w:pPr>
        <w:pStyle w:val="BodyText"/>
        <w:spacing w:line="240" w:lineRule="auto" w:before="36"/>
        <w:ind w:right="99"/>
        <w:jc w:val="left"/>
      </w:pPr>
      <w:r>
        <w:rPr/>
        <w:t>其他说明：</w:t>
      </w:r>
    </w:p>
    <w:p>
      <w:pPr>
        <w:spacing w:after="0" w:line="240" w:lineRule="auto"/>
        <w:jc w:val="left"/>
        <w:sectPr>
          <w:type w:val="continuous"/>
          <w:pgSz w:w="11910" w:h="16840"/>
          <w:pgMar w:top="1320" w:bottom="1380" w:left="1580" w:right="1040"/>
        </w:sectPr>
      </w:pPr>
    </w:p>
    <w:p>
      <w:pPr>
        <w:spacing w:line="240" w:lineRule="auto" w:before="2"/>
        <w:rPr>
          <w:rFonts w:ascii="宋体" w:hAnsi="宋体" w:cs="宋体" w:eastAsia="宋体" w:hint="default"/>
          <w:sz w:val="9"/>
          <w:szCs w:val="9"/>
        </w:rPr>
      </w:pPr>
    </w:p>
    <w:p>
      <w:pPr>
        <w:pStyle w:val="BodyText"/>
        <w:spacing w:line="240" w:lineRule="auto" w:before="36"/>
        <w:ind w:right="99"/>
        <w:jc w:val="left"/>
      </w:pPr>
      <w:r>
        <w:rPr/>
        <w:t>□适用</w:t>
      </w:r>
      <w:r>
        <w:rPr>
          <w:spacing w:val="-1"/>
        </w:rPr>
        <w:t> </w:t>
      </w:r>
      <w:r>
        <w:rPr/>
        <w:t>√不适用</w:t>
      </w:r>
    </w:p>
    <w:p>
      <w:pPr>
        <w:spacing w:line="240" w:lineRule="auto" w:before="11"/>
        <w:rPr>
          <w:rFonts w:ascii="宋体" w:hAnsi="宋体" w:cs="宋体" w:eastAsia="宋体" w:hint="default"/>
          <w:sz w:val="29"/>
          <w:szCs w:val="29"/>
        </w:rPr>
      </w:pPr>
    </w:p>
    <w:p>
      <w:pPr>
        <w:spacing w:line="290" w:lineRule="auto" w:before="0"/>
        <w:ind w:left="218" w:right="99" w:firstLine="0"/>
        <w:jc w:val="left"/>
        <w:rPr>
          <w:rFonts w:ascii="宋体" w:hAnsi="宋体" w:cs="宋体" w:eastAsia="宋体" w:hint="default"/>
          <w:sz w:val="21"/>
          <w:szCs w:val="21"/>
        </w:rPr>
      </w:pPr>
      <w:r>
        <w:rPr>
          <w:rFonts w:ascii="宋体" w:hAnsi="宋体" w:cs="宋体" w:eastAsia="宋体" w:hint="default"/>
          <w:b/>
          <w:bCs/>
          <w:sz w:val="21"/>
          <w:szCs w:val="21"/>
        </w:rPr>
        <w:t>75</w:t>
      </w:r>
      <w:r>
        <w:rPr>
          <w:rFonts w:ascii="宋体" w:hAnsi="宋体" w:cs="宋体" w:eastAsia="宋体" w:hint="default"/>
          <w:b/>
          <w:bCs/>
          <w:sz w:val="21"/>
          <w:szCs w:val="21"/>
        </w:rPr>
        <w:t>、</w:t>
      </w:r>
      <w:r>
        <w:rPr>
          <w:rFonts w:ascii="宋体" w:hAnsi="宋体" w:cs="宋体" w:eastAsia="宋体" w:hint="default"/>
          <w:b/>
          <w:bCs/>
          <w:spacing w:val="-26"/>
          <w:sz w:val="21"/>
          <w:szCs w:val="21"/>
        </w:rPr>
        <w:t> </w:t>
      </w:r>
      <w:r>
        <w:rPr>
          <w:rFonts w:ascii="宋体" w:hAnsi="宋体" w:cs="宋体" w:eastAsia="宋体" w:hint="default"/>
          <w:b/>
          <w:bCs/>
          <w:sz w:val="21"/>
          <w:szCs w:val="21"/>
        </w:rPr>
        <w:t>所有者权益变动表项目注释</w:t>
      </w:r>
      <w:r>
        <w:rPr>
          <w:rFonts w:ascii="宋体" w:hAnsi="宋体" w:cs="宋体" w:eastAsia="宋体" w:hint="default"/>
          <w:b/>
          <w:bCs/>
          <w:w w:val="100"/>
          <w:sz w:val="21"/>
          <w:szCs w:val="21"/>
        </w:rPr>
        <w:t> </w:t>
      </w:r>
      <w:r>
        <w:rPr>
          <w:rFonts w:ascii="宋体" w:hAnsi="宋体" w:cs="宋体" w:eastAsia="宋体" w:hint="default"/>
          <w:spacing w:val="-2"/>
          <w:sz w:val="21"/>
          <w:szCs w:val="21"/>
        </w:rPr>
        <w:t>说明对上年期末余额进行调整的“其他”项目名称及调整金额等事项：</w:t>
      </w:r>
    </w:p>
    <w:p>
      <w:pPr>
        <w:pStyle w:val="BodyText"/>
        <w:spacing w:line="227" w:lineRule="exact"/>
        <w:ind w:right="99"/>
        <w:jc w:val="left"/>
      </w:pPr>
      <w:r>
        <w:rPr/>
        <w:t>□适用</w:t>
      </w:r>
      <w:r>
        <w:rPr>
          <w:spacing w:val="-1"/>
        </w:rPr>
        <w:t> </w:t>
      </w:r>
      <w:r>
        <w:rPr/>
        <w:t>√不适用</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57" w:footer="1195" w:top="1320" w:bottom="1380" w:left="1580" w:right="1040"/>
        </w:sectPr>
      </w:pPr>
    </w:p>
    <w:p>
      <w:pPr>
        <w:pStyle w:val="Heading3"/>
        <w:spacing w:line="240" w:lineRule="auto" w:before="36"/>
        <w:ind w:right="-17"/>
        <w:jc w:val="left"/>
        <w:rPr>
          <w:b w:val="0"/>
          <w:bCs w:val="0"/>
        </w:rPr>
      </w:pPr>
      <w:r>
        <w:rPr>
          <w:rFonts w:ascii="宋体" w:hAnsi="宋体" w:cs="宋体" w:eastAsia="宋体" w:hint="default"/>
        </w:rPr>
        <w:t>76</w:t>
      </w:r>
      <w:r>
        <w:rPr/>
        <w:t>、</w:t>
      </w:r>
      <w:r>
        <w:rPr>
          <w:spacing w:val="-27"/>
        </w:rPr>
        <w:t> </w:t>
      </w:r>
      <w:r>
        <w:rPr/>
        <w:t>所有权或使用权受到限制的资产</w:t>
      </w:r>
      <w:r>
        <w:rPr>
          <w:b w:val="0"/>
          <w:bCs w:val="0"/>
        </w:rPr>
      </w:r>
    </w:p>
    <w:p>
      <w:pPr>
        <w:pStyle w:val="BodyText"/>
        <w:spacing w:line="240" w:lineRule="auto" w:before="58"/>
        <w:ind w:right="-17"/>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3675" w:space="3058"/>
            <w:col w:w="2557"/>
          </w:cols>
        </w:sectPr>
      </w:pPr>
    </w:p>
    <w:p>
      <w:pPr>
        <w:spacing w:line="240" w:lineRule="auto" w:before="7"/>
        <w:rPr>
          <w:rFonts w:ascii="宋体" w:hAnsi="宋体" w:cs="宋体" w:eastAsia="宋体" w:hint="default"/>
          <w:sz w:val="2"/>
          <w:szCs w:val="2"/>
        </w:rPr>
      </w:pPr>
    </w:p>
    <w:tbl>
      <w:tblPr>
        <w:tblW w:w="0" w:type="auto"/>
        <w:jc w:val="left"/>
        <w:tblInd w:w="179" w:type="dxa"/>
        <w:tblLayout w:type="fixed"/>
        <w:tblCellMar>
          <w:top w:w="0" w:type="dxa"/>
          <w:left w:w="0" w:type="dxa"/>
          <w:bottom w:w="0" w:type="dxa"/>
          <w:right w:w="0" w:type="dxa"/>
        </w:tblCellMar>
        <w:tblLook w:val="01E0"/>
      </w:tblPr>
      <w:tblGrid>
        <w:gridCol w:w="3157"/>
        <w:gridCol w:w="3046"/>
        <w:gridCol w:w="2693"/>
      </w:tblGrid>
      <w:tr>
        <w:trPr>
          <w:trHeight w:val="281" w:hRule="exact"/>
        </w:trPr>
        <w:tc>
          <w:tcPr>
            <w:tcW w:w="31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359"/>
              <w:jc w:val="right"/>
              <w:rPr>
                <w:rFonts w:ascii="宋体" w:hAnsi="宋体" w:cs="宋体" w:eastAsia="宋体" w:hint="default"/>
                <w:sz w:val="21"/>
                <w:szCs w:val="21"/>
              </w:rPr>
            </w:pPr>
            <w:r>
              <w:rPr>
                <w:rFonts w:ascii="宋体" w:hAnsi="宋体" w:cs="宋体" w:eastAsia="宋体" w:hint="default"/>
                <w:sz w:val="21"/>
                <w:szCs w:val="21"/>
              </w:rPr>
              <w:t>项目</w:t>
            </w:r>
          </w:p>
        </w:tc>
        <w:tc>
          <w:tcPr>
            <w:tcW w:w="30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85" w:right="0"/>
              <w:jc w:val="left"/>
              <w:rPr>
                <w:rFonts w:ascii="宋体" w:hAnsi="宋体" w:cs="宋体" w:eastAsia="宋体" w:hint="default"/>
                <w:sz w:val="21"/>
                <w:szCs w:val="21"/>
              </w:rPr>
            </w:pPr>
            <w:r>
              <w:rPr>
                <w:rFonts w:ascii="宋体" w:hAnsi="宋体" w:cs="宋体" w:eastAsia="宋体" w:hint="default"/>
                <w:sz w:val="21"/>
                <w:szCs w:val="21"/>
              </w:rPr>
              <w:t>期末账面价值</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受限原因</w:t>
            </w:r>
          </w:p>
        </w:tc>
      </w:tr>
      <w:tr>
        <w:trPr>
          <w:trHeight w:val="283" w:hRule="exact"/>
        </w:trPr>
        <w:tc>
          <w:tcPr>
            <w:tcW w:w="315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304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32,782,548</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55,387,454</w:t>
            </w:r>
          </w:p>
        </w:tc>
      </w:tr>
      <w:tr>
        <w:trPr>
          <w:trHeight w:val="284" w:hRule="exact"/>
        </w:trPr>
        <w:tc>
          <w:tcPr>
            <w:tcW w:w="31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3046" w:type="dxa"/>
            <w:tcBorders>
              <w:top w:val="single" w:sz="4" w:space="0" w:color="000000"/>
              <w:left w:val="single" w:sz="4" w:space="0" w:color="000000"/>
              <w:bottom w:val="single" w:sz="4" w:space="0" w:color="000000"/>
              <w:right w:val="single" w:sz="4" w:space="0" w:color="000000"/>
            </w:tcBorders>
          </w:tcPr>
          <w:p>
            <w:pPr/>
          </w:p>
        </w:tc>
        <w:tc>
          <w:tcPr>
            <w:tcW w:w="2693"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1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3046" w:type="dxa"/>
            <w:tcBorders>
              <w:top w:val="single" w:sz="4" w:space="0" w:color="000000"/>
              <w:left w:val="single" w:sz="4" w:space="0" w:color="000000"/>
              <w:bottom w:val="single" w:sz="4" w:space="0" w:color="000000"/>
              <w:right w:val="single" w:sz="4" w:space="0" w:color="000000"/>
            </w:tcBorders>
          </w:tcPr>
          <w:p>
            <w:pPr/>
          </w:p>
        </w:tc>
        <w:tc>
          <w:tcPr>
            <w:tcW w:w="269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1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30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1,356,777,699</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333,293,032</w:t>
            </w:r>
          </w:p>
        </w:tc>
      </w:tr>
      <w:tr>
        <w:trPr>
          <w:trHeight w:val="286" w:hRule="exact"/>
        </w:trPr>
        <w:tc>
          <w:tcPr>
            <w:tcW w:w="3157" w:type="dxa"/>
            <w:tcBorders>
              <w:top w:val="single" w:sz="4" w:space="0" w:color="000000"/>
              <w:left w:val="single" w:sz="4" w:space="0" w:color="000000"/>
              <w:bottom w:val="single" w:sz="6"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3046" w:type="dxa"/>
            <w:tcBorders>
              <w:top w:val="single" w:sz="4" w:space="0" w:color="000000"/>
              <w:left w:val="single" w:sz="4" w:space="0" w:color="000000"/>
              <w:bottom w:val="single" w:sz="6"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143,878,082</w:t>
            </w:r>
          </w:p>
        </w:tc>
        <w:tc>
          <w:tcPr>
            <w:tcW w:w="2693" w:type="dxa"/>
            <w:tcBorders>
              <w:top w:val="single" w:sz="4" w:space="0" w:color="000000"/>
              <w:left w:val="single" w:sz="4" w:space="0" w:color="000000"/>
              <w:bottom w:val="single" w:sz="6"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147,356,964</w:t>
            </w:r>
          </w:p>
        </w:tc>
      </w:tr>
      <w:tr>
        <w:trPr>
          <w:trHeight w:val="286" w:hRule="exact"/>
        </w:trPr>
        <w:tc>
          <w:tcPr>
            <w:tcW w:w="315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30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103,581,374</w:t>
            </w:r>
          </w:p>
        </w:tc>
        <w:tc>
          <w:tcPr>
            <w:tcW w:w="269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501,143,146</w:t>
            </w:r>
          </w:p>
        </w:tc>
      </w:tr>
      <w:tr>
        <w:trPr>
          <w:trHeight w:val="288" w:hRule="exact"/>
        </w:trPr>
        <w:tc>
          <w:tcPr>
            <w:tcW w:w="3157" w:type="dxa"/>
            <w:tcBorders>
              <w:top w:val="single" w:sz="6" w:space="0" w:color="000000"/>
              <w:left w:val="single" w:sz="6" w:space="0" w:color="000000"/>
              <w:bottom w:val="single" w:sz="4" w:space="0" w:color="000000"/>
              <w:right w:val="single" w:sz="6" w:space="0" w:color="000000"/>
            </w:tcBorders>
          </w:tcPr>
          <w:p>
            <w:pPr/>
          </w:p>
        </w:tc>
        <w:tc>
          <w:tcPr>
            <w:tcW w:w="3046" w:type="dxa"/>
            <w:tcBorders>
              <w:top w:val="single" w:sz="6" w:space="0" w:color="000000"/>
              <w:left w:val="single" w:sz="6" w:space="0" w:color="000000"/>
              <w:bottom w:val="single" w:sz="6" w:space="0" w:color="000000"/>
              <w:right w:val="single" w:sz="6" w:space="0" w:color="000000"/>
            </w:tcBorders>
          </w:tcPr>
          <w:p>
            <w:pPr/>
          </w:p>
        </w:tc>
        <w:tc>
          <w:tcPr>
            <w:tcW w:w="2693"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15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359"/>
              <w:jc w:val="right"/>
              <w:rPr>
                <w:rFonts w:ascii="宋体" w:hAnsi="宋体" w:cs="宋体" w:eastAsia="宋体" w:hint="default"/>
                <w:sz w:val="21"/>
                <w:szCs w:val="21"/>
              </w:rPr>
            </w:pPr>
            <w:r>
              <w:rPr>
                <w:rFonts w:ascii="宋体" w:hAnsi="宋体" w:cs="宋体" w:eastAsia="宋体" w:hint="default"/>
                <w:sz w:val="21"/>
                <w:szCs w:val="21"/>
              </w:rPr>
              <w:t>合计</w:t>
            </w:r>
          </w:p>
        </w:tc>
        <w:tc>
          <w:tcPr>
            <w:tcW w:w="3046" w:type="dxa"/>
            <w:tcBorders>
              <w:top w:val="single" w:sz="6" w:space="0" w:color="000000"/>
              <w:left w:val="single" w:sz="4" w:space="0" w:color="000000"/>
              <w:bottom w:val="single" w:sz="6"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1,637,019,703</w:t>
            </w:r>
          </w:p>
        </w:tc>
        <w:tc>
          <w:tcPr>
            <w:tcW w:w="2693" w:type="dxa"/>
            <w:tcBorders>
              <w:top w:val="single" w:sz="6" w:space="0" w:color="000000"/>
              <w:left w:val="single" w:sz="4" w:space="0" w:color="000000"/>
              <w:bottom w:val="single" w:sz="6"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1,037,180,596</w:t>
            </w:r>
          </w:p>
        </w:tc>
      </w:tr>
    </w:tbl>
    <w:p>
      <w:pPr>
        <w:spacing w:line="240" w:lineRule="auto" w:before="12"/>
        <w:rPr>
          <w:rFonts w:ascii="宋体" w:hAnsi="宋体" w:cs="宋体" w:eastAsia="宋体" w:hint="default"/>
          <w:sz w:val="19"/>
          <w:szCs w:val="19"/>
        </w:rPr>
      </w:pPr>
    </w:p>
    <w:p>
      <w:pPr>
        <w:pStyle w:val="BodyText"/>
        <w:spacing w:line="240" w:lineRule="auto" w:before="36"/>
        <w:ind w:right="99"/>
        <w:jc w:val="left"/>
      </w:pPr>
      <w:r>
        <w:rPr/>
        <w:t>其他说明：</w:t>
      </w:r>
    </w:p>
    <w:p>
      <w:pPr>
        <w:pStyle w:val="BodyText"/>
        <w:spacing w:line="273" w:lineRule="exact" w:before="58"/>
        <w:ind w:right="99"/>
        <w:jc w:val="left"/>
      </w:pPr>
      <w:r>
        <w:rPr/>
        <w:t>注</w:t>
      </w:r>
      <w:r>
        <w:rPr>
          <w:spacing w:val="-53"/>
        </w:rPr>
        <w:t> </w:t>
      </w:r>
      <w:r>
        <w:rPr>
          <w:rFonts w:ascii="宋体" w:hAnsi="宋体" w:cs="宋体" w:eastAsia="宋体" w:hint="default"/>
        </w:rPr>
        <w:t>1</w:t>
      </w:r>
      <w:r>
        <w:rPr/>
        <w:t>．于</w:t>
      </w:r>
      <w:r>
        <w:rPr>
          <w:spacing w:val="-53"/>
        </w:rPr>
        <w:t> </w:t>
      </w:r>
      <w:r>
        <w:rPr>
          <w:rFonts w:ascii="宋体" w:hAnsi="宋体" w:cs="宋体" w:eastAsia="宋体" w:hint="default"/>
        </w:rPr>
        <w:t>2017</w:t>
      </w:r>
      <w:r>
        <w:rPr>
          <w:rFonts w:ascii="宋体" w:hAnsi="宋体" w:cs="宋体" w:eastAsia="宋体" w:hint="default"/>
          <w:spacing w:val="-55"/>
        </w:rPr>
        <w:t> </w:t>
      </w:r>
      <w:r>
        <w:rPr/>
        <w:t>年</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2"/>
        </w:rPr>
        <w:t> </w:t>
      </w:r>
      <w:r>
        <w:rPr>
          <w:rFonts w:ascii="宋体" w:hAnsi="宋体" w:cs="宋体" w:eastAsia="宋体" w:hint="default"/>
        </w:rPr>
        <w:t>31</w:t>
      </w:r>
      <w:r>
        <w:rPr>
          <w:rFonts w:ascii="宋体" w:hAnsi="宋体" w:cs="宋体" w:eastAsia="宋体" w:hint="default"/>
          <w:spacing w:val="-55"/>
        </w:rPr>
        <w:t> </w:t>
      </w:r>
      <w:r>
        <w:rPr/>
        <w:t>日，受限货币资金人民币</w:t>
      </w:r>
      <w:r>
        <w:rPr>
          <w:spacing w:val="-55"/>
        </w:rPr>
        <w:t> </w:t>
      </w:r>
      <w:r>
        <w:rPr>
          <w:rFonts w:ascii="宋体" w:hAnsi="宋体" w:cs="宋体" w:eastAsia="宋体" w:hint="default"/>
        </w:rPr>
        <w:t>32,387,454</w:t>
      </w:r>
      <w:r>
        <w:rPr>
          <w:rFonts w:ascii="宋体" w:hAnsi="宋体" w:cs="宋体" w:eastAsia="宋体" w:hint="default"/>
          <w:spacing w:val="-53"/>
        </w:rPr>
        <w:t> </w:t>
      </w:r>
      <w:r>
        <w:rPr/>
        <w:t>元</w:t>
      </w:r>
      <w:r>
        <w:rPr>
          <w:rFonts w:ascii="宋体" w:hAnsi="宋体" w:cs="宋体" w:eastAsia="宋体" w:hint="default"/>
        </w:rPr>
        <w:t>(2016</w:t>
      </w:r>
      <w:r>
        <w:rPr>
          <w:rFonts w:ascii="宋体" w:hAnsi="宋体" w:cs="宋体" w:eastAsia="宋体" w:hint="default"/>
          <w:spacing w:val="-55"/>
        </w:rPr>
        <w:t> </w:t>
      </w:r>
      <w:r>
        <w:rPr/>
        <w:t>年</w:t>
      </w:r>
      <w:r>
        <w:rPr>
          <w:spacing w:val="-53"/>
        </w:rPr>
        <w:t> </w:t>
      </w:r>
      <w:r>
        <w:rPr>
          <w:rFonts w:ascii="宋体" w:hAnsi="宋体" w:cs="宋体" w:eastAsia="宋体" w:hint="default"/>
        </w:rPr>
        <w:t>12</w:t>
      </w:r>
      <w:r>
        <w:rPr>
          <w:rFonts w:ascii="宋体" w:hAnsi="宋体" w:cs="宋体" w:eastAsia="宋体" w:hint="default"/>
          <w:spacing w:val="-54"/>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日：人民币</w:t>
      </w:r>
    </w:p>
    <w:p>
      <w:pPr>
        <w:pStyle w:val="BodyText"/>
        <w:spacing w:line="273" w:lineRule="exact"/>
        <w:ind w:right="99"/>
        <w:jc w:val="left"/>
      </w:pPr>
      <w:r>
        <w:rPr>
          <w:rFonts w:ascii="宋体" w:hAnsi="宋体" w:cs="宋体" w:eastAsia="宋体" w:hint="default"/>
        </w:rPr>
        <w:t>55,387,454</w:t>
      </w:r>
      <w:r>
        <w:rPr>
          <w:rFonts w:ascii="宋体" w:hAnsi="宋体" w:cs="宋体" w:eastAsia="宋体" w:hint="default"/>
          <w:spacing w:val="-58"/>
        </w:rPr>
        <w:t> </w:t>
      </w:r>
      <w:r>
        <w:rPr/>
        <w:t>元</w:t>
      </w:r>
      <w:r>
        <w:rPr>
          <w:rFonts w:ascii="宋体" w:hAnsi="宋体" w:cs="宋体" w:eastAsia="宋体" w:hint="default"/>
        </w:rPr>
        <w:t>)</w:t>
      </w:r>
      <w:r>
        <w:rPr/>
        <w:t>为履约保证金。详情参见附注七、</w:t>
      </w:r>
      <w:r>
        <w:rPr>
          <w:rFonts w:ascii="宋体" w:hAnsi="宋体" w:cs="宋体" w:eastAsia="宋体" w:hint="default"/>
        </w:rPr>
        <w:t>1</w:t>
      </w:r>
      <w:r>
        <w:rPr/>
        <w:t>。</w:t>
      </w:r>
    </w:p>
    <w:p>
      <w:pPr>
        <w:spacing w:line="240" w:lineRule="auto" w:before="9"/>
        <w:rPr>
          <w:rFonts w:ascii="宋体" w:hAnsi="宋体" w:cs="宋体" w:eastAsia="宋体" w:hint="default"/>
          <w:sz w:val="20"/>
          <w:szCs w:val="20"/>
        </w:rPr>
      </w:pPr>
    </w:p>
    <w:p>
      <w:pPr>
        <w:pStyle w:val="BodyText"/>
        <w:spacing w:line="274" w:lineRule="exact"/>
        <w:ind w:right="99"/>
        <w:jc w:val="left"/>
      </w:pPr>
      <w:r>
        <w:rPr/>
        <w:t>注</w:t>
      </w:r>
      <w:r>
        <w:rPr>
          <w:spacing w:val="-53"/>
        </w:rPr>
        <w:t> </w:t>
      </w:r>
      <w:r>
        <w:rPr>
          <w:rFonts w:ascii="宋体" w:hAnsi="宋体" w:cs="宋体" w:eastAsia="宋体" w:hint="default"/>
        </w:rPr>
        <w:t>2</w:t>
      </w:r>
      <w:r>
        <w:rPr/>
        <w:t>．于</w:t>
      </w:r>
      <w:r>
        <w:rPr>
          <w:spacing w:val="-53"/>
        </w:rPr>
        <w:t> </w:t>
      </w:r>
      <w:r>
        <w:rPr>
          <w:rFonts w:ascii="宋体" w:hAnsi="宋体" w:cs="宋体" w:eastAsia="宋体" w:hint="default"/>
        </w:rPr>
        <w:t>2017</w:t>
      </w:r>
      <w:r>
        <w:rPr>
          <w:rFonts w:ascii="宋体" w:hAnsi="宋体" w:cs="宋体" w:eastAsia="宋体" w:hint="default"/>
          <w:spacing w:val="-55"/>
        </w:rPr>
        <w:t> </w:t>
      </w:r>
      <w:r>
        <w:rPr/>
        <w:t>年</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2"/>
        </w:rPr>
        <w:t> </w:t>
      </w:r>
      <w:r>
        <w:rPr>
          <w:rFonts w:ascii="宋体" w:hAnsi="宋体" w:cs="宋体" w:eastAsia="宋体" w:hint="default"/>
        </w:rPr>
        <w:t>31</w:t>
      </w:r>
      <w:r>
        <w:rPr>
          <w:rFonts w:ascii="宋体" w:hAnsi="宋体" w:cs="宋体" w:eastAsia="宋体" w:hint="default"/>
          <w:spacing w:val="-55"/>
        </w:rPr>
        <w:t> </w:t>
      </w:r>
      <w:r>
        <w:rPr/>
        <w:t>日，账面价值为人民币</w:t>
      </w:r>
      <w:r>
        <w:rPr>
          <w:spacing w:val="-53"/>
        </w:rPr>
        <w:t> </w:t>
      </w:r>
      <w:r>
        <w:rPr>
          <w:rFonts w:ascii="宋体" w:hAnsi="宋体" w:cs="宋体" w:eastAsia="宋体" w:hint="default"/>
        </w:rPr>
        <w:t>143,878,082</w:t>
      </w:r>
      <w:r>
        <w:rPr>
          <w:rFonts w:ascii="宋体" w:hAnsi="宋体" w:cs="宋体" w:eastAsia="宋体" w:hint="default"/>
          <w:spacing w:val="-55"/>
        </w:rPr>
        <w:t> </w:t>
      </w:r>
      <w:r>
        <w:rPr/>
        <w:t>元</w:t>
      </w:r>
      <w:r>
        <w:rPr>
          <w:rFonts w:ascii="宋体" w:hAnsi="宋体" w:cs="宋体" w:eastAsia="宋体" w:hint="default"/>
        </w:rPr>
        <w:t>(2016</w:t>
      </w:r>
      <w:r>
        <w:rPr>
          <w:rFonts w:ascii="宋体" w:hAnsi="宋体" w:cs="宋体" w:eastAsia="宋体" w:hint="default"/>
          <w:spacing w:val="-55"/>
        </w:rPr>
        <w:t> </w:t>
      </w:r>
      <w:r>
        <w:rPr/>
        <w:t>年</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2"/>
        </w:rPr>
        <w:t> </w:t>
      </w:r>
      <w:r>
        <w:rPr>
          <w:rFonts w:ascii="宋体" w:hAnsi="宋体" w:cs="宋体" w:eastAsia="宋体" w:hint="default"/>
        </w:rPr>
        <w:t>31</w:t>
      </w:r>
      <w:r>
        <w:rPr>
          <w:rFonts w:ascii="宋体" w:hAnsi="宋体" w:cs="宋体" w:eastAsia="宋体" w:hint="default"/>
          <w:spacing w:val="-55"/>
        </w:rPr>
        <w:t> </w:t>
      </w:r>
      <w:r>
        <w:rPr/>
        <w:t>日：人民币</w:t>
      </w:r>
    </w:p>
    <w:p>
      <w:pPr>
        <w:pStyle w:val="BodyText"/>
        <w:spacing w:line="274" w:lineRule="exact"/>
        <w:ind w:right="99"/>
        <w:jc w:val="left"/>
      </w:pPr>
      <w:r>
        <w:rPr>
          <w:rFonts w:ascii="宋体" w:hAnsi="宋体" w:cs="宋体" w:eastAsia="宋体" w:hint="default"/>
          <w:spacing w:val="-1"/>
        </w:rPr>
        <w:t>147,356,964</w:t>
      </w:r>
      <w:r>
        <w:rPr>
          <w:rFonts w:ascii="宋体" w:hAnsi="宋体" w:cs="宋体" w:eastAsia="宋体" w:hint="default"/>
          <w:spacing w:val="11"/>
        </w:rPr>
        <w:t> </w:t>
      </w:r>
      <w:r>
        <w:rPr>
          <w:spacing w:val="-2"/>
        </w:rPr>
        <w:t>元</w:t>
      </w:r>
      <w:r>
        <w:rPr>
          <w:rFonts w:ascii="宋体" w:hAnsi="宋体" w:cs="宋体" w:eastAsia="宋体" w:hint="default"/>
          <w:spacing w:val="-2"/>
        </w:rPr>
        <w:t>)</w:t>
      </w:r>
      <w:r>
        <w:rPr>
          <w:spacing w:val="-2"/>
        </w:rPr>
        <w:t>的土地使用权，用于取得银行借款抵押。详情参见附注七、</w:t>
      </w:r>
      <w:r>
        <w:rPr>
          <w:rFonts w:ascii="宋体" w:hAnsi="宋体" w:cs="宋体" w:eastAsia="宋体" w:hint="default"/>
          <w:spacing w:val="-2"/>
        </w:rPr>
        <w:t>45</w:t>
      </w:r>
      <w:r>
        <w:rPr>
          <w:spacing w:val="-2"/>
        </w:rPr>
        <w:t>。</w:t>
      </w:r>
    </w:p>
    <w:p>
      <w:pPr>
        <w:spacing w:line="240" w:lineRule="auto" w:before="8"/>
        <w:rPr>
          <w:rFonts w:ascii="宋体" w:hAnsi="宋体" w:cs="宋体" w:eastAsia="宋体" w:hint="default"/>
          <w:sz w:val="20"/>
          <w:szCs w:val="20"/>
        </w:rPr>
      </w:pPr>
    </w:p>
    <w:p>
      <w:pPr>
        <w:pStyle w:val="BodyText"/>
        <w:spacing w:line="273" w:lineRule="exact"/>
        <w:ind w:right="99"/>
        <w:jc w:val="left"/>
      </w:pPr>
      <w:r>
        <w:rPr/>
        <w:t>注</w:t>
      </w:r>
      <w:r>
        <w:rPr>
          <w:spacing w:val="-53"/>
        </w:rPr>
        <w:t> </w:t>
      </w:r>
      <w:r>
        <w:rPr>
          <w:rFonts w:ascii="宋体" w:hAnsi="宋体" w:cs="宋体" w:eastAsia="宋体" w:hint="default"/>
        </w:rPr>
        <w:t>3</w:t>
      </w:r>
      <w:r>
        <w:rPr/>
        <w:t>．于</w:t>
      </w:r>
      <w:r>
        <w:rPr>
          <w:spacing w:val="-53"/>
        </w:rPr>
        <w:t> </w:t>
      </w:r>
      <w:r>
        <w:rPr>
          <w:rFonts w:ascii="宋体" w:hAnsi="宋体" w:cs="宋体" w:eastAsia="宋体" w:hint="default"/>
        </w:rPr>
        <w:t>2017</w:t>
      </w:r>
      <w:r>
        <w:rPr>
          <w:rFonts w:ascii="宋体" w:hAnsi="宋体" w:cs="宋体" w:eastAsia="宋体" w:hint="default"/>
          <w:spacing w:val="-55"/>
        </w:rPr>
        <w:t> </w:t>
      </w:r>
      <w:r>
        <w:rPr/>
        <w:t>年</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2"/>
        </w:rPr>
        <w:t> </w:t>
      </w:r>
      <w:r>
        <w:rPr>
          <w:rFonts w:ascii="宋体" w:hAnsi="宋体" w:cs="宋体" w:eastAsia="宋体" w:hint="default"/>
        </w:rPr>
        <w:t>31</w:t>
      </w:r>
      <w:r>
        <w:rPr>
          <w:rFonts w:ascii="宋体" w:hAnsi="宋体" w:cs="宋体" w:eastAsia="宋体" w:hint="default"/>
          <w:spacing w:val="-55"/>
        </w:rPr>
        <w:t> </w:t>
      </w:r>
      <w:r>
        <w:rPr/>
        <w:t>日，账面价值为人民币</w:t>
      </w:r>
      <w:r>
        <w:rPr>
          <w:spacing w:val="-53"/>
        </w:rPr>
        <w:t> </w:t>
      </w:r>
      <w:r>
        <w:rPr>
          <w:rFonts w:ascii="宋体" w:hAnsi="宋体" w:cs="宋体" w:eastAsia="宋体" w:hint="default"/>
        </w:rPr>
        <w:t>103,581,374</w:t>
      </w:r>
      <w:r>
        <w:rPr>
          <w:rFonts w:ascii="宋体" w:hAnsi="宋体" w:cs="宋体" w:eastAsia="宋体" w:hint="default"/>
          <w:spacing w:val="-55"/>
        </w:rPr>
        <w:t> </w:t>
      </w:r>
      <w:r>
        <w:rPr/>
        <w:t>元</w:t>
      </w:r>
      <w:r>
        <w:rPr>
          <w:rFonts w:ascii="宋体" w:hAnsi="宋体" w:cs="宋体" w:eastAsia="宋体" w:hint="default"/>
        </w:rPr>
        <w:t>(2016</w:t>
      </w:r>
      <w:r>
        <w:rPr>
          <w:rFonts w:ascii="宋体" w:hAnsi="宋体" w:cs="宋体" w:eastAsia="宋体" w:hint="default"/>
          <w:spacing w:val="-55"/>
        </w:rPr>
        <w:t> </w:t>
      </w:r>
      <w:r>
        <w:rPr/>
        <w:t>年</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2"/>
        </w:rPr>
        <w:t> </w:t>
      </w:r>
      <w:r>
        <w:rPr>
          <w:rFonts w:ascii="宋体" w:hAnsi="宋体" w:cs="宋体" w:eastAsia="宋体" w:hint="default"/>
        </w:rPr>
        <w:t>31</w:t>
      </w:r>
      <w:r>
        <w:rPr>
          <w:rFonts w:ascii="宋体" w:hAnsi="宋体" w:cs="宋体" w:eastAsia="宋体" w:hint="default"/>
          <w:spacing w:val="-55"/>
        </w:rPr>
        <w:t> </w:t>
      </w:r>
      <w:r>
        <w:rPr/>
        <w:t>日：人民币</w:t>
      </w:r>
    </w:p>
    <w:p>
      <w:pPr>
        <w:pStyle w:val="BodyText"/>
        <w:spacing w:line="273" w:lineRule="exact"/>
        <w:ind w:right="99"/>
        <w:jc w:val="left"/>
      </w:pPr>
      <w:r>
        <w:rPr>
          <w:rFonts w:ascii="宋体" w:hAnsi="宋体" w:cs="宋体" w:eastAsia="宋体" w:hint="default"/>
          <w:spacing w:val="-1"/>
        </w:rPr>
        <w:t>501,143,146</w:t>
      </w:r>
      <w:r>
        <w:rPr>
          <w:rFonts w:ascii="宋体" w:hAnsi="宋体" w:cs="宋体" w:eastAsia="宋体" w:hint="default"/>
          <w:spacing w:val="11"/>
        </w:rPr>
        <w:t> </w:t>
      </w:r>
      <w:r>
        <w:rPr>
          <w:spacing w:val="-2"/>
        </w:rPr>
        <w:t>元</w:t>
      </w:r>
      <w:r>
        <w:rPr>
          <w:rFonts w:ascii="宋体" w:hAnsi="宋体" w:cs="宋体" w:eastAsia="宋体" w:hint="default"/>
          <w:spacing w:val="-2"/>
        </w:rPr>
        <w:t>)</w:t>
      </w:r>
      <w:r>
        <w:rPr>
          <w:spacing w:val="-2"/>
        </w:rPr>
        <w:t>的在建工程，用于取得银行借款抵押。详情参见附注七、</w:t>
      </w:r>
      <w:r>
        <w:rPr>
          <w:rFonts w:ascii="宋体" w:hAnsi="宋体" w:cs="宋体" w:eastAsia="宋体" w:hint="default"/>
          <w:spacing w:val="-2"/>
        </w:rPr>
        <w:t>45</w:t>
      </w:r>
      <w:r>
        <w:rPr>
          <w:spacing w:val="-2"/>
        </w:rPr>
        <w:t>。</w:t>
      </w:r>
    </w:p>
    <w:p>
      <w:pPr>
        <w:spacing w:line="240" w:lineRule="auto" w:before="8"/>
        <w:rPr>
          <w:rFonts w:ascii="宋体" w:hAnsi="宋体" w:cs="宋体" w:eastAsia="宋体" w:hint="default"/>
          <w:sz w:val="20"/>
          <w:szCs w:val="20"/>
        </w:rPr>
      </w:pPr>
    </w:p>
    <w:p>
      <w:pPr>
        <w:pStyle w:val="BodyText"/>
        <w:spacing w:line="274" w:lineRule="exact"/>
        <w:ind w:right="99"/>
        <w:jc w:val="left"/>
      </w:pPr>
      <w:r>
        <w:rPr/>
        <w:t>注</w:t>
      </w:r>
      <w:r>
        <w:rPr>
          <w:spacing w:val="-54"/>
        </w:rPr>
        <w:t> </w:t>
      </w:r>
      <w:r>
        <w:rPr>
          <w:rFonts w:ascii="宋体" w:hAnsi="宋体" w:cs="宋体" w:eastAsia="宋体" w:hint="default"/>
        </w:rPr>
        <w:t>4</w:t>
      </w:r>
      <w:r>
        <w:rPr/>
        <w:t>．于</w:t>
      </w:r>
      <w:r>
        <w:rPr>
          <w:spacing w:val="-54"/>
        </w:rPr>
        <w:t> </w:t>
      </w:r>
      <w:r>
        <w:rPr>
          <w:rFonts w:ascii="宋体" w:hAnsi="宋体" w:cs="宋体" w:eastAsia="宋体" w:hint="default"/>
        </w:rPr>
        <w:t>2017</w:t>
      </w:r>
      <w:r>
        <w:rPr>
          <w:rFonts w:ascii="宋体" w:hAnsi="宋体" w:cs="宋体" w:eastAsia="宋体" w:hint="default"/>
          <w:spacing w:val="-56"/>
        </w:rPr>
        <w:t> </w:t>
      </w:r>
      <w:r>
        <w:rPr/>
        <w:t>年</w:t>
      </w:r>
      <w:r>
        <w:rPr>
          <w:spacing w:val="-54"/>
        </w:rPr>
        <w:t> </w:t>
      </w:r>
      <w:r>
        <w:rPr>
          <w:rFonts w:ascii="宋体" w:hAnsi="宋体" w:cs="宋体" w:eastAsia="宋体" w:hint="default"/>
        </w:rPr>
        <w:t>12</w:t>
      </w:r>
      <w:r>
        <w:rPr>
          <w:rFonts w:ascii="宋体" w:hAnsi="宋体" w:cs="宋体" w:eastAsia="宋体" w:hint="default"/>
          <w:spacing w:val="-56"/>
        </w:rPr>
        <w:t> </w:t>
      </w:r>
      <w:r>
        <w:rPr/>
        <w:t>月</w:t>
      </w:r>
      <w:r>
        <w:rPr>
          <w:spacing w:val="-53"/>
        </w:rPr>
        <w:t> </w:t>
      </w:r>
      <w:r>
        <w:rPr>
          <w:rFonts w:ascii="宋体" w:hAnsi="宋体" w:cs="宋体" w:eastAsia="宋体" w:hint="default"/>
        </w:rPr>
        <w:t>31</w:t>
      </w:r>
      <w:r>
        <w:rPr>
          <w:rFonts w:ascii="宋体" w:hAnsi="宋体" w:cs="宋体" w:eastAsia="宋体" w:hint="default"/>
          <w:spacing w:val="-56"/>
        </w:rPr>
        <w:t> </w:t>
      </w:r>
      <w:r>
        <w:rPr/>
        <w:t>日，账面价值为人民币</w:t>
      </w:r>
      <w:r>
        <w:rPr>
          <w:spacing w:val="-54"/>
        </w:rPr>
        <w:t> </w:t>
      </w:r>
      <w:r>
        <w:rPr>
          <w:rFonts w:ascii="宋体" w:hAnsi="宋体" w:cs="宋体" w:eastAsia="宋体" w:hint="default"/>
        </w:rPr>
        <w:t>1,356,777,699</w:t>
      </w:r>
      <w:r>
        <w:rPr>
          <w:rFonts w:ascii="宋体" w:hAnsi="宋体" w:cs="宋体" w:eastAsia="宋体" w:hint="default"/>
          <w:spacing w:val="-54"/>
        </w:rPr>
        <w:t> </w:t>
      </w:r>
      <w:r>
        <w:rPr/>
        <w:t>元</w:t>
      </w:r>
      <w:r>
        <w:rPr>
          <w:rFonts w:ascii="宋体" w:hAnsi="宋体" w:cs="宋体" w:eastAsia="宋体" w:hint="default"/>
        </w:rPr>
        <w:t>(2016</w:t>
      </w:r>
      <w:r>
        <w:rPr>
          <w:rFonts w:ascii="宋体" w:hAnsi="宋体" w:cs="宋体" w:eastAsia="宋体" w:hint="default"/>
          <w:spacing w:val="-54"/>
        </w:rPr>
        <w:t> </w:t>
      </w:r>
      <w:r>
        <w:rPr/>
        <w:t>年</w:t>
      </w:r>
      <w:r>
        <w:rPr>
          <w:spacing w:val="-56"/>
        </w:rPr>
        <w:t> </w:t>
      </w:r>
      <w:r>
        <w:rPr>
          <w:rFonts w:ascii="宋体" w:hAnsi="宋体" w:cs="宋体" w:eastAsia="宋体" w:hint="default"/>
        </w:rPr>
        <w:t>12</w:t>
      </w:r>
      <w:r>
        <w:rPr>
          <w:rFonts w:ascii="宋体" w:hAnsi="宋体" w:cs="宋体" w:eastAsia="宋体" w:hint="default"/>
          <w:spacing w:val="-53"/>
        </w:rPr>
        <w:t> </w:t>
      </w:r>
      <w:r>
        <w:rPr/>
        <w:t>月</w:t>
      </w:r>
      <w:r>
        <w:rPr>
          <w:spacing w:val="-54"/>
        </w:rPr>
        <w:t> </w:t>
      </w:r>
      <w:r>
        <w:rPr>
          <w:rFonts w:ascii="宋体" w:hAnsi="宋体" w:cs="宋体" w:eastAsia="宋体" w:hint="default"/>
        </w:rPr>
        <w:t>31</w:t>
      </w:r>
      <w:r>
        <w:rPr>
          <w:rFonts w:ascii="宋体" w:hAnsi="宋体" w:cs="宋体" w:eastAsia="宋体" w:hint="default"/>
          <w:spacing w:val="-54"/>
        </w:rPr>
        <w:t> </w:t>
      </w:r>
      <w:r>
        <w:rPr/>
        <w:t>日：人民币</w:t>
      </w:r>
    </w:p>
    <w:p>
      <w:pPr>
        <w:pStyle w:val="BodyText"/>
        <w:spacing w:line="274" w:lineRule="exact"/>
        <w:ind w:right="99"/>
        <w:jc w:val="left"/>
      </w:pPr>
      <w:r>
        <w:rPr>
          <w:rFonts w:ascii="宋体" w:hAnsi="宋体" w:cs="宋体" w:eastAsia="宋体" w:hint="default"/>
          <w:spacing w:val="-1"/>
        </w:rPr>
        <w:t>333,293,032</w:t>
      </w:r>
      <w:r>
        <w:rPr>
          <w:rFonts w:ascii="宋体" w:hAnsi="宋体" w:cs="宋体" w:eastAsia="宋体" w:hint="default"/>
          <w:spacing w:val="11"/>
        </w:rPr>
        <w:t> </w:t>
      </w:r>
      <w:r>
        <w:rPr>
          <w:spacing w:val="-2"/>
        </w:rPr>
        <w:t>元</w:t>
      </w:r>
      <w:r>
        <w:rPr>
          <w:rFonts w:ascii="宋体" w:hAnsi="宋体" w:cs="宋体" w:eastAsia="宋体" w:hint="default"/>
          <w:spacing w:val="-2"/>
        </w:rPr>
        <w:t>)</w:t>
      </w:r>
      <w:r>
        <w:rPr>
          <w:spacing w:val="-2"/>
        </w:rPr>
        <w:t>的房屋建筑物，用于取得银行借款抵押。详情参见附注七、</w:t>
      </w:r>
      <w:r>
        <w:rPr>
          <w:rFonts w:ascii="宋体" w:hAnsi="宋体" w:cs="宋体" w:eastAsia="宋体" w:hint="default"/>
          <w:spacing w:val="-2"/>
        </w:rPr>
        <w:t>45</w:t>
      </w:r>
      <w:r>
        <w:rPr>
          <w:spacing w:val="-2"/>
        </w:rPr>
        <w:t>。</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type w:val="continuous"/>
          <w:pgSz w:w="11910" w:h="16840"/>
          <w:pgMar w:top="1320" w:bottom="1380" w:left="1580" w:right="1040"/>
        </w:sectPr>
      </w:pPr>
    </w:p>
    <w:p>
      <w:pPr>
        <w:pStyle w:val="Heading3"/>
        <w:tabs>
          <w:tab w:pos="918" w:val="left" w:leader="none"/>
        </w:tabs>
        <w:spacing w:line="290" w:lineRule="auto" w:before="36"/>
        <w:ind w:right="0"/>
        <w:jc w:val="left"/>
        <w:rPr>
          <w:rFonts w:ascii="宋体" w:hAnsi="宋体" w:cs="宋体" w:eastAsia="宋体" w:hint="default"/>
          <w:b w:val="0"/>
          <w:bCs w:val="0"/>
        </w:rPr>
      </w:pPr>
      <w:r>
        <w:rPr>
          <w:rFonts w:ascii="宋体" w:hAnsi="宋体" w:cs="宋体" w:eastAsia="宋体" w:hint="default"/>
        </w:rPr>
        <w:t>77</w:t>
      </w:r>
      <w:r>
        <w:rPr/>
        <w:t>、</w:t>
      </w:r>
      <w:r>
        <w:rPr>
          <w:spacing w:val="-15"/>
        </w:rPr>
        <w:t> </w:t>
      </w:r>
      <w:r>
        <w:rPr/>
        <w:t>外币货币性项目</w:t>
      </w:r>
      <w:r>
        <w:rPr>
          <w:w w:val="100"/>
        </w:rPr>
        <w:t> </w:t>
      </w:r>
      <w:r>
        <w:rPr>
          <w:rFonts w:ascii="宋体" w:hAnsi="宋体" w:cs="宋体" w:eastAsia="宋体" w:hint="default"/>
          <w:w w:val="95"/>
        </w:rPr>
        <w:t>(1).</w:t>
        <w:tab/>
      </w:r>
      <w:r>
        <w:rPr/>
        <w:t>外币货币性项目</w:t>
      </w:r>
      <w:r>
        <w:rPr>
          <w:rFonts w:ascii="宋体" w:hAnsi="宋体" w:cs="宋体" w:eastAsia="宋体" w:hint="default"/>
          <w:b w:val="0"/>
          <w:bCs w:val="0"/>
        </w:rPr>
        <w:t>：</w:t>
      </w:r>
    </w:p>
    <w:p>
      <w:pPr>
        <w:pStyle w:val="BodyText"/>
        <w:spacing w:line="240" w:lineRule="auto" w:before="15"/>
        <w:ind w:right="0"/>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spacing w:line="240" w:lineRule="auto"/>
        <w:ind w:right="0"/>
        <w:jc w:val="left"/>
      </w:pPr>
      <w:r>
        <w:rPr/>
        <w:t>单位：元</w:t>
      </w:r>
    </w:p>
    <w:p>
      <w:pPr>
        <w:spacing w:after="0" w:line="240" w:lineRule="auto"/>
        <w:jc w:val="left"/>
        <w:sectPr>
          <w:type w:val="continuous"/>
          <w:pgSz w:w="11910" w:h="16840"/>
          <w:pgMar w:top="1320" w:bottom="1380" w:left="1580" w:right="1040"/>
          <w:cols w:num="2" w:equalWidth="0">
            <w:col w:w="2610" w:space="5384"/>
            <w:col w:w="1296"/>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897"/>
        <w:gridCol w:w="2050"/>
        <w:gridCol w:w="2057"/>
        <w:gridCol w:w="2045"/>
      </w:tblGrid>
      <w:tr>
        <w:trPr>
          <w:trHeight w:val="554"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388" w:right="0"/>
              <w:jc w:val="left"/>
              <w:rPr>
                <w:rFonts w:ascii="宋体" w:hAnsi="宋体" w:cs="宋体" w:eastAsia="宋体" w:hint="default"/>
                <w:sz w:val="21"/>
                <w:szCs w:val="21"/>
              </w:rPr>
            </w:pPr>
            <w:r>
              <w:rPr>
                <w:rFonts w:ascii="宋体" w:hAnsi="宋体" w:cs="宋体" w:eastAsia="宋体" w:hint="default"/>
                <w:sz w:val="21"/>
                <w:szCs w:val="21"/>
              </w:rPr>
              <w:t>期末外币余额</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604" w:right="0"/>
              <w:jc w:val="left"/>
              <w:rPr>
                <w:rFonts w:ascii="宋体" w:hAnsi="宋体" w:cs="宋体" w:eastAsia="宋体" w:hint="default"/>
                <w:sz w:val="21"/>
                <w:szCs w:val="21"/>
              </w:rPr>
            </w:pPr>
            <w:r>
              <w:rPr>
                <w:rFonts w:ascii="宋体" w:hAnsi="宋体" w:cs="宋体" w:eastAsia="宋体" w:hint="default"/>
                <w:sz w:val="21"/>
                <w:szCs w:val="21"/>
              </w:rPr>
              <w:t>折算汇率</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期末折算人民币</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余额</w:t>
            </w:r>
          </w:p>
        </w:tc>
      </w:tr>
      <w:tr>
        <w:trPr>
          <w:trHeight w:val="281"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其中：美元</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916,487</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z w:val="21"/>
              </w:rPr>
              <w:t>6.5316</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5,986,129</w:t>
            </w:r>
          </w:p>
        </w:tc>
      </w:tr>
      <w:tr>
        <w:trPr>
          <w:trHeight w:val="283"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欧元</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港币</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16,471,530</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0.8356</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13,763,610</w:t>
            </w:r>
          </w:p>
        </w:tc>
      </w:tr>
      <w:tr>
        <w:trPr>
          <w:trHeight w:val="283"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日元</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1,438,497</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0.0577</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83,059</w:t>
            </w:r>
          </w:p>
        </w:tc>
      </w:tr>
      <w:tr>
        <w:trPr>
          <w:trHeight w:val="283"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澳门元</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13,991,114</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0.8089</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11,316,712</w:t>
            </w:r>
          </w:p>
        </w:tc>
      </w:tr>
      <w:tr>
        <w:trPr>
          <w:trHeight w:val="281"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新台币</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19,565,580</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0.2191</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4,286,818</w:t>
            </w:r>
          </w:p>
        </w:tc>
      </w:tr>
      <w:tr>
        <w:trPr>
          <w:trHeight w:val="284"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新加坡元</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2,817,448</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4.8823</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13,755,625</w:t>
            </w:r>
          </w:p>
        </w:tc>
      </w:tr>
      <w:tr>
        <w:trPr>
          <w:trHeight w:val="283"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马来西亚林吉特</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1,609,808</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1.6077</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2,588,089</w:t>
            </w:r>
          </w:p>
        </w:tc>
      </w:tr>
    </w:tbl>
    <w:p>
      <w:pPr>
        <w:spacing w:after="0" w:line="241" w:lineRule="exact"/>
        <w:jc w:val="right"/>
        <w:rPr>
          <w:rFonts w:ascii="宋体" w:hAnsi="宋体" w:cs="宋体" w:eastAsia="宋体" w:hint="default"/>
          <w:sz w:val="21"/>
          <w:szCs w:val="21"/>
        </w:rPr>
        <w:sectPr>
          <w:type w:val="continuous"/>
          <w:pgSz w:w="11910" w:h="16840"/>
          <w:pgMar w:top="1320" w:bottom="1380" w:left="1580" w:right="1040"/>
        </w:sectPr>
      </w:pPr>
    </w:p>
    <w:p>
      <w:pPr>
        <w:spacing w:line="240" w:lineRule="auto" w:before="6"/>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2897"/>
        <w:gridCol w:w="2050"/>
        <w:gridCol w:w="2057"/>
        <w:gridCol w:w="2045"/>
      </w:tblGrid>
      <w:tr>
        <w:trPr>
          <w:trHeight w:val="284"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其中：美元</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欧元</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734" w:right="0"/>
              <w:jc w:val="left"/>
              <w:rPr>
                <w:rFonts w:ascii="宋体" w:hAnsi="宋体" w:cs="宋体" w:eastAsia="宋体" w:hint="default"/>
                <w:sz w:val="21"/>
                <w:szCs w:val="21"/>
              </w:rPr>
            </w:pPr>
            <w:r>
              <w:rPr>
                <w:rFonts w:ascii="宋体" w:hAnsi="宋体" w:cs="宋体" w:eastAsia="宋体" w:hint="default"/>
                <w:sz w:val="21"/>
                <w:szCs w:val="21"/>
              </w:rPr>
              <w:t>港币</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517"/>
              <w:jc w:val="right"/>
              <w:rPr>
                <w:rFonts w:ascii="宋体" w:hAnsi="宋体" w:cs="宋体" w:eastAsia="宋体" w:hint="default"/>
                <w:sz w:val="21"/>
                <w:szCs w:val="21"/>
              </w:rPr>
            </w:pPr>
            <w:r>
              <w:rPr>
                <w:rFonts w:ascii="宋体" w:hAnsi="宋体" w:cs="宋体" w:eastAsia="宋体" w:hint="default"/>
                <w:sz w:val="21"/>
                <w:szCs w:val="21"/>
              </w:rPr>
              <w:t>人民币</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517"/>
              <w:jc w:val="right"/>
              <w:rPr>
                <w:rFonts w:ascii="宋体" w:hAnsi="宋体" w:cs="宋体" w:eastAsia="宋体" w:hint="default"/>
                <w:sz w:val="21"/>
                <w:szCs w:val="21"/>
              </w:rPr>
            </w:pPr>
            <w:r>
              <w:rPr>
                <w:rFonts w:ascii="宋体" w:hAnsi="宋体" w:cs="宋体" w:eastAsia="宋体" w:hint="default"/>
                <w:sz w:val="21"/>
                <w:szCs w:val="21"/>
              </w:rPr>
              <w:t>人民币</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其中：美元</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欧元</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港币</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517"/>
              <w:jc w:val="right"/>
              <w:rPr>
                <w:rFonts w:ascii="宋体" w:hAnsi="宋体" w:cs="宋体" w:eastAsia="宋体" w:hint="default"/>
                <w:sz w:val="21"/>
                <w:szCs w:val="21"/>
              </w:rPr>
            </w:pPr>
            <w:r>
              <w:rPr>
                <w:rFonts w:ascii="宋体" w:hAnsi="宋体" w:cs="宋体" w:eastAsia="宋体" w:hint="default"/>
                <w:sz w:val="21"/>
                <w:szCs w:val="21"/>
              </w:rPr>
              <w:t>人民币</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517"/>
              <w:jc w:val="right"/>
              <w:rPr>
                <w:rFonts w:ascii="宋体" w:hAnsi="宋体" w:cs="宋体" w:eastAsia="宋体" w:hint="default"/>
                <w:sz w:val="21"/>
                <w:szCs w:val="21"/>
              </w:rPr>
            </w:pPr>
            <w:r>
              <w:rPr>
                <w:rFonts w:ascii="宋体" w:hAnsi="宋体" w:cs="宋体" w:eastAsia="宋体" w:hint="default"/>
                <w:sz w:val="21"/>
                <w:szCs w:val="21"/>
              </w:rPr>
              <w:t>人民币</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外币核算</w:t>
            </w:r>
            <w:r>
              <w:rPr>
                <w:rFonts w:ascii="宋体" w:hAnsi="宋体" w:cs="宋体" w:eastAsia="宋体" w:hint="default"/>
                <w:sz w:val="21"/>
                <w:szCs w:val="21"/>
              </w:rPr>
              <w:t>-XXX</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517"/>
              <w:jc w:val="right"/>
              <w:rPr>
                <w:rFonts w:ascii="宋体" w:hAnsi="宋体" w:cs="宋体" w:eastAsia="宋体" w:hint="default"/>
                <w:sz w:val="21"/>
                <w:szCs w:val="21"/>
              </w:rPr>
            </w:pPr>
            <w:r>
              <w:rPr>
                <w:rFonts w:ascii="宋体" w:hAnsi="宋体" w:cs="宋体" w:eastAsia="宋体" w:hint="default"/>
                <w:sz w:val="21"/>
                <w:szCs w:val="21"/>
              </w:rPr>
              <w:t>人民币</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517"/>
              <w:jc w:val="right"/>
              <w:rPr>
                <w:rFonts w:ascii="宋体" w:hAnsi="宋体" w:cs="宋体" w:eastAsia="宋体" w:hint="default"/>
                <w:sz w:val="21"/>
                <w:szCs w:val="21"/>
              </w:rPr>
            </w:pPr>
            <w:r>
              <w:rPr>
                <w:rFonts w:ascii="宋体" w:hAnsi="宋体" w:cs="宋体" w:eastAsia="宋体" w:hint="default"/>
                <w:sz w:val="21"/>
                <w:szCs w:val="21"/>
              </w:rPr>
              <w:t>人民币</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bl>
    <w:p>
      <w:pPr>
        <w:pStyle w:val="Heading3"/>
        <w:tabs>
          <w:tab w:pos="918" w:val="left" w:leader="none"/>
        </w:tabs>
        <w:spacing w:line="240" w:lineRule="auto" w:before="26"/>
        <w:ind w:left="638" w:right="228" w:hanging="420"/>
        <w:jc w:val="left"/>
        <w:rPr>
          <w:b w:val="0"/>
          <w:bCs w:val="0"/>
        </w:rPr>
      </w:pPr>
      <w:r>
        <w:rPr>
          <w:rFonts w:ascii="宋体" w:hAnsi="宋体" w:cs="宋体" w:eastAsia="宋体" w:hint="default"/>
          <w:w w:val="95"/>
        </w:rPr>
        <w:t>(2).</w:t>
        <w:tab/>
      </w:r>
      <w:r>
        <w:rPr>
          <w:spacing w:val="-3"/>
        </w:rPr>
        <w:t>境外经营实体说明，包括对于重要的境外经营实体，应披露其境外主要经营地、记账本位</w:t>
      </w:r>
      <w:r>
        <w:rPr>
          <w:spacing w:val="-79"/>
        </w:rPr>
        <w:t> </w:t>
      </w:r>
      <w:r>
        <w:rPr>
          <w:spacing w:val="-79"/>
        </w:rPr>
      </w:r>
      <w:r>
        <w:rPr/>
        <w:t>币及选择依据，记账本位币发生变化的还应披露原因。</w:t>
      </w:r>
      <w:r>
        <w:rPr>
          <w:b w:val="0"/>
          <w:bCs w:val="0"/>
        </w:rPr>
      </w:r>
    </w:p>
    <w:p>
      <w:pPr>
        <w:pStyle w:val="BodyText"/>
        <w:spacing w:line="240" w:lineRule="auto" w:before="56"/>
        <w:ind w:right="99"/>
        <w:jc w:val="left"/>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right="99"/>
        <w:jc w:val="left"/>
        <w:rPr>
          <w:b w:val="0"/>
          <w:bCs w:val="0"/>
        </w:rPr>
      </w:pPr>
      <w:r>
        <w:rPr>
          <w:rFonts w:ascii="宋体" w:hAnsi="宋体" w:cs="宋体" w:eastAsia="宋体" w:hint="default"/>
        </w:rPr>
        <w:t>78</w:t>
      </w:r>
      <w:r>
        <w:rPr/>
        <w:t>、</w:t>
      </w:r>
      <w:r>
        <w:rPr>
          <w:spacing w:val="-26"/>
        </w:rPr>
        <w:t> </w:t>
      </w:r>
      <w:r>
        <w:rPr/>
        <w:t>套期</w:t>
      </w:r>
      <w:r>
        <w:rPr>
          <w:b w:val="0"/>
          <w:bCs w:val="0"/>
        </w:rPr>
      </w:r>
    </w:p>
    <w:p>
      <w:pPr>
        <w:pStyle w:val="BodyText"/>
        <w:spacing w:line="240" w:lineRule="auto" w:before="58"/>
        <w:ind w:right="99"/>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57" w:footer="1195" w:top="1320" w:bottom="1380" w:left="1580" w:right="1040"/>
        </w:sectPr>
      </w:pPr>
    </w:p>
    <w:p>
      <w:pPr>
        <w:pStyle w:val="Heading3"/>
        <w:spacing w:line="240" w:lineRule="auto" w:before="36"/>
        <w:ind w:right="-16"/>
        <w:jc w:val="left"/>
        <w:rPr>
          <w:b w:val="0"/>
          <w:bCs w:val="0"/>
        </w:rPr>
      </w:pPr>
      <w:r>
        <w:rPr>
          <w:rFonts w:ascii="宋体" w:hAnsi="宋体" w:cs="宋体" w:eastAsia="宋体" w:hint="default"/>
        </w:rPr>
        <w:t>79</w:t>
      </w:r>
      <w:r>
        <w:rPr/>
        <w:t>、</w:t>
      </w:r>
      <w:r>
        <w:rPr>
          <w:spacing w:val="-25"/>
        </w:rPr>
        <w:t> </w:t>
      </w:r>
      <w:r>
        <w:rPr/>
        <w:t>政府补助</w:t>
      </w:r>
      <w:r>
        <w:rPr>
          <w:b w:val="0"/>
          <w:bCs w:val="0"/>
        </w:rPr>
      </w:r>
    </w:p>
    <w:p>
      <w:pPr>
        <w:pStyle w:val="Heading3"/>
        <w:tabs>
          <w:tab w:pos="642" w:val="left" w:leader="none"/>
        </w:tabs>
        <w:spacing w:line="240" w:lineRule="auto" w:before="58"/>
        <w:ind w:right="-17"/>
        <w:jc w:val="left"/>
        <w:rPr>
          <w:b w:val="0"/>
          <w:bCs w:val="0"/>
        </w:rPr>
      </w:pPr>
      <w:r>
        <w:rPr>
          <w:rFonts w:ascii="宋体" w:hAnsi="宋体" w:cs="宋体" w:eastAsia="宋体" w:hint="default"/>
          <w:w w:val="95"/>
        </w:rPr>
        <w:t>1.</w:t>
        <w:tab/>
      </w:r>
      <w:r>
        <w:rPr/>
        <w:t>政府补助基本情况</w:t>
      </w:r>
      <w:r>
        <w:rPr>
          <w:b w:val="0"/>
          <w:bCs w:val="0"/>
        </w:rPr>
      </w:r>
    </w:p>
    <w:p>
      <w:pPr>
        <w:pStyle w:val="BodyText"/>
        <w:tabs>
          <w:tab w:pos="1060" w:val="left" w:leader="none"/>
        </w:tabs>
        <w:spacing w:line="240" w:lineRule="auto" w:before="56"/>
        <w:ind w:right="-16"/>
        <w:jc w:val="left"/>
      </w:pPr>
      <w:r>
        <w:rPr>
          <w:spacing w:val="-1"/>
        </w:rPr>
        <w:t>√适用</w:t>
        <w:tab/>
      </w:r>
      <w:r>
        <w:rPr>
          <w:spacing w:val="-2"/>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2333" w:space="4400"/>
            <w:col w:w="2557"/>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264"/>
        <w:gridCol w:w="2261"/>
        <w:gridCol w:w="2264"/>
        <w:gridCol w:w="2261"/>
      </w:tblGrid>
      <w:tr>
        <w:trPr>
          <w:trHeight w:val="28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种类</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05" w:right="0"/>
              <w:jc w:val="left"/>
              <w:rPr>
                <w:rFonts w:ascii="宋体" w:hAnsi="宋体" w:cs="宋体" w:eastAsia="宋体" w:hint="default"/>
                <w:sz w:val="21"/>
                <w:szCs w:val="21"/>
              </w:rPr>
            </w:pPr>
            <w:r>
              <w:rPr>
                <w:rFonts w:ascii="宋体" w:hAnsi="宋体" w:cs="宋体" w:eastAsia="宋体" w:hint="default"/>
                <w:sz w:val="21"/>
                <w:szCs w:val="21"/>
              </w:rPr>
              <w:t>列报项目</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79" w:right="0"/>
              <w:jc w:val="left"/>
              <w:rPr>
                <w:rFonts w:ascii="宋体" w:hAnsi="宋体" w:cs="宋体" w:eastAsia="宋体" w:hint="default"/>
                <w:sz w:val="21"/>
                <w:szCs w:val="21"/>
              </w:rPr>
            </w:pPr>
            <w:r>
              <w:rPr>
                <w:rFonts w:ascii="宋体" w:hAnsi="宋体" w:cs="宋体" w:eastAsia="宋体" w:hint="default"/>
                <w:sz w:val="21"/>
                <w:szCs w:val="21"/>
              </w:rPr>
              <w:t>计入当期损益的金额</w:t>
            </w:r>
          </w:p>
        </w:tc>
      </w:tr>
      <w:tr>
        <w:trPr>
          <w:trHeight w:val="554"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企业云平台与云</w:t>
            </w:r>
            <w:r>
              <w:rPr>
                <w:rFonts w:ascii="宋体" w:hAnsi="宋体" w:cs="宋体" w:eastAsia="宋体" w:hint="default"/>
                <w:spacing w:val="-52"/>
                <w:sz w:val="21"/>
                <w:szCs w:val="21"/>
              </w:rPr>
              <w:t> </w:t>
            </w:r>
            <w:r>
              <w:rPr>
                <w:rFonts w:ascii="宋体" w:hAnsi="宋体" w:cs="宋体" w:eastAsia="宋体" w:hint="default"/>
                <w:sz w:val="21"/>
                <w:szCs w:val="21"/>
              </w:rPr>
              <w:t>ERP</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系统研发及推广应用</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30,000,000</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2261" w:type="dxa"/>
            <w:tcBorders>
              <w:top w:val="single" w:sz="4" w:space="0" w:color="000000"/>
              <w:left w:val="single" w:sz="4" w:space="0" w:color="000000"/>
              <w:bottom w:val="single" w:sz="4" w:space="0" w:color="000000"/>
              <w:right w:val="single" w:sz="4" w:space="0" w:color="000000"/>
            </w:tcBorders>
          </w:tcPr>
          <w:p>
            <w:pPr/>
          </w:p>
        </w:tc>
      </w:tr>
      <w:tr>
        <w:trPr>
          <w:trHeight w:val="826"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5"/>
              <w:jc w:val="left"/>
              <w:rPr>
                <w:rFonts w:ascii="宋体" w:hAnsi="宋体" w:cs="宋体" w:eastAsia="宋体" w:hint="default"/>
                <w:sz w:val="21"/>
                <w:szCs w:val="21"/>
              </w:rPr>
            </w:pPr>
            <w:r>
              <w:rPr>
                <w:rFonts w:ascii="宋体" w:hAnsi="宋体" w:cs="宋体" w:eastAsia="宋体" w:hint="default"/>
                <w:sz w:val="21"/>
                <w:szCs w:val="21"/>
              </w:rPr>
              <w:t>基于云平台的大型企</w:t>
            </w:r>
          </w:p>
          <w:p>
            <w:pPr>
              <w:pStyle w:val="TableParagraph"/>
              <w:spacing w:line="240" w:lineRule="auto"/>
              <w:ind w:left="103" w:right="-5"/>
              <w:jc w:val="left"/>
              <w:rPr>
                <w:rFonts w:ascii="宋体" w:hAnsi="宋体" w:cs="宋体" w:eastAsia="宋体" w:hint="default"/>
                <w:sz w:val="21"/>
                <w:szCs w:val="21"/>
              </w:rPr>
            </w:pPr>
            <w:r>
              <w:rPr>
                <w:rFonts w:ascii="宋体" w:hAnsi="宋体" w:cs="宋体" w:eastAsia="宋体" w:hint="default"/>
                <w:spacing w:val="-6"/>
                <w:sz w:val="21"/>
                <w:szCs w:val="21"/>
              </w:rPr>
              <w:t>业资源管理系统（</w:t>
            </w:r>
            <w:r>
              <w:rPr>
                <w:rFonts w:ascii="宋体" w:hAnsi="宋体" w:cs="宋体" w:eastAsia="宋体" w:hint="default"/>
                <w:spacing w:val="-6"/>
                <w:sz w:val="21"/>
                <w:szCs w:val="21"/>
              </w:rPr>
              <w:t>ERP</w:t>
            </w:r>
            <w:r>
              <w:rPr>
                <w:rFonts w:ascii="宋体" w:hAnsi="宋体" w:cs="宋体" w:eastAsia="宋体" w:hint="default"/>
                <w:spacing w:val="-6"/>
                <w:sz w:val="21"/>
                <w:szCs w:val="21"/>
              </w:rPr>
              <w:t>）</w:t>
            </w:r>
            <w:r>
              <w:rPr>
                <w:rFonts w:ascii="宋体" w:hAnsi="宋体" w:cs="宋体" w:eastAsia="宋体" w:hint="default"/>
                <w:spacing w:val="-88"/>
                <w:sz w:val="21"/>
                <w:szCs w:val="21"/>
              </w:rPr>
              <w:t> </w:t>
            </w:r>
            <w:r>
              <w:rPr>
                <w:rFonts w:ascii="宋体" w:hAnsi="宋体" w:cs="宋体" w:eastAsia="宋体" w:hint="default"/>
                <w:sz w:val="21"/>
                <w:szCs w:val="21"/>
              </w:rPr>
              <w:t>解决方案应用推广</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10,000,000</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2261" w:type="dxa"/>
            <w:tcBorders>
              <w:top w:val="single" w:sz="4" w:space="0" w:color="000000"/>
              <w:left w:val="single" w:sz="4" w:space="0" w:color="000000"/>
              <w:bottom w:val="single" w:sz="4" w:space="0" w:color="000000"/>
              <w:right w:val="single" w:sz="4" w:space="0" w:color="000000"/>
            </w:tcBorders>
          </w:tcPr>
          <w:p>
            <w:pPr/>
          </w:p>
        </w:tc>
      </w:tr>
      <w:tr>
        <w:trPr>
          <w:trHeight w:val="829"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支撑互联网</w:t>
            </w:r>
            <w:r>
              <w:rPr>
                <w:rFonts w:ascii="宋体" w:hAnsi="宋体" w:cs="宋体" w:eastAsia="宋体" w:hint="default"/>
                <w:sz w:val="21"/>
                <w:szCs w:val="21"/>
              </w:rPr>
              <w:t>+</w:t>
            </w:r>
            <w:r>
              <w:rPr>
                <w:rFonts w:ascii="宋体" w:hAnsi="宋体" w:cs="宋体" w:eastAsia="宋体" w:hint="default"/>
                <w:sz w:val="21"/>
                <w:szCs w:val="21"/>
              </w:rPr>
              <w:t>新模式的</w:t>
            </w:r>
          </w:p>
          <w:p>
            <w:pPr>
              <w:pStyle w:val="TableParagraph"/>
              <w:spacing w:line="272" w:lineRule="exact" w:before="27"/>
              <w:ind w:left="103" w:right="255"/>
              <w:jc w:val="left"/>
              <w:rPr>
                <w:rFonts w:ascii="宋体" w:hAnsi="宋体" w:cs="宋体" w:eastAsia="宋体" w:hint="default"/>
                <w:sz w:val="21"/>
                <w:szCs w:val="21"/>
              </w:rPr>
            </w:pPr>
            <w:r>
              <w:rPr>
                <w:rFonts w:ascii="宋体" w:hAnsi="宋体" w:cs="宋体" w:eastAsia="宋体" w:hint="default"/>
                <w:sz w:val="21"/>
                <w:szCs w:val="21"/>
              </w:rPr>
              <w:t>企业互联网开放平台</w:t>
            </w:r>
            <w:r>
              <w:rPr>
                <w:rFonts w:ascii="宋体" w:hAnsi="宋体" w:cs="宋体" w:eastAsia="宋体" w:hint="default"/>
                <w:w w:val="100"/>
                <w:sz w:val="21"/>
                <w:szCs w:val="21"/>
              </w:rPr>
              <w:t> </w:t>
            </w:r>
            <w:r>
              <w:rPr>
                <w:rFonts w:ascii="宋体" w:hAnsi="宋体" w:cs="宋体" w:eastAsia="宋体" w:hint="default"/>
                <w:sz w:val="21"/>
                <w:szCs w:val="21"/>
              </w:rPr>
              <w:t>建设与运营</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10,000,000</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2261"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第三批省战略性新兴</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产业发展专项资金</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10,000,000</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2261" w:type="dxa"/>
            <w:tcBorders>
              <w:top w:val="single" w:sz="4" w:space="0" w:color="000000"/>
              <w:left w:val="single" w:sz="4" w:space="0" w:color="000000"/>
              <w:bottom w:val="single" w:sz="4" w:space="0" w:color="000000"/>
              <w:right w:val="single" w:sz="4" w:space="0" w:color="000000"/>
            </w:tcBorders>
          </w:tcPr>
          <w:p>
            <w:pPr/>
          </w:p>
        </w:tc>
      </w:tr>
      <w:tr>
        <w:trPr>
          <w:trHeight w:val="828"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面向装备制造业的云</w:t>
            </w:r>
          </w:p>
          <w:p>
            <w:pPr>
              <w:pStyle w:val="TableParagraph"/>
              <w:spacing w:line="272" w:lineRule="exact" w:before="27"/>
              <w:ind w:left="103" w:right="255"/>
              <w:jc w:val="left"/>
              <w:rPr>
                <w:rFonts w:ascii="宋体" w:hAnsi="宋体" w:cs="宋体" w:eastAsia="宋体" w:hint="default"/>
                <w:sz w:val="21"/>
                <w:szCs w:val="21"/>
              </w:rPr>
            </w:pPr>
            <w:r>
              <w:rPr>
                <w:rFonts w:ascii="宋体" w:hAnsi="宋体" w:cs="宋体" w:eastAsia="宋体" w:hint="default"/>
                <w:sz w:val="21"/>
                <w:szCs w:val="21"/>
              </w:rPr>
              <w:t>平台建设及应用标准</w:t>
            </w:r>
            <w:r>
              <w:rPr>
                <w:rFonts w:ascii="宋体" w:hAnsi="宋体" w:cs="宋体" w:eastAsia="宋体" w:hint="default"/>
                <w:w w:val="100"/>
                <w:sz w:val="21"/>
                <w:szCs w:val="21"/>
              </w:rPr>
              <w:t> </w:t>
            </w:r>
            <w:r>
              <w:rPr>
                <w:rFonts w:ascii="宋体" w:hAnsi="宋体" w:cs="宋体" w:eastAsia="宋体" w:hint="default"/>
                <w:sz w:val="21"/>
                <w:szCs w:val="21"/>
              </w:rPr>
              <w:t>与试验验证</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3,150,000</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2261"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广东省现代信息服务</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业发展专项资金</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3,000,000</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2261"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再生能源节能补助</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1,621,811</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2261"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103" w:right="0"/>
              <w:jc w:val="left"/>
              <w:rPr>
                <w:rFonts w:ascii="宋体" w:hAnsi="宋体" w:cs="宋体" w:eastAsia="宋体" w:hint="default"/>
                <w:sz w:val="21"/>
                <w:szCs w:val="21"/>
              </w:rPr>
            </w:pPr>
            <w:r>
              <w:rPr>
                <w:rFonts w:ascii="宋体" w:hAnsi="宋体" w:cs="宋体" w:eastAsia="宋体" w:hint="default"/>
                <w:sz w:val="21"/>
                <w:szCs w:val="21"/>
              </w:rPr>
              <w:t>汽车行业大数据智能</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分析应用示范</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1,200,000</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2261"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4,257,234</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226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第三批省战略性新兴</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10,000,000</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tc>
        <w:tc>
          <w:tcPr>
            <w:tcW w:w="2261"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320" w:bottom="1380" w:left="1580" w:right="1040"/>
        </w:sectPr>
      </w:pPr>
    </w:p>
    <w:p>
      <w:pPr>
        <w:spacing w:line="240" w:lineRule="auto" w:before="6"/>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2264"/>
        <w:gridCol w:w="2261"/>
        <w:gridCol w:w="2264"/>
        <w:gridCol w:w="2261"/>
      </w:tblGrid>
      <w:tr>
        <w:trPr>
          <w:trHeight w:val="284"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产业发展专项资金</w:t>
            </w:r>
          </w:p>
        </w:tc>
        <w:tc>
          <w:tcPr>
            <w:tcW w:w="2261" w:type="dxa"/>
            <w:tcBorders>
              <w:top w:val="single" w:sz="4" w:space="0" w:color="000000"/>
              <w:left w:val="single" w:sz="4" w:space="0" w:color="000000"/>
              <w:bottom w:val="single" w:sz="4" w:space="0" w:color="000000"/>
              <w:right w:val="single" w:sz="4" w:space="0" w:color="000000"/>
            </w:tcBorders>
          </w:tcPr>
          <w:p>
            <w:pP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负债</w:t>
            </w:r>
          </w:p>
        </w:tc>
        <w:tc>
          <w:tcPr>
            <w:tcW w:w="2261" w:type="dxa"/>
            <w:tcBorders>
              <w:top w:val="single" w:sz="4" w:space="0" w:color="000000"/>
              <w:left w:val="single" w:sz="4" w:space="0" w:color="000000"/>
              <w:bottom w:val="single" w:sz="4" w:space="0" w:color="000000"/>
              <w:right w:val="single" w:sz="4" w:space="0" w:color="000000"/>
            </w:tcBorders>
          </w:tcPr>
          <w:p>
            <w:pPr/>
          </w:p>
        </w:tc>
      </w:tr>
      <w:tr>
        <w:trPr>
          <w:trHeight w:val="828"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支撑互联网</w:t>
            </w:r>
            <w:r>
              <w:rPr>
                <w:rFonts w:ascii="宋体" w:hAnsi="宋体" w:cs="宋体" w:eastAsia="宋体" w:hint="default"/>
                <w:sz w:val="21"/>
                <w:szCs w:val="21"/>
              </w:rPr>
              <w:t>+</w:t>
            </w:r>
            <w:r>
              <w:rPr>
                <w:rFonts w:ascii="宋体" w:hAnsi="宋体" w:cs="宋体" w:eastAsia="宋体" w:hint="default"/>
                <w:sz w:val="21"/>
                <w:szCs w:val="21"/>
              </w:rPr>
              <w:t>新模式的</w:t>
            </w:r>
          </w:p>
          <w:p>
            <w:pPr>
              <w:pStyle w:val="TableParagraph"/>
              <w:spacing w:line="272" w:lineRule="exact" w:before="27"/>
              <w:ind w:left="103" w:right="255"/>
              <w:jc w:val="left"/>
              <w:rPr>
                <w:rFonts w:ascii="宋体" w:hAnsi="宋体" w:cs="宋体" w:eastAsia="宋体" w:hint="default"/>
                <w:sz w:val="21"/>
                <w:szCs w:val="21"/>
              </w:rPr>
            </w:pPr>
            <w:r>
              <w:rPr>
                <w:rFonts w:ascii="宋体" w:hAnsi="宋体" w:cs="宋体" w:eastAsia="宋体" w:hint="default"/>
                <w:sz w:val="21"/>
                <w:szCs w:val="21"/>
              </w:rPr>
              <w:t>企业互联网开放平台</w:t>
            </w:r>
            <w:r>
              <w:rPr>
                <w:rFonts w:ascii="宋体" w:hAnsi="宋体" w:cs="宋体" w:eastAsia="宋体" w:hint="default"/>
                <w:w w:val="100"/>
                <w:sz w:val="21"/>
                <w:szCs w:val="21"/>
              </w:rPr>
              <w:t> </w:t>
            </w:r>
            <w:r>
              <w:rPr>
                <w:rFonts w:ascii="宋体" w:hAnsi="宋体" w:cs="宋体" w:eastAsia="宋体" w:hint="default"/>
                <w:sz w:val="21"/>
                <w:szCs w:val="21"/>
              </w:rPr>
              <w:t>建设与运营</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10,000,000</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负债</w:t>
            </w:r>
          </w:p>
        </w:tc>
        <w:tc>
          <w:tcPr>
            <w:tcW w:w="2261" w:type="dxa"/>
            <w:tcBorders>
              <w:top w:val="single" w:sz="4" w:space="0" w:color="000000"/>
              <w:left w:val="single" w:sz="4" w:space="0" w:color="000000"/>
              <w:bottom w:val="single" w:sz="4" w:space="0" w:color="000000"/>
              <w:right w:val="single" w:sz="4" w:space="0" w:color="000000"/>
            </w:tcBorders>
          </w:tcPr>
          <w:p>
            <w:pPr/>
          </w:p>
        </w:tc>
      </w:tr>
      <w:tr>
        <w:trPr>
          <w:trHeight w:val="826"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5"/>
              <w:jc w:val="left"/>
              <w:rPr>
                <w:rFonts w:ascii="宋体" w:hAnsi="宋体" w:cs="宋体" w:eastAsia="宋体" w:hint="default"/>
                <w:sz w:val="21"/>
                <w:szCs w:val="21"/>
              </w:rPr>
            </w:pPr>
            <w:r>
              <w:rPr>
                <w:rFonts w:ascii="宋体" w:hAnsi="宋体" w:cs="宋体" w:eastAsia="宋体" w:hint="default"/>
                <w:sz w:val="21"/>
                <w:szCs w:val="21"/>
              </w:rPr>
              <w:t>基于云平台的大型企</w:t>
            </w:r>
          </w:p>
          <w:p>
            <w:pPr>
              <w:pStyle w:val="TableParagraph"/>
              <w:spacing w:line="240" w:lineRule="auto"/>
              <w:ind w:left="103" w:right="-5"/>
              <w:jc w:val="left"/>
              <w:rPr>
                <w:rFonts w:ascii="宋体" w:hAnsi="宋体" w:cs="宋体" w:eastAsia="宋体" w:hint="default"/>
                <w:sz w:val="21"/>
                <w:szCs w:val="21"/>
              </w:rPr>
            </w:pPr>
            <w:r>
              <w:rPr>
                <w:rFonts w:ascii="宋体" w:hAnsi="宋体" w:cs="宋体" w:eastAsia="宋体" w:hint="default"/>
                <w:spacing w:val="-6"/>
                <w:sz w:val="21"/>
                <w:szCs w:val="21"/>
              </w:rPr>
              <w:t>业资源管理系统（</w:t>
            </w:r>
            <w:r>
              <w:rPr>
                <w:rFonts w:ascii="宋体" w:hAnsi="宋体" w:cs="宋体" w:eastAsia="宋体" w:hint="default"/>
                <w:spacing w:val="-6"/>
                <w:sz w:val="21"/>
                <w:szCs w:val="21"/>
              </w:rPr>
              <w:t>ERP</w:t>
            </w:r>
            <w:r>
              <w:rPr>
                <w:rFonts w:ascii="宋体" w:hAnsi="宋体" w:cs="宋体" w:eastAsia="宋体" w:hint="default"/>
                <w:spacing w:val="-6"/>
                <w:sz w:val="21"/>
                <w:szCs w:val="21"/>
              </w:rPr>
              <w:t>）</w:t>
            </w:r>
            <w:r>
              <w:rPr>
                <w:rFonts w:ascii="宋体" w:hAnsi="宋体" w:cs="宋体" w:eastAsia="宋体" w:hint="default"/>
                <w:spacing w:val="-88"/>
                <w:sz w:val="21"/>
                <w:szCs w:val="21"/>
              </w:rPr>
              <w:t> </w:t>
            </w:r>
            <w:r>
              <w:rPr>
                <w:rFonts w:ascii="宋体" w:hAnsi="宋体" w:cs="宋体" w:eastAsia="宋体" w:hint="default"/>
                <w:sz w:val="21"/>
                <w:szCs w:val="21"/>
              </w:rPr>
              <w:t>解决方案应用推广</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10,000,000</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负债</w:t>
            </w:r>
          </w:p>
        </w:tc>
        <w:tc>
          <w:tcPr>
            <w:tcW w:w="2261"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广东省现代信息服务</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业发展专项资金</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3,000,000</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负债</w:t>
            </w:r>
          </w:p>
        </w:tc>
        <w:tc>
          <w:tcPr>
            <w:tcW w:w="2261"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汽车行业大数据智能</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分析应用示范</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1,200,000</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负债</w:t>
            </w:r>
          </w:p>
        </w:tc>
        <w:tc>
          <w:tcPr>
            <w:tcW w:w="2261"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4,607,234</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103"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负债</w:t>
            </w:r>
          </w:p>
        </w:tc>
        <w:tc>
          <w:tcPr>
            <w:tcW w:w="2261" w:type="dxa"/>
            <w:tcBorders>
              <w:top w:val="single" w:sz="4" w:space="0" w:color="000000"/>
              <w:left w:val="single" w:sz="4" w:space="0" w:color="000000"/>
              <w:bottom w:val="single" w:sz="4" w:space="0" w:color="000000"/>
              <w:right w:val="single" w:sz="4" w:space="0" w:color="000000"/>
            </w:tcBorders>
          </w:tcPr>
          <w:p>
            <w:pPr/>
          </w:p>
        </w:tc>
      </w:tr>
      <w:tr>
        <w:trPr>
          <w:trHeight w:val="826"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16" w:lineRule="auto"/>
              <w:ind w:left="103" w:right="99"/>
              <w:jc w:val="left"/>
              <w:rPr>
                <w:rFonts w:ascii="宋体" w:hAnsi="宋体" w:cs="宋体" w:eastAsia="宋体" w:hint="default"/>
                <w:sz w:val="21"/>
                <w:szCs w:val="21"/>
              </w:rPr>
            </w:pPr>
            <w:r>
              <w:rPr>
                <w:rFonts w:ascii="宋体" w:hAnsi="宋体" w:cs="宋体" w:eastAsia="宋体" w:hint="default"/>
                <w:sz w:val="21"/>
                <w:szCs w:val="21"/>
              </w:rPr>
              <w:t>海南财政厅 </w:t>
            </w:r>
            <w:r>
              <w:rPr>
                <w:rFonts w:ascii="Calibri" w:hAnsi="Calibri" w:cs="Calibri" w:eastAsia="Calibri" w:hint="default"/>
                <w:sz w:val="21"/>
                <w:szCs w:val="21"/>
              </w:rPr>
              <w:t>2016</w:t>
            </w:r>
            <w:r>
              <w:rPr>
                <w:rFonts w:ascii="Calibri" w:hAnsi="Calibri" w:cs="Calibri" w:eastAsia="Calibri" w:hint="default"/>
                <w:spacing w:val="-3"/>
                <w:sz w:val="21"/>
                <w:szCs w:val="21"/>
              </w:rPr>
              <w:t> </w:t>
            </w:r>
            <w:r>
              <w:rPr>
                <w:rFonts w:ascii="宋体" w:hAnsi="宋体" w:cs="宋体" w:eastAsia="宋体" w:hint="default"/>
                <w:sz w:val="21"/>
                <w:szCs w:val="21"/>
              </w:rPr>
              <w:t>年海</w:t>
            </w:r>
            <w:r>
              <w:rPr>
                <w:rFonts w:ascii="宋体" w:hAnsi="宋体" w:cs="宋体" w:eastAsia="宋体" w:hint="default"/>
                <w:w w:val="100"/>
                <w:sz w:val="21"/>
                <w:szCs w:val="21"/>
              </w:rPr>
              <w:t> </w:t>
            </w:r>
            <w:r>
              <w:rPr>
                <w:rFonts w:ascii="宋体" w:hAnsi="宋体" w:cs="宋体" w:eastAsia="宋体" w:hint="default"/>
                <w:spacing w:val="15"/>
                <w:sz w:val="21"/>
                <w:szCs w:val="21"/>
              </w:rPr>
              <w:t>南省互联网产业发展</w:t>
            </w:r>
          </w:p>
          <w:p>
            <w:pPr>
              <w:pStyle w:val="TableParagraph"/>
              <w:spacing w:line="240" w:lineRule="auto" w:before="1"/>
              <w:ind w:left="103" w:right="0"/>
              <w:jc w:val="left"/>
              <w:rPr>
                <w:rFonts w:ascii="宋体" w:hAnsi="宋体" w:cs="宋体" w:eastAsia="宋体" w:hint="default"/>
                <w:sz w:val="21"/>
                <w:szCs w:val="21"/>
              </w:rPr>
            </w:pPr>
            <w:r>
              <w:rPr>
                <w:rFonts w:ascii="宋体" w:hAnsi="宋体" w:cs="宋体" w:eastAsia="宋体" w:hint="default"/>
                <w:sz w:val="21"/>
                <w:szCs w:val="21"/>
              </w:rPr>
              <w:t>专项资金</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4,907,755</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营业外收入</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4,907,755</w:t>
            </w:r>
          </w:p>
        </w:tc>
      </w:tr>
      <w:tr>
        <w:trPr>
          <w:trHeight w:val="28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新三板挂牌补助</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1,000,000</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营业外收入</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1,000,000</w:t>
            </w:r>
          </w:p>
        </w:tc>
      </w:tr>
      <w:tr>
        <w:trPr>
          <w:trHeight w:val="28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2,515,341</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营业外收入</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2,515,341</w:t>
            </w:r>
          </w:p>
        </w:tc>
      </w:tr>
      <w:tr>
        <w:trPr>
          <w:trHeight w:val="28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增值税退税</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333,603,325</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其他收益</w:t>
            </w:r>
          </w:p>
        </w:tc>
        <w:tc>
          <w:tcPr>
            <w:tcW w:w="2261" w:type="dxa"/>
            <w:tcBorders>
              <w:top w:val="single" w:sz="4" w:space="0" w:color="000000"/>
              <w:left w:val="single" w:sz="4" w:space="0" w:color="000000"/>
              <w:bottom w:val="single" w:sz="4" w:space="0" w:color="000000"/>
              <w:right w:val="single" w:sz="4" w:space="0" w:color="000000"/>
            </w:tcBorders>
          </w:tcPr>
          <w:p>
            <w:pPr/>
          </w:p>
        </w:tc>
      </w:tr>
      <w:tr>
        <w:trPr>
          <w:trHeight w:val="828"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支撑互联网</w:t>
            </w:r>
            <w:r>
              <w:rPr>
                <w:rFonts w:ascii="宋体" w:hAnsi="宋体" w:cs="宋体" w:eastAsia="宋体" w:hint="default"/>
                <w:sz w:val="21"/>
                <w:szCs w:val="21"/>
              </w:rPr>
              <w:t>+</w:t>
            </w:r>
            <w:r>
              <w:rPr>
                <w:rFonts w:ascii="宋体" w:hAnsi="宋体" w:cs="宋体" w:eastAsia="宋体" w:hint="default"/>
                <w:sz w:val="21"/>
                <w:szCs w:val="21"/>
              </w:rPr>
              <w:t>新模式的</w:t>
            </w:r>
          </w:p>
          <w:p>
            <w:pPr>
              <w:pStyle w:val="TableParagraph"/>
              <w:spacing w:line="272" w:lineRule="exact" w:before="27"/>
              <w:ind w:left="103" w:right="255"/>
              <w:jc w:val="left"/>
              <w:rPr>
                <w:rFonts w:ascii="宋体" w:hAnsi="宋体" w:cs="宋体" w:eastAsia="宋体" w:hint="default"/>
                <w:sz w:val="21"/>
                <w:szCs w:val="21"/>
              </w:rPr>
            </w:pPr>
            <w:r>
              <w:rPr>
                <w:rFonts w:ascii="宋体" w:hAnsi="宋体" w:cs="宋体" w:eastAsia="宋体" w:hint="default"/>
                <w:sz w:val="21"/>
                <w:szCs w:val="21"/>
              </w:rPr>
              <w:t>企业互联网开放平台</w:t>
            </w:r>
            <w:r>
              <w:rPr>
                <w:rFonts w:ascii="宋体" w:hAnsi="宋体" w:cs="宋体" w:eastAsia="宋体" w:hint="default"/>
                <w:w w:val="100"/>
                <w:sz w:val="21"/>
                <w:szCs w:val="21"/>
              </w:rPr>
              <w:t> </w:t>
            </w:r>
            <w:r>
              <w:rPr>
                <w:rFonts w:ascii="宋体" w:hAnsi="宋体" w:cs="宋体" w:eastAsia="宋体" w:hint="default"/>
                <w:sz w:val="21"/>
                <w:szCs w:val="21"/>
              </w:rPr>
              <w:t>建设与运营</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15,000,000</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其他收益</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15,000,000</w:t>
            </w:r>
          </w:p>
        </w:tc>
      </w:tr>
      <w:tr>
        <w:trPr>
          <w:trHeight w:val="826"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5"/>
              <w:jc w:val="left"/>
              <w:rPr>
                <w:rFonts w:ascii="宋体" w:hAnsi="宋体" w:cs="宋体" w:eastAsia="宋体" w:hint="default"/>
                <w:sz w:val="21"/>
                <w:szCs w:val="21"/>
              </w:rPr>
            </w:pPr>
            <w:r>
              <w:rPr>
                <w:rFonts w:ascii="宋体" w:hAnsi="宋体" w:cs="宋体" w:eastAsia="宋体" w:hint="default"/>
                <w:sz w:val="21"/>
                <w:szCs w:val="21"/>
              </w:rPr>
              <w:t>基于云平台的大型企</w:t>
            </w:r>
          </w:p>
          <w:p>
            <w:pPr>
              <w:pStyle w:val="TableParagraph"/>
              <w:spacing w:line="240" w:lineRule="auto"/>
              <w:ind w:left="103" w:right="-5"/>
              <w:jc w:val="left"/>
              <w:rPr>
                <w:rFonts w:ascii="宋体" w:hAnsi="宋体" w:cs="宋体" w:eastAsia="宋体" w:hint="default"/>
                <w:sz w:val="21"/>
                <w:szCs w:val="21"/>
              </w:rPr>
            </w:pPr>
            <w:r>
              <w:rPr>
                <w:rFonts w:ascii="宋体" w:hAnsi="宋体" w:cs="宋体" w:eastAsia="宋体" w:hint="default"/>
                <w:spacing w:val="-6"/>
                <w:sz w:val="21"/>
                <w:szCs w:val="21"/>
              </w:rPr>
              <w:t>业资源管理系统（</w:t>
            </w:r>
            <w:r>
              <w:rPr>
                <w:rFonts w:ascii="宋体" w:hAnsi="宋体" w:cs="宋体" w:eastAsia="宋体" w:hint="default"/>
                <w:spacing w:val="-6"/>
                <w:sz w:val="21"/>
                <w:szCs w:val="21"/>
              </w:rPr>
              <w:t>ERP</w:t>
            </w:r>
            <w:r>
              <w:rPr>
                <w:rFonts w:ascii="宋体" w:hAnsi="宋体" w:cs="宋体" w:eastAsia="宋体" w:hint="default"/>
                <w:spacing w:val="-6"/>
                <w:sz w:val="21"/>
                <w:szCs w:val="21"/>
              </w:rPr>
              <w:t>）</w:t>
            </w:r>
            <w:r>
              <w:rPr>
                <w:rFonts w:ascii="宋体" w:hAnsi="宋体" w:cs="宋体" w:eastAsia="宋体" w:hint="default"/>
                <w:spacing w:val="-88"/>
                <w:sz w:val="21"/>
                <w:szCs w:val="21"/>
              </w:rPr>
              <w:t> </w:t>
            </w:r>
            <w:r>
              <w:rPr>
                <w:rFonts w:ascii="宋体" w:hAnsi="宋体" w:cs="宋体" w:eastAsia="宋体" w:hint="default"/>
                <w:sz w:val="21"/>
                <w:szCs w:val="21"/>
              </w:rPr>
              <w:t>解决方案应用推广</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10,000,000</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其他收益</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10,000,000</w:t>
            </w:r>
          </w:p>
        </w:tc>
      </w:tr>
      <w:tr>
        <w:trPr>
          <w:trHeight w:val="828"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大型企业互联网开放</w:t>
            </w:r>
          </w:p>
          <w:p>
            <w:pPr>
              <w:pStyle w:val="TableParagraph"/>
              <w:spacing w:line="272" w:lineRule="exact" w:before="27"/>
              <w:ind w:left="103" w:right="99"/>
              <w:jc w:val="left"/>
              <w:rPr>
                <w:rFonts w:ascii="宋体" w:hAnsi="宋体" w:cs="宋体" w:eastAsia="宋体" w:hint="default"/>
                <w:sz w:val="21"/>
                <w:szCs w:val="21"/>
              </w:rPr>
            </w:pPr>
            <w:r>
              <w:rPr>
                <w:rFonts w:ascii="宋体" w:hAnsi="宋体" w:cs="宋体" w:eastAsia="宋体" w:hint="default"/>
                <w:spacing w:val="-6"/>
                <w:sz w:val="21"/>
                <w:szCs w:val="21"/>
              </w:rPr>
              <w:t>平台（</w:t>
            </w:r>
            <w:r>
              <w:rPr>
                <w:rFonts w:ascii="宋体" w:hAnsi="宋体" w:cs="宋体" w:eastAsia="宋体" w:hint="default"/>
                <w:spacing w:val="-6"/>
                <w:sz w:val="21"/>
                <w:szCs w:val="21"/>
              </w:rPr>
              <w:t>IUAP</w:t>
            </w:r>
            <w:r>
              <w:rPr>
                <w:rFonts w:ascii="宋体" w:hAnsi="宋体" w:cs="宋体" w:eastAsia="宋体" w:hint="default"/>
                <w:spacing w:val="-6"/>
                <w:sz w:val="21"/>
                <w:szCs w:val="21"/>
              </w:rPr>
              <w:t>）研发与推</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广</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5,000,000</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其他收益</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5,000,000</w:t>
            </w:r>
          </w:p>
        </w:tc>
      </w:tr>
      <w:tr>
        <w:trPr>
          <w:trHeight w:val="828"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基于移动互联网的制</w:t>
            </w:r>
          </w:p>
          <w:p>
            <w:pPr>
              <w:pStyle w:val="TableParagraph"/>
              <w:spacing w:line="272" w:lineRule="exact" w:before="27"/>
              <w:ind w:left="103" w:right="255"/>
              <w:jc w:val="left"/>
              <w:rPr>
                <w:rFonts w:ascii="宋体" w:hAnsi="宋体" w:cs="宋体" w:eastAsia="宋体" w:hint="default"/>
                <w:sz w:val="21"/>
                <w:szCs w:val="21"/>
              </w:rPr>
            </w:pPr>
            <w:r>
              <w:rPr>
                <w:rFonts w:ascii="宋体" w:hAnsi="宋体" w:cs="宋体" w:eastAsia="宋体" w:hint="default"/>
                <w:sz w:val="21"/>
                <w:szCs w:val="21"/>
              </w:rPr>
              <w:t>造企业经营管理与决</w:t>
            </w:r>
            <w:r>
              <w:rPr>
                <w:rFonts w:ascii="宋体" w:hAnsi="宋体" w:cs="宋体" w:eastAsia="宋体" w:hint="default"/>
                <w:w w:val="100"/>
                <w:sz w:val="21"/>
                <w:szCs w:val="21"/>
              </w:rPr>
              <w:t> </w:t>
            </w:r>
            <w:r>
              <w:rPr>
                <w:rFonts w:ascii="宋体" w:hAnsi="宋体" w:cs="宋体" w:eastAsia="宋体" w:hint="default"/>
                <w:sz w:val="21"/>
                <w:szCs w:val="21"/>
              </w:rPr>
              <w:t>策分析集成应用</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4,214,200</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其他收益</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4,214,200</w:t>
            </w:r>
          </w:p>
        </w:tc>
      </w:tr>
      <w:tr>
        <w:trPr>
          <w:trHeight w:val="554"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统一移动软件平台研</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发与产业化</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4,000,000</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其他收益</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4,000,000</w:t>
            </w:r>
          </w:p>
        </w:tc>
      </w:tr>
      <w:tr>
        <w:trPr>
          <w:trHeight w:val="826"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互联网工程机械服务</w:t>
            </w:r>
          </w:p>
          <w:p>
            <w:pPr>
              <w:pStyle w:val="TableParagraph"/>
              <w:spacing w:line="240" w:lineRule="auto"/>
              <w:ind w:left="103" w:right="255"/>
              <w:jc w:val="left"/>
              <w:rPr>
                <w:rFonts w:ascii="宋体" w:hAnsi="宋体" w:cs="宋体" w:eastAsia="宋体" w:hint="default"/>
                <w:sz w:val="21"/>
                <w:szCs w:val="21"/>
              </w:rPr>
            </w:pPr>
            <w:r>
              <w:rPr>
                <w:rFonts w:ascii="宋体" w:hAnsi="宋体" w:cs="宋体" w:eastAsia="宋体" w:hint="default"/>
                <w:sz w:val="21"/>
                <w:szCs w:val="21"/>
              </w:rPr>
              <w:t>平台项目补助验收款</w:t>
            </w:r>
            <w:r>
              <w:rPr>
                <w:rFonts w:ascii="宋体" w:hAnsi="宋体" w:cs="宋体" w:eastAsia="宋体" w:hint="default"/>
                <w:w w:val="100"/>
                <w:sz w:val="21"/>
                <w:szCs w:val="21"/>
              </w:rPr>
              <w:t> </w:t>
            </w:r>
            <w:r>
              <w:rPr>
                <w:rFonts w:ascii="宋体" w:hAnsi="宋体" w:cs="宋体" w:eastAsia="宋体" w:hint="default"/>
                <w:sz w:val="21"/>
                <w:szCs w:val="21"/>
              </w:rPr>
              <w:t>CW-15011</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3,980,000</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其他收益</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3,980,000</w:t>
            </w:r>
          </w:p>
        </w:tc>
      </w:tr>
      <w:tr>
        <w:trPr>
          <w:trHeight w:val="554"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科委高新技术成果转</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化补贴</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1,100,000</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其他收益</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1,100,000</w:t>
            </w:r>
          </w:p>
        </w:tc>
      </w:tr>
      <w:tr>
        <w:trPr>
          <w:trHeight w:val="28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3,219,589</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其他收益</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3,219,589</w:t>
            </w:r>
          </w:p>
        </w:tc>
      </w:tr>
    </w:tbl>
    <w:p>
      <w:pPr>
        <w:spacing w:line="240" w:lineRule="auto" w:before="2"/>
        <w:rPr>
          <w:rFonts w:ascii="宋体" w:hAnsi="宋体" w:cs="宋体" w:eastAsia="宋体" w:hint="default"/>
          <w:sz w:val="20"/>
          <w:szCs w:val="20"/>
        </w:rPr>
      </w:pPr>
    </w:p>
    <w:p>
      <w:pPr>
        <w:pStyle w:val="Heading3"/>
        <w:tabs>
          <w:tab w:pos="642" w:val="left" w:leader="none"/>
        </w:tabs>
        <w:spacing w:line="240" w:lineRule="auto" w:before="36"/>
        <w:ind w:right="99"/>
        <w:jc w:val="left"/>
        <w:rPr>
          <w:b w:val="0"/>
          <w:bCs w:val="0"/>
        </w:rPr>
      </w:pPr>
      <w:r>
        <w:rPr>
          <w:rFonts w:ascii="宋体" w:hAnsi="宋体" w:cs="宋体" w:eastAsia="宋体" w:hint="default"/>
          <w:w w:val="95"/>
        </w:rPr>
        <w:t>2.</w:t>
        <w:tab/>
      </w:r>
      <w:r>
        <w:rPr/>
        <w:t>政府补助退回情况</w:t>
      </w:r>
      <w:r>
        <w:rPr>
          <w:b w:val="0"/>
          <w:bCs w:val="0"/>
        </w:rPr>
      </w:r>
    </w:p>
    <w:p>
      <w:pPr>
        <w:spacing w:line="290" w:lineRule="auto" w:before="56"/>
        <w:ind w:left="218" w:right="7474"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
          <w:sz w:val="21"/>
          <w:szCs w:val="21"/>
        </w:rPr>
        <w:t> </w:t>
      </w:r>
      <w:r>
        <w:rPr>
          <w:rFonts w:ascii="宋体" w:hAnsi="宋体" w:cs="宋体" w:eastAsia="宋体" w:hint="default"/>
          <w:sz w:val="21"/>
          <w:szCs w:val="21"/>
        </w:rPr>
        <w:t>√不适用</w:t>
      </w:r>
      <w:r>
        <w:rPr>
          <w:rFonts w:ascii="宋体" w:hAnsi="宋体" w:cs="宋体" w:eastAsia="宋体" w:hint="default"/>
          <w:w w:val="100"/>
          <w:sz w:val="21"/>
          <w:szCs w:val="21"/>
        </w:rPr>
        <w:t> </w:t>
      </w:r>
      <w:r>
        <w:rPr>
          <w:rFonts w:ascii="宋体" w:hAnsi="宋体" w:cs="宋体" w:eastAsia="宋体" w:hint="default"/>
          <w:b/>
          <w:bCs/>
          <w:sz w:val="21"/>
          <w:szCs w:val="21"/>
        </w:rPr>
        <w:t>80</w:t>
      </w:r>
      <w:r>
        <w:rPr>
          <w:rFonts w:ascii="宋体" w:hAnsi="宋体" w:cs="宋体" w:eastAsia="宋体" w:hint="default"/>
          <w:b/>
          <w:bCs/>
          <w:sz w:val="21"/>
          <w:szCs w:val="21"/>
        </w:rPr>
        <w:t>、</w:t>
      </w:r>
      <w:r>
        <w:rPr>
          <w:rFonts w:ascii="宋体" w:hAnsi="宋体" w:cs="宋体" w:eastAsia="宋体" w:hint="default"/>
          <w:b/>
          <w:bCs/>
          <w:spacing w:val="-26"/>
          <w:sz w:val="21"/>
          <w:szCs w:val="21"/>
        </w:rPr>
        <w:t> </w:t>
      </w:r>
      <w:r>
        <w:rPr>
          <w:rFonts w:ascii="宋体" w:hAnsi="宋体" w:cs="宋体" w:eastAsia="宋体" w:hint="default"/>
          <w:b/>
          <w:bCs/>
          <w:sz w:val="21"/>
          <w:szCs w:val="21"/>
        </w:rPr>
        <w:t>其他</w:t>
      </w:r>
      <w:r>
        <w:rPr>
          <w:rFonts w:ascii="宋体" w:hAnsi="宋体" w:cs="宋体" w:eastAsia="宋体" w:hint="default"/>
          <w:sz w:val="21"/>
          <w:szCs w:val="21"/>
        </w:rPr>
      </w:r>
    </w:p>
    <w:p>
      <w:pPr>
        <w:pStyle w:val="BodyText"/>
        <w:spacing w:line="240" w:lineRule="auto" w:before="12"/>
        <w:ind w:right="99"/>
        <w:jc w:val="left"/>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right="99"/>
        <w:jc w:val="left"/>
        <w:rPr>
          <w:b w:val="0"/>
          <w:bCs w:val="0"/>
        </w:rPr>
      </w:pPr>
      <w:r>
        <w:rPr/>
        <w:t>八、合并范围的变更</w:t>
      </w:r>
      <w:r>
        <w:rPr>
          <w:b w:val="0"/>
          <w:bCs w:val="0"/>
        </w:rPr>
      </w:r>
    </w:p>
    <w:p>
      <w:pPr>
        <w:pStyle w:val="Heading3"/>
        <w:spacing w:line="240" w:lineRule="auto" w:before="59"/>
        <w:ind w:right="99"/>
        <w:jc w:val="left"/>
        <w:rPr>
          <w:b w:val="0"/>
          <w:bCs w:val="0"/>
        </w:rPr>
      </w:pPr>
      <w:r>
        <w:rPr>
          <w:rFonts w:ascii="宋体" w:hAnsi="宋体" w:cs="宋体" w:eastAsia="宋体" w:hint="default"/>
        </w:rPr>
        <w:t>1</w:t>
      </w:r>
      <w:r>
        <w:rPr/>
        <w:t>、</w:t>
      </w:r>
      <w:r>
        <w:rPr>
          <w:spacing w:val="-3"/>
        </w:rPr>
        <w:t> </w:t>
      </w:r>
      <w:r>
        <w:rPr/>
        <w:t>非同一控制下企业合并</w:t>
      </w:r>
      <w:r>
        <w:rPr>
          <w:b w:val="0"/>
          <w:bCs w:val="0"/>
        </w:rPr>
      </w:r>
    </w:p>
    <w:p>
      <w:pPr>
        <w:pStyle w:val="BodyText"/>
        <w:spacing w:line="240" w:lineRule="auto" w:before="56"/>
        <w:ind w:right="99"/>
        <w:jc w:val="left"/>
      </w:pPr>
      <w:r>
        <w:rPr/>
        <w:t>√适用</w:t>
      </w:r>
      <w:r>
        <w:rPr>
          <w:spacing w:val="-1"/>
        </w:rPr>
        <w:t> </w:t>
      </w:r>
      <w:r>
        <w:rPr/>
        <w:t>□不适用</w:t>
      </w:r>
    </w:p>
    <w:p>
      <w:pPr>
        <w:spacing w:after="0" w:line="240" w:lineRule="auto"/>
        <w:jc w:val="left"/>
        <w:sectPr>
          <w:pgSz w:w="11910" w:h="16840"/>
          <w:pgMar w:header="857" w:footer="1195" w:top="1320" w:bottom="1380" w:left="1580" w:right="1040"/>
        </w:sectPr>
      </w:pPr>
    </w:p>
    <w:p>
      <w:pPr>
        <w:spacing w:line="240" w:lineRule="auto" w:before="2"/>
        <w:rPr>
          <w:rFonts w:ascii="宋体" w:hAnsi="宋体" w:cs="宋体" w:eastAsia="宋体" w:hint="default"/>
          <w:sz w:val="9"/>
          <w:szCs w:val="9"/>
        </w:rPr>
      </w:pPr>
    </w:p>
    <w:p>
      <w:pPr>
        <w:spacing w:after="0" w:line="240" w:lineRule="auto"/>
        <w:rPr>
          <w:rFonts w:ascii="宋体" w:hAnsi="宋体" w:cs="宋体" w:eastAsia="宋体" w:hint="default"/>
          <w:sz w:val="9"/>
          <w:szCs w:val="9"/>
        </w:rPr>
        <w:sectPr>
          <w:pgSz w:w="11910" w:h="16840"/>
          <w:pgMar w:header="857" w:footer="1195" w:top="1320" w:bottom="1380" w:left="1580" w:right="1040"/>
        </w:sectPr>
      </w:pPr>
    </w:p>
    <w:p>
      <w:pPr>
        <w:pStyle w:val="Heading3"/>
        <w:tabs>
          <w:tab w:pos="875" w:val="left" w:leader="none"/>
        </w:tabs>
        <w:spacing w:line="240" w:lineRule="auto" w:before="36"/>
        <w:ind w:right="-4"/>
        <w:jc w:val="left"/>
        <w:rPr>
          <w:b w:val="0"/>
          <w:bCs w:val="0"/>
        </w:rPr>
      </w:pPr>
      <w:r>
        <w:rPr>
          <w:rFonts w:ascii="宋体" w:hAnsi="宋体" w:cs="宋体" w:eastAsia="宋体" w:hint="default"/>
          <w:w w:val="95"/>
        </w:rPr>
        <w:t>(1).</w:t>
        <w:tab/>
      </w:r>
      <w:r>
        <w:rPr>
          <w:spacing w:val="-1"/>
        </w:rPr>
        <w:t>本期发生的非同一控制下企业合并</w:t>
      </w:r>
      <w:r>
        <w:rPr>
          <w:b w:val="0"/>
          <w:bCs w:val="0"/>
          <w:spacing w:val="-1"/>
        </w:rPr>
      </w:r>
    </w:p>
    <w:p>
      <w:pPr>
        <w:pStyle w:val="BodyText"/>
        <w:spacing w:line="240" w:lineRule="auto" w:before="58"/>
        <w:ind w:right="-4"/>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4039" w:space="2693"/>
            <w:col w:w="2558"/>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833"/>
        <w:gridCol w:w="878"/>
        <w:gridCol w:w="1268"/>
        <w:gridCol w:w="862"/>
        <w:gridCol w:w="876"/>
        <w:gridCol w:w="838"/>
        <w:gridCol w:w="1018"/>
        <w:gridCol w:w="1241"/>
        <w:gridCol w:w="1236"/>
      </w:tblGrid>
      <w:tr>
        <w:trPr>
          <w:trHeight w:val="1099" w:hRule="exact"/>
        </w:trPr>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05"/>
              <w:ind w:left="201" w:right="197"/>
              <w:jc w:val="both"/>
              <w:rPr>
                <w:rFonts w:ascii="宋体" w:hAnsi="宋体" w:cs="宋体" w:eastAsia="宋体" w:hint="default"/>
                <w:sz w:val="21"/>
                <w:szCs w:val="21"/>
              </w:rPr>
            </w:pPr>
            <w:r>
              <w:rPr>
                <w:rFonts w:ascii="宋体" w:hAnsi="宋体" w:cs="宋体" w:eastAsia="宋体" w:hint="default"/>
                <w:sz w:val="21"/>
                <w:szCs w:val="21"/>
              </w:rPr>
              <w:t>被购</w:t>
            </w:r>
            <w:r>
              <w:rPr>
                <w:rFonts w:ascii="宋体" w:hAnsi="宋体" w:cs="宋体" w:eastAsia="宋体" w:hint="default"/>
                <w:spacing w:val="-103"/>
                <w:sz w:val="21"/>
                <w:szCs w:val="21"/>
              </w:rPr>
              <w:t> </w:t>
            </w:r>
            <w:r>
              <w:rPr>
                <w:rFonts w:ascii="宋体" w:hAnsi="宋体" w:cs="宋体" w:eastAsia="宋体" w:hint="default"/>
                <w:sz w:val="21"/>
                <w:szCs w:val="21"/>
              </w:rPr>
              <w:t>买方</w:t>
            </w:r>
            <w:r>
              <w:rPr>
                <w:rFonts w:ascii="宋体" w:hAnsi="宋体" w:cs="宋体" w:eastAsia="宋体" w:hint="default"/>
                <w:spacing w:val="-103"/>
                <w:sz w:val="21"/>
                <w:szCs w:val="21"/>
              </w:rPr>
              <w:t> </w:t>
            </w:r>
            <w:r>
              <w:rPr>
                <w:rFonts w:ascii="宋体" w:hAnsi="宋体" w:cs="宋体" w:eastAsia="宋体" w:hint="default"/>
                <w:sz w:val="21"/>
                <w:szCs w:val="21"/>
              </w:rPr>
              <w:t>名称</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17" w:right="115"/>
              <w:jc w:val="left"/>
              <w:rPr>
                <w:rFonts w:ascii="宋体" w:hAnsi="宋体" w:cs="宋体" w:eastAsia="宋体" w:hint="default"/>
                <w:sz w:val="21"/>
                <w:szCs w:val="21"/>
              </w:rPr>
            </w:pPr>
            <w:r>
              <w:rPr>
                <w:rFonts w:ascii="宋体" w:hAnsi="宋体" w:cs="宋体" w:eastAsia="宋体" w:hint="default"/>
                <w:sz w:val="21"/>
                <w:szCs w:val="21"/>
              </w:rPr>
              <w:t>股权取</w:t>
            </w:r>
            <w:r>
              <w:rPr>
                <w:rFonts w:ascii="宋体" w:hAnsi="宋体" w:cs="宋体" w:eastAsia="宋体" w:hint="default"/>
                <w:spacing w:val="-102"/>
                <w:sz w:val="21"/>
                <w:szCs w:val="21"/>
              </w:rPr>
              <w:t> </w:t>
            </w:r>
            <w:r>
              <w:rPr>
                <w:rFonts w:ascii="宋体" w:hAnsi="宋体" w:cs="宋体" w:eastAsia="宋体" w:hint="default"/>
                <w:sz w:val="21"/>
                <w:szCs w:val="21"/>
              </w:rPr>
              <w:t>得时点</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523" w:right="99" w:hanging="421"/>
              <w:jc w:val="left"/>
              <w:rPr>
                <w:rFonts w:ascii="宋体" w:hAnsi="宋体" w:cs="宋体" w:eastAsia="宋体" w:hint="default"/>
                <w:sz w:val="21"/>
                <w:szCs w:val="21"/>
              </w:rPr>
            </w:pPr>
            <w:r>
              <w:rPr>
                <w:rFonts w:ascii="宋体" w:hAnsi="宋体" w:cs="宋体" w:eastAsia="宋体" w:hint="default"/>
                <w:sz w:val="21"/>
                <w:szCs w:val="21"/>
              </w:rPr>
              <w:t>股权取得成</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本</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30"/>
              <w:ind w:left="110" w:right="107"/>
              <w:jc w:val="left"/>
              <w:rPr>
                <w:rFonts w:ascii="宋体" w:hAnsi="宋体" w:cs="宋体" w:eastAsia="宋体" w:hint="default"/>
                <w:sz w:val="21"/>
                <w:szCs w:val="21"/>
              </w:rPr>
            </w:pPr>
            <w:r>
              <w:rPr>
                <w:rFonts w:ascii="宋体" w:hAnsi="宋体" w:cs="宋体" w:eastAsia="宋体" w:hint="default"/>
                <w:sz w:val="21"/>
                <w:szCs w:val="21"/>
              </w:rPr>
              <w:t>股权取</w:t>
            </w:r>
            <w:r>
              <w:rPr>
                <w:rFonts w:ascii="宋体" w:hAnsi="宋体" w:cs="宋体" w:eastAsia="宋体" w:hint="default"/>
                <w:spacing w:val="-102"/>
                <w:sz w:val="21"/>
                <w:szCs w:val="21"/>
              </w:rPr>
              <w:t> </w:t>
            </w:r>
            <w:r>
              <w:rPr>
                <w:rFonts w:ascii="宋体" w:hAnsi="宋体" w:cs="宋体" w:eastAsia="宋体" w:hint="default"/>
                <w:sz w:val="21"/>
                <w:szCs w:val="21"/>
              </w:rPr>
              <w:t>得比例</w:t>
            </w:r>
          </w:p>
          <w:p>
            <w:pPr>
              <w:pStyle w:val="TableParagraph"/>
              <w:spacing w:line="249" w:lineRule="exact"/>
              <w:ind w:left="16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17" w:right="113"/>
              <w:jc w:val="left"/>
              <w:rPr>
                <w:rFonts w:ascii="宋体" w:hAnsi="宋体" w:cs="宋体" w:eastAsia="宋体" w:hint="default"/>
                <w:sz w:val="21"/>
                <w:szCs w:val="21"/>
              </w:rPr>
            </w:pPr>
            <w:r>
              <w:rPr>
                <w:rFonts w:ascii="宋体" w:hAnsi="宋体" w:cs="宋体" w:eastAsia="宋体" w:hint="default"/>
                <w:sz w:val="21"/>
                <w:szCs w:val="21"/>
              </w:rPr>
              <w:t>股权取</w:t>
            </w:r>
            <w:r>
              <w:rPr>
                <w:rFonts w:ascii="宋体" w:hAnsi="宋体" w:cs="宋体" w:eastAsia="宋体" w:hint="default"/>
                <w:spacing w:val="-102"/>
                <w:sz w:val="21"/>
                <w:szCs w:val="21"/>
              </w:rPr>
              <w:t> </w:t>
            </w:r>
            <w:r>
              <w:rPr>
                <w:rFonts w:ascii="宋体" w:hAnsi="宋体" w:cs="宋体" w:eastAsia="宋体" w:hint="default"/>
                <w:sz w:val="21"/>
                <w:szCs w:val="21"/>
              </w:rPr>
              <w:t>得方式</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307" w:right="199" w:hanging="104"/>
              <w:jc w:val="left"/>
              <w:rPr>
                <w:rFonts w:ascii="宋体" w:hAnsi="宋体" w:cs="宋体" w:eastAsia="宋体" w:hint="default"/>
                <w:sz w:val="21"/>
                <w:szCs w:val="21"/>
              </w:rPr>
            </w:pPr>
            <w:r>
              <w:rPr>
                <w:rFonts w:ascii="宋体" w:hAnsi="宋体" w:cs="宋体" w:eastAsia="宋体" w:hint="default"/>
                <w:sz w:val="21"/>
                <w:szCs w:val="21"/>
              </w:rPr>
              <w:t>购买</w:t>
            </w:r>
            <w:r>
              <w:rPr>
                <w:rFonts w:ascii="宋体" w:hAnsi="宋体" w:cs="宋体" w:eastAsia="宋体" w:hint="default"/>
                <w:spacing w:val="-103"/>
                <w:sz w:val="21"/>
                <w:szCs w:val="21"/>
              </w:rPr>
              <w:t> </w:t>
            </w:r>
            <w:r>
              <w:rPr>
                <w:rFonts w:ascii="宋体" w:hAnsi="宋体" w:cs="宋体" w:eastAsia="宋体" w:hint="default"/>
                <w:sz w:val="21"/>
                <w:szCs w:val="21"/>
              </w:rPr>
              <w:t>日</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05"/>
              <w:ind w:left="187" w:right="185"/>
              <w:jc w:val="both"/>
              <w:rPr>
                <w:rFonts w:ascii="宋体" w:hAnsi="宋体" w:cs="宋体" w:eastAsia="宋体" w:hint="default"/>
                <w:sz w:val="21"/>
                <w:szCs w:val="21"/>
              </w:rPr>
            </w:pPr>
            <w:r>
              <w:rPr>
                <w:rFonts w:ascii="宋体" w:hAnsi="宋体" w:cs="宋体" w:eastAsia="宋体" w:hint="default"/>
                <w:sz w:val="21"/>
                <w:szCs w:val="21"/>
              </w:rPr>
              <w:t>购买日</w:t>
            </w:r>
            <w:r>
              <w:rPr>
                <w:rFonts w:ascii="宋体" w:hAnsi="宋体" w:cs="宋体" w:eastAsia="宋体" w:hint="default"/>
                <w:spacing w:val="-102"/>
                <w:sz w:val="21"/>
                <w:szCs w:val="21"/>
              </w:rPr>
              <w:t> </w:t>
            </w:r>
            <w:r>
              <w:rPr>
                <w:rFonts w:ascii="宋体" w:hAnsi="宋体" w:cs="宋体" w:eastAsia="宋体" w:hint="default"/>
                <w:sz w:val="21"/>
                <w:szCs w:val="21"/>
              </w:rPr>
              <w:t>的确定</w:t>
            </w:r>
            <w:r>
              <w:rPr>
                <w:rFonts w:ascii="宋体" w:hAnsi="宋体" w:cs="宋体" w:eastAsia="宋体" w:hint="default"/>
                <w:spacing w:val="-102"/>
                <w:sz w:val="21"/>
                <w:szCs w:val="21"/>
              </w:rPr>
              <w:t> </w:t>
            </w:r>
            <w:r>
              <w:rPr>
                <w:rFonts w:ascii="宋体" w:hAnsi="宋体" w:cs="宋体" w:eastAsia="宋体" w:hint="default"/>
                <w:sz w:val="21"/>
                <w:szCs w:val="21"/>
              </w:rPr>
              <w:t>依据</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购买日至</w:t>
            </w:r>
          </w:p>
          <w:p>
            <w:pPr>
              <w:pStyle w:val="TableParagraph"/>
              <w:spacing w:line="237" w:lineRule="auto"/>
              <w:ind w:left="194" w:right="192"/>
              <w:jc w:val="center"/>
              <w:rPr>
                <w:rFonts w:ascii="宋体" w:hAnsi="宋体" w:cs="宋体" w:eastAsia="宋体" w:hint="default"/>
                <w:sz w:val="21"/>
                <w:szCs w:val="21"/>
              </w:rPr>
            </w:pPr>
            <w:r>
              <w:rPr>
                <w:rFonts w:ascii="宋体" w:hAnsi="宋体" w:cs="宋体" w:eastAsia="宋体" w:hint="default"/>
                <w:sz w:val="21"/>
                <w:szCs w:val="21"/>
              </w:rPr>
              <w:t>期末被购</w:t>
            </w:r>
            <w:r>
              <w:rPr>
                <w:rFonts w:ascii="宋体" w:hAnsi="宋体" w:cs="宋体" w:eastAsia="宋体" w:hint="default"/>
                <w:w w:val="100"/>
                <w:sz w:val="21"/>
                <w:szCs w:val="21"/>
              </w:rPr>
              <w:t> </w:t>
            </w:r>
            <w:r>
              <w:rPr>
                <w:rFonts w:ascii="宋体" w:hAnsi="宋体" w:cs="宋体" w:eastAsia="宋体" w:hint="default"/>
                <w:sz w:val="21"/>
                <w:szCs w:val="21"/>
              </w:rPr>
              <w:t>买方的收</w:t>
            </w:r>
            <w:r>
              <w:rPr>
                <w:rFonts w:ascii="宋体" w:hAnsi="宋体" w:cs="宋体" w:eastAsia="宋体" w:hint="default"/>
                <w:w w:val="100"/>
                <w:sz w:val="21"/>
                <w:szCs w:val="21"/>
              </w:rPr>
              <w:t> </w:t>
            </w:r>
            <w:r>
              <w:rPr>
                <w:rFonts w:ascii="宋体" w:hAnsi="宋体" w:cs="宋体" w:eastAsia="宋体" w:hint="default"/>
                <w:sz w:val="21"/>
                <w:szCs w:val="21"/>
              </w:rPr>
              <w:t>入</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购买日至</w:t>
            </w:r>
          </w:p>
          <w:p>
            <w:pPr>
              <w:pStyle w:val="TableParagraph"/>
              <w:spacing w:line="237" w:lineRule="auto"/>
              <w:ind w:left="191" w:right="189"/>
              <w:jc w:val="center"/>
              <w:rPr>
                <w:rFonts w:ascii="宋体" w:hAnsi="宋体" w:cs="宋体" w:eastAsia="宋体" w:hint="default"/>
                <w:sz w:val="21"/>
                <w:szCs w:val="21"/>
              </w:rPr>
            </w:pPr>
            <w:r>
              <w:rPr>
                <w:rFonts w:ascii="宋体" w:hAnsi="宋体" w:cs="宋体" w:eastAsia="宋体" w:hint="default"/>
                <w:sz w:val="21"/>
                <w:szCs w:val="21"/>
              </w:rPr>
              <w:t>期末被购</w:t>
            </w:r>
            <w:r>
              <w:rPr>
                <w:rFonts w:ascii="宋体" w:hAnsi="宋体" w:cs="宋体" w:eastAsia="宋体" w:hint="default"/>
                <w:w w:val="100"/>
                <w:sz w:val="21"/>
                <w:szCs w:val="21"/>
              </w:rPr>
              <w:t> </w:t>
            </w:r>
            <w:r>
              <w:rPr>
                <w:rFonts w:ascii="宋体" w:hAnsi="宋体" w:cs="宋体" w:eastAsia="宋体" w:hint="default"/>
                <w:sz w:val="21"/>
                <w:szCs w:val="21"/>
              </w:rPr>
              <w:t>买方的净</w:t>
            </w:r>
            <w:r>
              <w:rPr>
                <w:rFonts w:ascii="宋体" w:hAnsi="宋体" w:cs="宋体" w:eastAsia="宋体" w:hint="default"/>
                <w:w w:val="100"/>
                <w:sz w:val="21"/>
                <w:szCs w:val="21"/>
              </w:rPr>
              <w:t> </w:t>
            </w:r>
            <w:r>
              <w:rPr>
                <w:rFonts w:ascii="宋体" w:hAnsi="宋体" w:cs="宋体" w:eastAsia="宋体" w:hint="default"/>
                <w:sz w:val="21"/>
                <w:szCs w:val="21"/>
              </w:rPr>
              <w:t>利润</w:t>
            </w:r>
          </w:p>
        </w:tc>
      </w:tr>
      <w:tr>
        <w:trPr>
          <w:trHeight w:val="1916" w:hRule="exact"/>
        </w:trPr>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前海</w:t>
            </w:r>
          </w:p>
          <w:p>
            <w:pPr>
              <w:pStyle w:val="TableParagraph"/>
              <w:spacing w:line="237" w:lineRule="auto" w:before="2"/>
              <w:ind w:left="103" w:right="295"/>
              <w:jc w:val="both"/>
              <w:rPr>
                <w:rFonts w:ascii="宋体" w:hAnsi="宋体" w:cs="宋体" w:eastAsia="宋体" w:hint="default"/>
                <w:sz w:val="21"/>
                <w:szCs w:val="21"/>
              </w:rPr>
            </w:pPr>
            <w:r>
              <w:rPr>
                <w:rFonts w:ascii="宋体" w:hAnsi="宋体" w:cs="宋体" w:eastAsia="宋体" w:hint="default"/>
                <w:sz w:val="21"/>
                <w:szCs w:val="21"/>
              </w:rPr>
              <w:t>民太</w:t>
            </w:r>
            <w:r>
              <w:rPr>
                <w:rFonts w:ascii="宋体" w:hAnsi="宋体" w:cs="宋体" w:eastAsia="宋体" w:hint="default"/>
                <w:spacing w:val="-103"/>
                <w:sz w:val="21"/>
                <w:szCs w:val="21"/>
              </w:rPr>
              <w:t> </w:t>
            </w:r>
            <w:r>
              <w:rPr>
                <w:rFonts w:ascii="宋体" w:hAnsi="宋体" w:cs="宋体" w:eastAsia="宋体" w:hint="default"/>
                <w:sz w:val="21"/>
                <w:szCs w:val="21"/>
              </w:rPr>
              <w:t>安保</w:t>
            </w:r>
            <w:r>
              <w:rPr>
                <w:rFonts w:ascii="宋体" w:hAnsi="宋体" w:cs="宋体" w:eastAsia="宋体" w:hint="default"/>
                <w:spacing w:val="-103"/>
                <w:sz w:val="21"/>
                <w:szCs w:val="21"/>
              </w:rPr>
              <w:t> </w:t>
            </w:r>
            <w:r>
              <w:rPr>
                <w:rFonts w:ascii="宋体" w:hAnsi="宋体" w:cs="宋体" w:eastAsia="宋体" w:hint="default"/>
                <w:sz w:val="21"/>
                <w:szCs w:val="21"/>
              </w:rPr>
              <w:t>险经</w:t>
            </w:r>
            <w:r>
              <w:rPr>
                <w:rFonts w:ascii="宋体" w:hAnsi="宋体" w:cs="宋体" w:eastAsia="宋体" w:hint="default"/>
                <w:spacing w:val="-103"/>
                <w:sz w:val="21"/>
                <w:szCs w:val="21"/>
              </w:rPr>
              <w:t> </w:t>
            </w:r>
            <w:r>
              <w:rPr>
                <w:rFonts w:ascii="宋体" w:hAnsi="宋体" w:cs="宋体" w:eastAsia="宋体" w:hint="default"/>
                <w:sz w:val="21"/>
                <w:szCs w:val="21"/>
              </w:rPr>
              <w:t>纪有</w:t>
            </w:r>
            <w:r>
              <w:rPr>
                <w:rFonts w:ascii="宋体" w:hAnsi="宋体" w:cs="宋体" w:eastAsia="宋体" w:hint="default"/>
                <w:spacing w:val="-103"/>
                <w:sz w:val="21"/>
                <w:szCs w:val="21"/>
              </w:rPr>
              <w:t> </w:t>
            </w:r>
            <w:r>
              <w:rPr>
                <w:rFonts w:ascii="宋体" w:hAnsi="宋体" w:cs="宋体" w:eastAsia="宋体" w:hint="default"/>
                <w:sz w:val="21"/>
                <w:szCs w:val="21"/>
              </w:rPr>
              <w:t>限公</w:t>
            </w:r>
            <w:r>
              <w:rPr>
                <w:rFonts w:ascii="宋体" w:hAnsi="宋体" w:cs="宋体" w:eastAsia="宋体" w:hint="default"/>
                <w:spacing w:val="-103"/>
                <w:sz w:val="21"/>
                <w:szCs w:val="21"/>
              </w:rPr>
              <w:t> </w:t>
            </w:r>
            <w:r>
              <w:rPr>
                <w:rFonts w:ascii="宋体" w:hAnsi="宋体" w:cs="宋体" w:eastAsia="宋体" w:hint="default"/>
                <w:sz w:val="21"/>
                <w:szCs w:val="21"/>
              </w:rPr>
              <w:t>司</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71"/>
                <w:sz w:val="21"/>
                <w:szCs w:val="21"/>
              </w:rPr>
              <w:t> </w:t>
            </w:r>
            <w:r>
              <w:rPr>
                <w:rFonts w:ascii="宋体" w:hAnsi="宋体" w:cs="宋体" w:eastAsia="宋体" w:hint="default"/>
                <w:sz w:val="21"/>
                <w:szCs w:val="21"/>
              </w:rPr>
              <w:t>年</w:t>
            </w:r>
          </w:p>
          <w:p>
            <w:pPr>
              <w:pStyle w:val="TableParagraph"/>
              <w:spacing w:line="272" w:lineRule="exact"/>
              <w:ind w:left="103"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1"/>
                <w:sz w:val="21"/>
                <w:szCs w:val="21"/>
              </w:rPr>
              <w:t> </w:t>
            </w:r>
            <w:r>
              <w:rPr>
                <w:rFonts w:ascii="宋体" w:hAnsi="宋体" w:cs="宋体" w:eastAsia="宋体" w:hint="default"/>
                <w:sz w:val="21"/>
                <w:szCs w:val="21"/>
              </w:rPr>
              <w:t>月</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29</w:t>
            </w:r>
            <w:r>
              <w:rPr>
                <w:rFonts w:ascii="宋体" w:hAnsi="宋体" w:cs="宋体" w:eastAsia="宋体" w:hint="default"/>
                <w:spacing w:val="-51"/>
                <w:sz w:val="21"/>
                <w:szCs w:val="21"/>
              </w:rPr>
              <w:t> </w:t>
            </w:r>
            <w:r>
              <w:rPr>
                <w:rFonts w:ascii="宋体" w:hAnsi="宋体" w:cs="宋体" w:eastAsia="宋体" w:hint="default"/>
                <w:sz w:val="21"/>
                <w:szCs w:val="21"/>
              </w:rPr>
              <w:t>日</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59,760,000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37" w:right="0"/>
              <w:jc w:val="left"/>
              <w:rPr>
                <w:rFonts w:ascii="宋体" w:hAnsi="宋体" w:cs="宋体" w:eastAsia="宋体" w:hint="default"/>
                <w:sz w:val="21"/>
                <w:szCs w:val="21"/>
              </w:rPr>
            </w:pPr>
            <w:r>
              <w:rPr>
                <w:rFonts w:ascii="宋体"/>
                <w:sz w:val="21"/>
              </w:rPr>
              <w:t>60</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现金收</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购</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2017</w:t>
            </w:r>
          </w:p>
          <w:p>
            <w:pPr>
              <w:pStyle w:val="TableParagraph"/>
              <w:spacing w:line="272" w:lineRule="exact"/>
              <w:ind w:left="103" w:right="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p>
          <w:p>
            <w:pPr>
              <w:pStyle w:val="TableParagraph"/>
              <w:spacing w:line="240" w:lineRule="auto"/>
              <w:ind w:left="103" w:right="247"/>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29</w:t>
            </w:r>
            <w:r>
              <w:rPr>
                <w:rFonts w:ascii="宋体" w:hAnsi="宋体" w:cs="宋体" w:eastAsia="宋体" w:hint="default"/>
                <w:w w:val="100"/>
                <w:sz w:val="21"/>
                <w:szCs w:val="21"/>
              </w:rPr>
              <w:t> </w:t>
            </w:r>
            <w:r>
              <w:rPr>
                <w:rFonts w:ascii="宋体" w:hAnsi="宋体" w:cs="宋体" w:eastAsia="宋体" w:hint="default"/>
                <w:sz w:val="21"/>
                <w:szCs w:val="21"/>
              </w:rPr>
              <w:t>日</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取得控</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制权</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w:t>
            </w:r>
          </w:p>
        </w:tc>
      </w:tr>
      <w:tr>
        <w:trPr>
          <w:trHeight w:val="305" w:hRule="exact"/>
        </w:trPr>
        <w:tc>
          <w:tcPr>
            <w:tcW w:w="833" w:type="dxa"/>
            <w:tcBorders>
              <w:top w:val="single" w:sz="4" w:space="0" w:color="000000"/>
              <w:left w:val="single" w:sz="4" w:space="0" w:color="000000"/>
              <w:bottom w:val="single" w:sz="4" w:space="0" w:color="000000"/>
              <w:right w:val="single" w:sz="4" w:space="0" w:color="000000"/>
            </w:tcBorders>
          </w:tcPr>
          <w:p>
            <w:pPr/>
          </w:p>
        </w:tc>
        <w:tc>
          <w:tcPr>
            <w:tcW w:w="878" w:type="dxa"/>
            <w:tcBorders>
              <w:top w:val="single" w:sz="4" w:space="0" w:color="000000"/>
              <w:left w:val="single" w:sz="4" w:space="0" w:color="000000"/>
              <w:bottom w:val="single" w:sz="4" w:space="0" w:color="000000"/>
              <w:right w:val="single" w:sz="4" w:space="0" w:color="000000"/>
            </w:tcBorders>
          </w:tcPr>
          <w:p>
            <w:pPr/>
          </w:p>
        </w:tc>
        <w:tc>
          <w:tcPr>
            <w:tcW w:w="1268"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c>
          <w:tcPr>
            <w:tcW w:w="876" w:type="dxa"/>
            <w:tcBorders>
              <w:top w:val="single" w:sz="4" w:space="0" w:color="000000"/>
              <w:left w:val="single" w:sz="4" w:space="0" w:color="000000"/>
              <w:bottom w:val="single" w:sz="4" w:space="0" w:color="000000"/>
              <w:right w:val="single" w:sz="4" w:space="0" w:color="000000"/>
            </w:tcBorders>
          </w:tcPr>
          <w:p>
            <w:pPr/>
          </w:p>
        </w:tc>
        <w:tc>
          <w:tcPr>
            <w:tcW w:w="838"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123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2"/>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type w:val="continuous"/>
          <w:pgSz w:w="11910" w:h="16840"/>
          <w:pgMar w:top="1320" w:bottom="1380" w:left="1580" w:right="1040"/>
        </w:sectPr>
      </w:pPr>
    </w:p>
    <w:p>
      <w:pPr>
        <w:pStyle w:val="Heading3"/>
        <w:tabs>
          <w:tab w:pos="875" w:val="left" w:leader="none"/>
        </w:tabs>
        <w:spacing w:line="240" w:lineRule="auto" w:before="36"/>
        <w:ind w:right="-17"/>
        <w:jc w:val="left"/>
        <w:rPr>
          <w:b w:val="0"/>
          <w:bCs w:val="0"/>
        </w:rPr>
      </w:pPr>
      <w:r>
        <w:rPr>
          <w:rFonts w:ascii="宋体" w:hAnsi="宋体" w:cs="宋体" w:eastAsia="宋体" w:hint="default"/>
          <w:w w:val="95"/>
        </w:rPr>
        <w:t>(2).</w:t>
        <w:tab/>
      </w:r>
      <w:r>
        <w:rPr/>
        <w:t>合并成本及商誉</w:t>
      </w:r>
      <w:r>
        <w:rPr>
          <w:b w:val="0"/>
          <w:bCs w:val="0"/>
        </w:rPr>
      </w:r>
    </w:p>
    <w:p>
      <w:pPr>
        <w:pStyle w:val="BodyText"/>
        <w:spacing w:line="240" w:lineRule="auto" w:before="58"/>
        <w:ind w:right="-17"/>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2355" w:space="4378"/>
            <w:col w:w="2557"/>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4604"/>
        <w:gridCol w:w="4446"/>
      </w:tblGrid>
      <w:tr>
        <w:trPr>
          <w:trHeight w:val="281" w:hRule="exact"/>
        </w:trPr>
        <w:tc>
          <w:tcPr>
            <w:tcW w:w="4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合并成本</w:t>
            </w:r>
          </w:p>
        </w:tc>
        <w:tc>
          <w:tcPr>
            <w:tcW w:w="44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前海民太安保险经纪有限公司</w:t>
            </w:r>
          </w:p>
        </w:tc>
      </w:tr>
      <w:tr>
        <w:trPr>
          <w:trHeight w:val="283" w:hRule="exact"/>
        </w:trPr>
        <w:tc>
          <w:tcPr>
            <w:tcW w:w="460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现金</w:t>
            </w:r>
          </w:p>
        </w:tc>
        <w:tc>
          <w:tcPr>
            <w:tcW w:w="444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59,760,000</w:t>
            </w:r>
          </w:p>
        </w:tc>
      </w:tr>
      <w:tr>
        <w:trPr>
          <w:trHeight w:val="283" w:hRule="exact"/>
        </w:trPr>
        <w:tc>
          <w:tcPr>
            <w:tcW w:w="4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非现金资产的公允价值</w:t>
            </w:r>
          </w:p>
        </w:tc>
        <w:tc>
          <w:tcPr>
            <w:tcW w:w="4446"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4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发行或承担的债务的公允价值</w:t>
            </w:r>
          </w:p>
        </w:tc>
        <w:tc>
          <w:tcPr>
            <w:tcW w:w="4446"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发行的权益性证券的公允价值</w:t>
            </w:r>
          </w:p>
        </w:tc>
        <w:tc>
          <w:tcPr>
            <w:tcW w:w="4446"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或有对价的公允价值</w:t>
            </w:r>
          </w:p>
        </w:tc>
        <w:tc>
          <w:tcPr>
            <w:tcW w:w="4446"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4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购买日之前持有的股权于购买日的公允价值</w:t>
            </w:r>
          </w:p>
        </w:tc>
        <w:tc>
          <w:tcPr>
            <w:tcW w:w="4446"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其他</w:t>
            </w:r>
          </w:p>
        </w:tc>
        <w:tc>
          <w:tcPr>
            <w:tcW w:w="4446"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合并成本合计</w:t>
            </w:r>
          </w:p>
        </w:tc>
        <w:tc>
          <w:tcPr>
            <w:tcW w:w="44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59,760,000</w:t>
            </w:r>
          </w:p>
        </w:tc>
      </w:tr>
      <w:tr>
        <w:trPr>
          <w:trHeight w:val="281" w:hRule="exact"/>
        </w:trPr>
        <w:tc>
          <w:tcPr>
            <w:tcW w:w="4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减：取得的可辨认净资产公允价值份额</w:t>
            </w:r>
          </w:p>
        </w:tc>
        <w:tc>
          <w:tcPr>
            <w:tcW w:w="44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33,514,664</w:t>
            </w:r>
          </w:p>
        </w:tc>
      </w:tr>
      <w:tr>
        <w:trPr>
          <w:trHeight w:val="554" w:hRule="exact"/>
        </w:trPr>
        <w:tc>
          <w:tcPr>
            <w:tcW w:w="460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商誉</w:t>
            </w:r>
            <w:r>
              <w:rPr>
                <w:rFonts w:ascii="宋体" w:hAnsi="宋体" w:cs="宋体" w:eastAsia="宋体" w:hint="default"/>
                <w:sz w:val="21"/>
                <w:szCs w:val="21"/>
              </w:rPr>
              <w:t>/</w:t>
            </w:r>
            <w:r>
              <w:rPr>
                <w:rFonts w:ascii="宋体" w:hAnsi="宋体" w:cs="宋体" w:eastAsia="宋体" w:hint="default"/>
                <w:sz w:val="21"/>
                <w:szCs w:val="21"/>
              </w:rPr>
              <w:t>合并成本小于取得的可辨认净资产公允价</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值份额的金额</w:t>
            </w:r>
          </w:p>
        </w:tc>
        <w:tc>
          <w:tcPr>
            <w:tcW w:w="44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26,245,336</w:t>
            </w:r>
          </w:p>
        </w:tc>
      </w:tr>
    </w:tbl>
    <w:p>
      <w:pPr>
        <w:spacing w:line="240" w:lineRule="auto" w:before="9"/>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type w:val="continuous"/>
          <w:pgSz w:w="11910" w:h="16840"/>
          <w:pgMar w:top="1320" w:bottom="1380" w:left="1580" w:right="1040"/>
        </w:sectPr>
      </w:pPr>
    </w:p>
    <w:p>
      <w:pPr>
        <w:pStyle w:val="Heading3"/>
        <w:tabs>
          <w:tab w:pos="875" w:val="left" w:leader="none"/>
        </w:tabs>
        <w:spacing w:line="240" w:lineRule="auto" w:before="36"/>
        <w:ind w:right="-2"/>
        <w:jc w:val="left"/>
        <w:rPr>
          <w:b w:val="0"/>
          <w:bCs w:val="0"/>
        </w:rPr>
      </w:pPr>
      <w:r>
        <w:rPr>
          <w:rFonts w:ascii="宋体" w:hAnsi="宋体" w:cs="宋体" w:eastAsia="宋体" w:hint="default"/>
          <w:w w:val="95"/>
        </w:rPr>
        <w:t>(3).</w:t>
        <w:tab/>
      </w:r>
      <w:r>
        <w:rPr>
          <w:spacing w:val="-1"/>
        </w:rPr>
        <w:t>被购买方于购买日可辨认资产、负债</w:t>
      </w:r>
      <w:r>
        <w:rPr>
          <w:b w:val="0"/>
          <w:bCs w:val="0"/>
          <w:spacing w:val="-1"/>
        </w:rPr>
      </w:r>
    </w:p>
    <w:p>
      <w:pPr>
        <w:pStyle w:val="BodyText"/>
        <w:spacing w:line="240" w:lineRule="auto" w:before="56"/>
        <w:ind w:right="-2"/>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9"/>
          <w:szCs w:val="29"/>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4251" w:space="2482"/>
            <w:col w:w="2557"/>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596"/>
        <w:gridCol w:w="3680"/>
        <w:gridCol w:w="3773"/>
      </w:tblGrid>
      <w:tr>
        <w:trPr>
          <w:trHeight w:val="283" w:hRule="exact"/>
        </w:trPr>
        <w:tc>
          <w:tcPr>
            <w:tcW w:w="1596" w:type="dxa"/>
            <w:vMerge w:val="restart"/>
            <w:tcBorders>
              <w:top w:val="single" w:sz="4" w:space="0" w:color="000000"/>
              <w:left w:val="single" w:sz="4" w:space="0" w:color="000000"/>
              <w:right w:val="single" w:sz="4" w:space="0" w:color="000000"/>
            </w:tcBorders>
          </w:tcPr>
          <w:p>
            <w:pPr/>
          </w:p>
        </w:tc>
        <w:tc>
          <w:tcPr>
            <w:tcW w:w="74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54" w:right="0"/>
              <w:jc w:val="left"/>
              <w:rPr>
                <w:rFonts w:ascii="宋体" w:hAnsi="宋体" w:cs="宋体" w:eastAsia="宋体" w:hint="default"/>
                <w:sz w:val="21"/>
                <w:szCs w:val="21"/>
              </w:rPr>
            </w:pPr>
            <w:r>
              <w:rPr>
                <w:rFonts w:ascii="宋体" w:hAnsi="宋体" w:cs="宋体" w:eastAsia="宋体" w:hint="default"/>
                <w:sz w:val="21"/>
                <w:szCs w:val="21"/>
              </w:rPr>
              <w:t>前海民太安保险经纪有限公司</w:t>
            </w:r>
          </w:p>
        </w:tc>
      </w:tr>
      <w:tr>
        <w:trPr>
          <w:trHeight w:val="290" w:hRule="exact"/>
        </w:trPr>
        <w:tc>
          <w:tcPr>
            <w:tcW w:w="1596" w:type="dxa"/>
            <w:vMerge/>
            <w:tcBorders>
              <w:left w:val="single" w:sz="4" w:space="0" w:color="000000"/>
              <w:bottom w:val="single" w:sz="4" w:space="0" w:color="000000"/>
              <w:right w:val="single" w:sz="4" w:space="0" w:color="000000"/>
            </w:tcBorders>
          </w:tcPr>
          <w:p>
            <w:pPr/>
          </w:p>
        </w:tc>
        <w:tc>
          <w:tcPr>
            <w:tcW w:w="368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97" w:right="0"/>
              <w:jc w:val="left"/>
              <w:rPr>
                <w:rFonts w:ascii="宋体" w:hAnsi="宋体" w:cs="宋体" w:eastAsia="宋体" w:hint="default"/>
                <w:sz w:val="21"/>
                <w:szCs w:val="21"/>
              </w:rPr>
            </w:pPr>
            <w:r>
              <w:rPr>
                <w:rFonts w:ascii="宋体" w:hAnsi="宋体" w:cs="宋体" w:eastAsia="宋体" w:hint="default"/>
                <w:sz w:val="21"/>
                <w:szCs w:val="21"/>
              </w:rPr>
              <w:t>购买日公允价值</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144" w:right="0"/>
              <w:jc w:val="left"/>
              <w:rPr>
                <w:rFonts w:ascii="宋体" w:hAnsi="宋体" w:cs="宋体" w:eastAsia="宋体" w:hint="default"/>
                <w:sz w:val="21"/>
                <w:szCs w:val="21"/>
              </w:rPr>
            </w:pPr>
            <w:r>
              <w:rPr>
                <w:rFonts w:ascii="宋体" w:hAnsi="宋体" w:cs="宋体" w:eastAsia="宋体" w:hint="default"/>
                <w:sz w:val="21"/>
                <w:szCs w:val="21"/>
              </w:rPr>
              <w:t>购买日账面价值</w:t>
            </w:r>
          </w:p>
        </w:tc>
      </w:tr>
      <w:tr>
        <w:trPr>
          <w:trHeight w:val="28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资产：</w:t>
            </w:r>
          </w:p>
        </w:tc>
        <w:tc>
          <w:tcPr>
            <w:tcW w:w="36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65,334,328</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48,976,328</w:t>
            </w:r>
          </w:p>
        </w:tc>
      </w:tr>
      <w:tr>
        <w:trPr>
          <w:trHeight w:val="32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36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45,758,359</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45,758,359</w:t>
            </w:r>
          </w:p>
        </w:tc>
      </w:tr>
      <w:tr>
        <w:trPr>
          <w:trHeight w:val="32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应收款项</w:t>
            </w:r>
          </w:p>
        </w:tc>
        <w:tc>
          <w:tcPr>
            <w:tcW w:w="36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869,954</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869,954</w:t>
            </w:r>
          </w:p>
        </w:tc>
      </w:tr>
      <w:tr>
        <w:trPr>
          <w:trHeight w:val="32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3680" w:type="dxa"/>
            <w:tcBorders>
              <w:top w:val="single" w:sz="4" w:space="0" w:color="000000"/>
              <w:left w:val="single" w:sz="4" w:space="0" w:color="000000"/>
              <w:bottom w:val="single" w:sz="4" w:space="0" w:color="000000"/>
              <w:right w:val="single" w:sz="4" w:space="0" w:color="000000"/>
            </w:tcBorders>
          </w:tcPr>
          <w:p>
            <w:pPr/>
          </w:p>
        </w:tc>
        <w:tc>
          <w:tcPr>
            <w:tcW w:w="377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预付账款</w:t>
            </w:r>
          </w:p>
        </w:tc>
        <w:tc>
          <w:tcPr>
            <w:tcW w:w="36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48,000</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48,000</w:t>
            </w:r>
          </w:p>
        </w:tc>
      </w:tr>
      <w:tr>
        <w:trPr>
          <w:trHeight w:val="28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36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1,911,292</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1,911,292</w:t>
            </w:r>
          </w:p>
        </w:tc>
      </w:tr>
      <w:tr>
        <w:trPr>
          <w:trHeight w:val="28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36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166,904</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166,904</w:t>
            </w:r>
          </w:p>
        </w:tc>
      </w:tr>
      <w:tr>
        <w:trPr>
          <w:trHeight w:val="32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36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221,819</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221,819</w:t>
            </w:r>
          </w:p>
        </w:tc>
      </w:tr>
      <w:tr>
        <w:trPr>
          <w:trHeight w:val="32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103"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3680"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01"/>
              <w:jc w:val="right"/>
              <w:rPr>
                <w:rFonts w:ascii="宋体" w:hAnsi="宋体" w:cs="宋体" w:eastAsia="宋体" w:hint="default"/>
                <w:sz w:val="21"/>
                <w:szCs w:val="21"/>
              </w:rPr>
            </w:pPr>
            <w:r>
              <w:rPr>
                <w:rFonts w:ascii="宋体"/>
                <w:spacing w:val="-1"/>
                <w:sz w:val="21"/>
              </w:rPr>
              <w:t>16,358,000</w:t>
            </w:r>
          </w:p>
        </w:tc>
        <w:tc>
          <w:tcPr>
            <w:tcW w:w="377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596" w:type="dxa"/>
            <w:tcBorders>
              <w:top w:val="single" w:sz="4" w:space="0" w:color="000000"/>
              <w:left w:val="single" w:sz="4" w:space="0" w:color="000000"/>
              <w:bottom w:val="single" w:sz="4" w:space="0" w:color="000000"/>
              <w:right w:val="single" w:sz="4" w:space="0" w:color="000000"/>
            </w:tcBorders>
          </w:tcPr>
          <w:p>
            <w:pPr/>
          </w:p>
        </w:tc>
        <w:tc>
          <w:tcPr>
            <w:tcW w:w="3680" w:type="dxa"/>
            <w:tcBorders>
              <w:top w:val="single" w:sz="4" w:space="0" w:color="000000"/>
              <w:left w:val="single" w:sz="4" w:space="0" w:color="000000"/>
              <w:bottom w:val="single" w:sz="4" w:space="0" w:color="000000"/>
              <w:right w:val="single" w:sz="4" w:space="0" w:color="000000"/>
            </w:tcBorders>
          </w:tcPr>
          <w:p>
            <w:pPr/>
          </w:p>
        </w:tc>
        <w:tc>
          <w:tcPr>
            <w:tcW w:w="3773"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320" w:bottom="1380" w:left="1580" w:right="1040"/>
        </w:sectPr>
      </w:pPr>
    </w:p>
    <w:p>
      <w:pPr>
        <w:spacing w:line="240" w:lineRule="auto" w:before="6"/>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1596"/>
        <w:gridCol w:w="3680"/>
        <w:gridCol w:w="3773"/>
      </w:tblGrid>
      <w:tr>
        <w:trPr>
          <w:trHeight w:val="28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负债：</w:t>
            </w:r>
          </w:p>
        </w:tc>
        <w:tc>
          <w:tcPr>
            <w:tcW w:w="3680"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01"/>
              <w:jc w:val="right"/>
              <w:rPr>
                <w:rFonts w:ascii="宋体" w:hAnsi="宋体" w:cs="宋体" w:eastAsia="宋体" w:hint="default"/>
                <w:sz w:val="21"/>
                <w:szCs w:val="21"/>
              </w:rPr>
            </w:pPr>
            <w:r>
              <w:rPr>
                <w:rFonts w:ascii="宋体"/>
                <w:spacing w:val="-1"/>
                <w:sz w:val="21"/>
              </w:rPr>
              <w:t>9,476,557</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8"/>
              <w:jc w:val="right"/>
              <w:rPr>
                <w:rFonts w:ascii="宋体" w:hAnsi="宋体" w:cs="宋体" w:eastAsia="宋体" w:hint="default"/>
                <w:sz w:val="21"/>
                <w:szCs w:val="21"/>
              </w:rPr>
            </w:pPr>
            <w:r>
              <w:rPr>
                <w:rFonts w:ascii="宋体"/>
                <w:spacing w:val="-1"/>
                <w:sz w:val="21"/>
              </w:rPr>
              <w:t>5,387,057</w:t>
            </w:r>
          </w:p>
        </w:tc>
      </w:tr>
      <w:tr>
        <w:trPr>
          <w:trHeight w:val="32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借款</w:t>
            </w:r>
          </w:p>
        </w:tc>
        <w:tc>
          <w:tcPr>
            <w:tcW w:w="3680" w:type="dxa"/>
            <w:tcBorders>
              <w:top w:val="single" w:sz="4" w:space="0" w:color="000000"/>
              <w:left w:val="single" w:sz="4" w:space="0" w:color="000000"/>
              <w:bottom w:val="single" w:sz="4" w:space="0" w:color="000000"/>
              <w:right w:val="single" w:sz="4" w:space="0" w:color="000000"/>
            </w:tcBorders>
          </w:tcPr>
          <w:p>
            <w:pPr/>
          </w:p>
        </w:tc>
        <w:tc>
          <w:tcPr>
            <w:tcW w:w="377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应付款项</w:t>
            </w:r>
          </w:p>
        </w:tc>
        <w:tc>
          <w:tcPr>
            <w:tcW w:w="3680" w:type="dxa"/>
            <w:tcBorders>
              <w:top w:val="single" w:sz="4" w:space="0" w:color="000000"/>
              <w:left w:val="single" w:sz="4" w:space="0" w:color="000000"/>
              <w:bottom w:val="single" w:sz="4" w:space="0" w:color="000000"/>
              <w:right w:val="single" w:sz="4" w:space="0" w:color="000000"/>
            </w:tcBorders>
          </w:tcPr>
          <w:p>
            <w:pPr/>
          </w:p>
        </w:tc>
        <w:tc>
          <w:tcPr>
            <w:tcW w:w="377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预收账款</w:t>
            </w:r>
          </w:p>
        </w:tc>
        <w:tc>
          <w:tcPr>
            <w:tcW w:w="368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136,858</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136,858</w:t>
            </w:r>
          </w:p>
        </w:tc>
      </w:tr>
      <w:tr>
        <w:trPr>
          <w:trHeight w:val="28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36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1,028,215</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1,028,215</w:t>
            </w:r>
          </w:p>
        </w:tc>
      </w:tr>
      <w:tr>
        <w:trPr>
          <w:trHeight w:val="28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36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97,147</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97,147</w:t>
            </w:r>
          </w:p>
        </w:tc>
      </w:tr>
      <w:tr>
        <w:trPr>
          <w:trHeight w:val="28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36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4,124,837</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4,124,837</w:t>
            </w:r>
          </w:p>
        </w:tc>
      </w:tr>
      <w:tr>
        <w:trPr>
          <w:trHeight w:val="55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递延所得税负</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债</w:t>
            </w:r>
          </w:p>
        </w:tc>
        <w:tc>
          <w:tcPr>
            <w:tcW w:w="36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4,089,500</w:t>
            </w:r>
          </w:p>
        </w:tc>
        <w:tc>
          <w:tcPr>
            <w:tcW w:w="377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596" w:type="dxa"/>
            <w:tcBorders>
              <w:top w:val="single" w:sz="4" w:space="0" w:color="000000"/>
              <w:left w:val="single" w:sz="4" w:space="0" w:color="000000"/>
              <w:bottom w:val="single" w:sz="4" w:space="0" w:color="000000"/>
              <w:right w:val="single" w:sz="4" w:space="0" w:color="000000"/>
            </w:tcBorders>
          </w:tcPr>
          <w:p>
            <w:pPr/>
          </w:p>
        </w:tc>
        <w:tc>
          <w:tcPr>
            <w:tcW w:w="3680" w:type="dxa"/>
            <w:tcBorders>
              <w:top w:val="single" w:sz="4" w:space="0" w:color="000000"/>
              <w:left w:val="single" w:sz="4" w:space="0" w:color="000000"/>
              <w:bottom w:val="single" w:sz="4" w:space="0" w:color="000000"/>
              <w:right w:val="single" w:sz="4" w:space="0" w:color="000000"/>
            </w:tcBorders>
          </w:tcPr>
          <w:p>
            <w:pPr/>
          </w:p>
        </w:tc>
        <w:tc>
          <w:tcPr>
            <w:tcW w:w="3773"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净资产</w:t>
            </w:r>
          </w:p>
        </w:tc>
        <w:tc>
          <w:tcPr>
            <w:tcW w:w="36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55,857,771</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43,589,271</w:t>
            </w:r>
          </w:p>
        </w:tc>
      </w:tr>
      <w:tr>
        <w:trPr>
          <w:trHeight w:val="55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减</w:t>
            </w:r>
            <w:r>
              <w:rPr>
                <w:rFonts w:ascii="宋体" w:hAnsi="宋体" w:cs="宋体" w:eastAsia="宋体" w:hint="default"/>
                <w:spacing w:val="-97"/>
                <w:w w:val="100"/>
                <w:sz w:val="21"/>
                <w:szCs w:val="21"/>
              </w:rPr>
              <w:t>：</w:t>
            </w:r>
            <w:r>
              <w:rPr>
                <w:rFonts w:ascii="宋体" w:hAnsi="宋体" w:cs="宋体" w:eastAsia="宋体" w:hint="default"/>
                <w:w w:val="100"/>
                <w:sz w:val="21"/>
                <w:szCs w:val="21"/>
              </w:rPr>
              <w:t>少</w:t>
            </w:r>
            <w:r>
              <w:rPr>
                <w:rFonts w:ascii="宋体" w:hAnsi="宋体" w:cs="宋体" w:eastAsia="宋体" w:hint="default"/>
                <w:spacing w:val="-3"/>
                <w:w w:val="100"/>
                <w:sz w:val="21"/>
                <w:szCs w:val="21"/>
              </w:rPr>
              <w:t>数</w:t>
            </w:r>
            <w:r>
              <w:rPr>
                <w:rFonts w:ascii="宋体" w:hAnsi="宋体" w:cs="宋体" w:eastAsia="宋体" w:hint="default"/>
                <w:w w:val="100"/>
                <w:sz w:val="21"/>
                <w:szCs w:val="21"/>
              </w:rPr>
              <w:t>股</w:t>
            </w:r>
            <w:r>
              <w:rPr>
                <w:rFonts w:ascii="宋体" w:hAnsi="宋体" w:cs="宋体" w:eastAsia="宋体" w:hint="default"/>
                <w:spacing w:val="-3"/>
                <w:w w:val="100"/>
                <w:sz w:val="21"/>
                <w:szCs w:val="21"/>
              </w:rPr>
              <w:t>东</w:t>
            </w:r>
            <w:r>
              <w:rPr>
                <w:rFonts w:ascii="宋体" w:hAnsi="宋体" w:cs="宋体" w:eastAsia="宋体" w:hint="default"/>
                <w:w w:val="100"/>
                <w:sz w:val="21"/>
                <w:szCs w:val="21"/>
              </w:rPr>
              <w:t>权</w:t>
            </w:r>
          </w:p>
          <w:p>
            <w:pPr>
              <w:pStyle w:val="TableParagraph"/>
              <w:spacing w:line="273" w:lineRule="exact"/>
              <w:ind w:left="105" w:right="0"/>
              <w:jc w:val="left"/>
              <w:rPr>
                <w:rFonts w:ascii="宋体" w:hAnsi="宋体" w:cs="宋体" w:eastAsia="宋体" w:hint="default"/>
                <w:sz w:val="21"/>
                <w:szCs w:val="21"/>
              </w:rPr>
            </w:pPr>
            <w:r>
              <w:rPr>
                <w:rFonts w:ascii="宋体" w:hAnsi="宋体" w:cs="宋体" w:eastAsia="宋体" w:hint="default"/>
                <w:w w:val="100"/>
                <w:sz w:val="21"/>
                <w:szCs w:val="21"/>
              </w:rPr>
              <w:t>益</w:t>
            </w:r>
          </w:p>
        </w:tc>
        <w:tc>
          <w:tcPr>
            <w:tcW w:w="3680"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01"/>
              <w:jc w:val="right"/>
              <w:rPr>
                <w:rFonts w:ascii="宋体" w:hAnsi="宋体" w:cs="宋体" w:eastAsia="宋体" w:hint="default"/>
                <w:sz w:val="21"/>
                <w:szCs w:val="21"/>
              </w:rPr>
            </w:pPr>
            <w:r>
              <w:rPr>
                <w:rFonts w:ascii="宋体"/>
                <w:spacing w:val="-1"/>
                <w:sz w:val="21"/>
              </w:rPr>
              <w:t>22,343,107</w:t>
            </w:r>
          </w:p>
        </w:tc>
        <w:tc>
          <w:tcPr>
            <w:tcW w:w="377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取得的净资产</w:t>
            </w:r>
          </w:p>
        </w:tc>
        <w:tc>
          <w:tcPr>
            <w:tcW w:w="368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33,514,664</w:t>
            </w:r>
          </w:p>
        </w:tc>
        <w:tc>
          <w:tcPr>
            <w:tcW w:w="377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20"/>
          <w:szCs w:val="20"/>
        </w:rPr>
      </w:pPr>
    </w:p>
    <w:p>
      <w:pPr>
        <w:pStyle w:val="BodyText"/>
        <w:spacing w:line="240" w:lineRule="auto" w:before="36"/>
        <w:ind w:right="99"/>
        <w:jc w:val="left"/>
      </w:pPr>
      <w:r>
        <w:rPr/>
        <w:t>其他说明：</w:t>
      </w:r>
    </w:p>
    <w:p>
      <w:pPr>
        <w:pStyle w:val="BodyText"/>
        <w:spacing w:line="274" w:lineRule="exact" w:before="56"/>
        <w:ind w:right="99"/>
        <w:jc w:val="left"/>
      </w:pPr>
      <w:r>
        <w:rPr/>
        <w:t>注：该金额包括本公司在企业合并中支付的现金人民币</w:t>
      </w:r>
      <w:r>
        <w:rPr>
          <w:spacing w:val="-57"/>
        </w:rPr>
        <w:t> </w:t>
      </w:r>
      <w:r>
        <w:rPr>
          <w:rFonts w:ascii="宋体" w:hAnsi="宋体" w:cs="宋体" w:eastAsia="宋体" w:hint="default"/>
        </w:rPr>
        <w:t>47,808,000</w:t>
      </w:r>
      <w:r>
        <w:rPr>
          <w:rFonts w:ascii="宋体" w:hAnsi="宋体" w:cs="宋体" w:eastAsia="宋体" w:hint="default"/>
          <w:spacing w:val="-57"/>
        </w:rPr>
        <w:t> </w:t>
      </w:r>
      <w:r>
        <w:rPr/>
        <w:t>元，尚未支付的现金人民币</w:t>
      </w:r>
    </w:p>
    <w:p>
      <w:pPr>
        <w:pStyle w:val="BodyText"/>
        <w:spacing w:line="272" w:lineRule="exact"/>
        <w:ind w:right="99"/>
        <w:jc w:val="left"/>
      </w:pPr>
      <w:r>
        <w:rPr>
          <w:rFonts w:ascii="宋体" w:hAnsi="宋体" w:cs="宋体" w:eastAsia="宋体" w:hint="default"/>
        </w:rPr>
        <w:t>11,952,000</w:t>
      </w:r>
      <w:r>
        <w:rPr>
          <w:rFonts w:ascii="宋体" w:hAnsi="宋体" w:cs="宋体" w:eastAsia="宋体" w:hint="default"/>
          <w:spacing w:val="-51"/>
        </w:rPr>
        <w:t> </w:t>
      </w:r>
      <w:r>
        <w:rPr>
          <w:spacing w:val="-3"/>
        </w:rPr>
        <w:t>元。</w:t>
      </w:r>
      <w:r>
        <w:rPr/>
      </w:r>
    </w:p>
    <w:p>
      <w:pPr>
        <w:pStyle w:val="BodyText"/>
        <w:spacing w:line="273" w:lineRule="exact"/>
        <w:ind w:right="99"/>
        <w:jc w:val="left"/>
      </w:pPr>
      <w:r>
        <w:rPr/>
        <w:t>民太安保险经纪公司因购买日接近年末，期间的经营成果和现金流量无重大变化。</w:t>
      </w:r>
    </w:p>
    <w:p>
      <w:pPr>
        <w:spacing w:line="240" w:lineRule="auto" w:before="3"/>
        <w:rPr>
          <w:rFonts w:ascii="宋体" w:hAnsi="宋体" w:cs="宋体" w:eastAsia="宋体" w:hint="default"/>
          <w:sz w:val="25"/>
          <w:szCs w:val="25"/>
        </w:rPr>
      </w:pPr>
    </w:p>
    <w:p>
      <w:pPr>
        <w:tabs>
          <w:tab w:pos="875" w:val="left" w:leader="none"/>
        </w:tabs>
        <w:spacing w:line="290" w:lineRule="auto" w:before="0"/>
        <w:ind w:left="218" w:right="2340"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购买日之前持有的股权按照公允价值重新计量产生的利得或损失</w:t>
      </w:r>
      <w:r>
        <w:rPr>
          <w:rFonts w:ascii="宋体" w:hAnsi="宋体" w:cs="宋体" w:eastAsia="宋体" w:hint="default"/>
          <w:b/>
          <w:bCs/>
          <w:w w:val="100"/>
          <w:sz w:val="21"/>
          <w:szCs w:val="21"/>
        </w:rPr>
        <w:t> </w:t>
      </w:r>
      <w:r>
        <w:rPr>
          <w:rFonts w:ascii="宋体" w:hAnsi="宋体" w:cs="宋体" w:eastAsia="宋体" w:hint="default"/>
          <w:spacing w:val="-2"/>
          <w:sz w:val="21"/>
          <w:szCs w:val="21"/>
        </w:rPr>
        <w:t>是否存在通过多次交易分步实现企业合并且在报告期内取得控制权的交易</w:t>
      </w:r>
    </w:p>
    <w:p>
      <w:pPr>
        <w:pStyle w:val="BodyText"/>
        <w:spacing w:line="227" w:lineRule="exact"/>
        <w:ind w:right="99"/>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pStyle w:val="Heading3"/>
        <w:tabs>
          <w:tab w:pos="875" w:val="left" w:leader="none"/>
        </w:tabs>
        <w:spacing w:line="272" w:lineRule="exact"/>
        <w:ind w:right="231"/>
        <w:jc w:val="left"/>
        <w:rPr>
          <w:b w:val="0"/>
          <w:bCs w:val="0"/>
        </w:rPr>
      </w:pPr>
      <w:r>
        <w:rPr>
          <w:rFonts w:ascii="宋体" w:hAnsi="宋体" w:cs="宋体" w:eastAsia="宋体" w:hint="default"/>
          <w:w w:val="95"/>
        </w:rPr>
        <w:t>(5).</w:t>
        <w:tab/>
      </w:r>
      <w:r>
        <w:rPr>
          <w:spacing w:val="-2"/>
        </w:rPr>
        <w:t>购买日或合并当期期末无法合理确定合并对价或被购买方可辨认资产、负债公允价值的相</w:t>
      </w:r>
      <w:r>
        <w:rPr>
          <w:spacing w:val="-76"/>
        </w:rPr>
        <w:t> </w:t>
      </w:r>
      <w:r>
        <w:rPr>
          <w:spacing w:val="-76"/>
        </w:rPr>
      </w:r>
      <w:r>
        <w:rPr/>
        <w:t>关说明</w:t>
      </w:r>
      <w:r>
        <w:rPr>
          <w:b w:val="0"/>
          <w:bCs w:val="0"/>
        </w:rPr>
      </w:r>
    </w:p>
    <w:p>
      <w:pPr>
        <w:tabs>
          <w:tab w:pos="875" w:val="left" w:leader="none"/>
          <w:tab w:pos="1060" w:val="left" w:leader="none"/>
        </w:tabs>
        <w:spacing w:line="290" w:lineRule="auto" w:before="31"/>
        <w:ind w:left="218" w:right="7352" w:firstLine="0"/>
        <w:jc w:val="left"/>
        <w:rPr>
          <w:rFonts w:ascii="宋体" w:hAnsi="宋体" w:cs="宋体" w:eastAsia="宋体" w:hint="default"/>
          <w:sz w:val="21"/>
          <w:szCs w:val="21"/>
        </w:rPr>
      </w:pPr>
      <w:r>
        <w:rPr>
          <w:rFonts w:ascii="宋体" w:hAnsi="宋体" w:cs="宋体" w:eastAsia="宋体" w:hint="default"/>
          <w:spacing w:val="-1"/>
          <w:sz w:val="21"/>
          <w:szCs w:val="21"/>
        </w:rPr>
        <w:t>□适用</w:t>
        <w:tab/>
        <w:tab/>
      </w:r>
      <w:r>
        <w:rPr>
          <w:rFonts w:ascii="宋体" w:hAnsi="宋体" w:cs="宋体" w:eastAsia="宋体" w:hint="default"/>
          <w:spacing w:val="-2"/>
          <w:sz w:val="21"/>
          <w:szCs w:val="21"/>
        </w:rPr>
        <w:t>√不适用</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b/>
          <w:bCs/>
          <w:w w:val="95"/>
          <w:sz w:val="21"/>
          <w:szCs w:val="21"/>
        </w:rPr>
        <w:t>(6).</w:t>
        <w:tab/>
      </w:r>
      <w:r>
        <w:rPr>
          <w:rFonts w:ascii="宋体" w:hAnsi="宋体" w:cs="宋体" w:eastAsia="宋体" w:hint="default"/>
          <w:b/>
          <w:bCs/>
          <w:sz w:val="21"/>
          <w:szCs w:val="21"/>
        </w:rPr>
        <w:t>其他说明：</w:t>
      </w:r>
      <w:r>
        <w:rPr>
          <w:rFonts w:ascii="宋体" w:hAnsi="宋体" w:cs="宋体" w:eastAsia="宋体" w:hint="default"/>
          <w:sz w:val="21"/>
          <w:szCs w:val="21"/>
        </w:rPr>
      </w:r>
    </w:p>
    <w:p>
      <w:pPr>
        <w:pStyle w:val="BodyText"/>
        <w:tabs>
          <w:tab w:pos="1060" w:val="left" w:leader="none"/>
        </w:tabs>
        <w:spacing w:line="240" w:lineRule="auto" w:before="12"/>
        <w:ind w:right="99"/>
        <w:jc w:val="left"/>
      </w:pPr>
      <w:r>
        <w:rPr>
          <w:spacing w:val="-1"/>
        </w:rPr>
        <w:t>□适用</w:t>
        <w:tab/>
      </w:r>
      <w:r>
        <w:rPr>
          <w:spacing w:val="-2"/>
        </w:rPr>
        <w:t>√不适用</w:t>
      </w:r>
    </w:p>
    <w:p>
      <w:pPr>
        <w:pStyle w:val="Heading3"/>
        <w:spacing w:line="240" w:lineRule="auto" w:before="58"/>
        <w:ind w:right="99"/>
        <w:jc w:val="left"/>
        <w:rPr>
          <w:b w:val="0"/>
          <w:bCs w:val="0"/>
        </w:rPr>
      </w:pPr>
      <w:r>
        <w:rPr>
          <w:rFonts w:ascii="宋体" w:hAnsi="宋体" w:cs="宋体" w:eastAsia="宋体" w:hint="default"/>
        </w:rPr>
        <w:t>2</w:t>
      </w:r>
      <w:r>
        <w:rPr/>
        <w:t>、 一控制下企业合并</w:t>
      </w:r>
      <w:r>
        <w:rPr>
          <w:b w:val="0"/>
          <w:bCs w:val="0"/>
        </w:rPr>
      </w:r>
    </w:p>
    <w:p>
      <w:pPr>
        <w:pStyle w:val="BodyText"/>
        <w:spacing w:line="240" w:lineRule="auto" w:before="56"/>
        <w:ind w:right="99"/>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pStyle w:val="Heading3"/>
        <w:spacing w:line="240" w:lineRule="auto"/>
        <w:ind w:right="99"/>
        <w:jc w:val="left"/>
        <w:rPr>
          <w:b w:val="0"/>
          <w:bCs w:val="0"/>
        </w:rPr>
      </w:pPr>
      <w:r>
        <w:rPr>
          <w:rFonts w:ascii="宋体" w:hAnsi="宋体" w:cs="宋体" w:eastAsia="宋体" w:hint="default"/>
        </w:rPr>
        <w:t>3</w:t>
      </w:r>
      <w:r>
        <w:rPr/>
        <w:t>、</w:t>
      </w:r>
      <w:r>
        <w:rPr>
          <w:spacing w:val="-2"/>
        </w:rPr>
        <w:t> </w:t>
      </w:r>
      <w:r>
        <w:rPr/>
        <w:t>反向购买</w:t>
      </w:r>
      <w:r>
        <w:rPr>
          <w:b w:val="0"/>
          <w:bCs w:val="0"/>
        </w:rPr>
      </w:r>
    </w:p>
    <w:p>
      <w:pPr>
        <w:pStyle w:val="BodyText"/>
        <w:spacing w:line="240" w:lineRule="auto" w:before="56"/>
        <w:ind w:right="99"/>
        <w:jc w:val="left"/>
      </w:pPr>
      <w:r>
        <w:rPr/>
        <w:t>□适用</w:t>
      </w:r>
      <w:r>
        <w:rPr>
          <w:spacing w:val="-1"/>
        </w:rPr>
        <w:t> </w:t>
      </w:r>
      <w:r>
        <w:rPr/>
        <w:t>√不适用</w:t>
      </w:r>
    </w:p>
    <w:p>
      <w:pPr>
        <w:spacing w:after="0" w:line="240" w:lineRule="auto"/>
        <w:jc w:val="left"/>
        <w:sectPr>
          <w:pgSz w:w="11910" w:h="16840"/>
          <w:pgMar w:header="857" w:footer="1195" w:top="1320" w:bottom="1380" w:left="1580" w:right="1040"/>
        </w:sectPr>
      </w:pPr>
    </w:p>
    <w:p>
      <w:pPr>
        <w:spacing w:line="240" w:lineRule="auto" w:before="6"/>
        <w:rPr>
          <w:rFonts w:ascii="宋体" w:hAnsi="宋体" w:cs="宋体" w:eastAsia="宋体" w:hint="default"/>
          <w:sz w:val="16"/>
          <w:szCs w:val="16"/>
        </w:rPr>
      </w:pPr>
    </w:p>
    <w:p>
      <w:pPr>
        <w:spacing w:before="44"/>
        <w:ind w:left="137" w:right="0" w:firstLine="0"/>
        <w:jc w:val="left"/>
        <w:rPr>
          <w:rFonts w:ascii="宋体" w:hAnsi="宋体" w:cs="宋体" w:eastAsia="宋体" w:hint="default"/>
          <w:sz w:val="18"/>
          <w:szCs w:val="18"/>
        </w:rPr>
      </w:pPr>
      <w:r>
        <w:rPr/>
        <w:pict>
          <v:shape style="position:absolute;margin-left:478.049988pt;margin-top:-6.848262pt;width:26.15pt;height:18.36pt;mso-position-horizontal-relative:page;mso-position-vertical-relative:paragraph;z-index:1336" type="#_x0000_t75" stroked="false">
            <v:imagedata r:id="rId79" o:title=""/>
          </v:shape>
        </w:pict>
      </w:r>
      <w:r>
        <w:rPr>
          <w:rFonts w:ascii="宋体" w:hAnsi="宋体" w:cs="宋体" w:eastAsia="宋体" w:hint="default"/>
          <w:color w:val="404040"/>
          <w:sz w:val="18"/>
          <w:szCs w:val="18"/>
        </w:rPr>
        <w:t>用友网络科技股份有限公司</w:t>
      </w:r>
      <w:r>
        <w:rPr>
          <w:rFonts w:ascii="宋体" w:hAnsi="宋体" w:cs="宋体" w:eastAsia="宋体" w:hint="default"/>
          <w:color w:val="404040"/>
          <w:spacing w:val="-47"/>
          <w:sz w:val="18"/>
          <w:szCs w:val="18"/>
        </w:rPr>
        <w:t> </w:t>
      </w:r>
      <w:r>
        <w:rPr>
          <w:rFonts w:ascii="Calibri" w:hAnsi="Calibri" w:cs="Calibri" w:eastAsia="Calibri" w:hint="default"/>
          <w:color w:val="404040"/>
          <w:sz w:val="18"/>
          <w:szCs w:val="18"/>
        </w:rPr>
        <w:t>2017</w:t>
      </w:r>
      <w:r>
        <w:rPr>
          <w:rFonts w:ascii="Calibri" w:hAnsi="Calibri" w:cs="Calibri" w:eastAsia="Calibri" w:hint="default"/>
          <w:color w:val="404040"/>
          <w:spacing w:val="3"/>
          <w:sz w:val="18"/>
          <w:szCs w:val="18"/>
        </w:rPr>
        <w:t> </w:t>
      </w:r>
      <w:r>
        <w:rPr>
          <w:rFonts w:ascii="宋体" w:hAnsi="宋体" w:cs="宋体" w:eastAsia="宋体" w:hint="default"/>
          <w:color w:val="404040"/>
          <w:sz w:val="18"/>
          <w:szCs w:val="18"/>
        </w:rPr>
        <w:t>年度报告</w:t>
      </w:r>
      <w:r>
        <w:rPr>
          <w:rFonts w:ascii="宋体" w:hAnsi="宋体" w:cs="宋体" w:eastAsia="宋体" w:hint="default"/>
          <w:sz w:val="18"/>
          <w:szCs w:val="18"/>
        </w:rPr>
      </w:r>
    </w:p>
    <w:p>
      <w:pPr>
        <w:spacing w:line="20" w:lineRule="exact"/>
        <w:ind w:left="100" w:right="0" w:firstLine="0"/>
        <w:rPr>
          <w:rFonts w:ascii="宋体" w:hAnsi="宋体" w:cs="宋体" w:eastAsia="宋体" w:hint="default"/>
          <w:sz w:val="2"/>
          <w:szCs w:val="2"/>
        </w:rPr>
      </w:pPr>
      <w:r>
        <w:rPr>
          <w:rFonts w:ascii="宋体" w:hAnsi="宋体" w:cs="宋体" w:eastAsia="宋体" w:hint="default"/>
          <w:sz w:val="2"/>
          <w:szCs w:val="2"/>
        </w:rPr>
        <w:pict>
          <v:group style="width:445.3pt;height:.75pt;mso-position-horizontal-relative:char;mso-position-vertical-relative:line" coordorigin="0,0" coordsize="8906,15">
            <v:group style="position:absolute;left:7;top:7;width:8892;height:2" coordorigin="7,7" coordsize="8892,2">
              <v:shape style="position:absolute;left:7;top:7;width:8892;height:2" coordorigin="7,7" coordsize="8892,0" path="m7,7l8899,7e" filled="false" stroked="true" strokeweight=".72pt" strokecolor="#000000">
                <v:path arrowok="t"/>
              </v:shape>
            </v:group>
          </v:group>
        </w:pict>
      </w:r>
      <w:r>
        <w:rPr>
          <w:rFonts w:ascii="宋体" w:hAnsi="宋体" w:cs="宋体" w:eastAsia="宋体" w:hint="default"/>
          <w:sz w:val="2"/>
          <w:szCs w:val="2"/>
        </w:rPr>
      </w:r>
    </w:p>
    <w:p>
      <w:pPr>
        <w:spacing w:line="240" w:lineRule="auto" w:before="5"/>
        <w:rPr>
          <w:rFonts w:ascii="宋体" w:hAnsi="宋体" w:cs="宋体" w:eastAsia="宋体" w:hint="default"/>
          <w:sz w:val="29"/>
          <w:szCs w:val="29"/>
        </w:rPr>
      </w:pPr>
    </w:p>
    <w:p>
      <w:pPr>
        <w:spacing w:line="290" w:lineRule="auto" w:before="36"/>
        <w:ind w:left="137" w:right="3487" w:firstLine="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处置子公司</w:t>
      </w:r>
      <w:r>
        <w:rPr>
          <w:rFonts w:ascii="宋体" w:hAnsi="宋体" w:cs="宋体" w:eastAsia="宋体" w:hint="default"/>
          <w:b/>
          <w:bCs/>
          <w:w w:val="100"/>
          <w:sz w:val="21"/>
          <w:szCs w:val="21"/>
        </w:rPr>
        <w:t> </w:t>
      </w:r>
      <w:r>
        <w:rPr>
          <w:rFonts w:ascii="宋体" w:hAnsi="宋体" w:cs="宋体" w:eastAsia="宋体" w:hint="default"/>
          <w:spacing w:val="-2"/>
          <w:sz w:val="21"/>
          <w:szCs w:val="21"/>
        </w:rPr>
        <w:t>是否存在单次处置对子公司投资即丧失控制权的情形</w:t>
      </w:r>
    </w:p>
    <w:p>
      <w:pPr>
        <w:pStyle w:val="BodyText"/>
        <w:spacing w:line="226" w:lineRule="exact"/>
        <w:ind w:left="137" w:right="0"/>
        <w:jc w:val="left"/>
      </w:pPr>
      <w:r>
        <w:rPr/>
        <w:t>□适用 √不适用</w:t>
      </w:r>
    </w:p>
    <w:p>
      <w:pPr>
        <w:pStyle w:val="BodyText"/>
        <w:spacing w:line="272" w:lineRule="exact"/>
        <w:ind w:left="137" w:right="0"/>
        <w:jc w:val="left"/>
      </w:pPr>
      <w:r>
        <w:rPr/>
        <w:t>其他说明：</w:t>
      </w:r>
    </w:p>
    <w:p>
      <w:pPr>
        <w:pStyle w:val="BodyText"/>
        <w:spacing w:line="273" w:lineRule="exact"/>
        <w:ind w:left="137" w:right="0"/>
        <w:jc w:val="left"/>
      </w:pPr>
      <w:r>
        <w:rPr/>
        <w:t>□适用 √不适用</w:t>
      </w:r>
    </w:p>
    <w:p>
      <w:pPr>
        <w:spacing w:line="240" w:lineRule="auto" w:before="8"/>
        <w:rPr>
          <w:rFonts w:ascii="宋体" w:hAnsi="宋体" w:cs="宋体" w:eastAsia="宋体" w:hint="default"/>
          <w:sz w:val="20"/>
          <w:szCs w:val="20"/>
        </w:rPr>
      </w:pPr>
    </w:p>
    <w:p>
      <w:pPr>
        <w:pStyle w:val="BodyText"/>
        <w:spacing w:line="274" w:lineRule="exact"/>
        <w:ind w:left="137" w:right="0"/>
        <w:jc w:val="left"/>
      </w:pPr>
      <w:r>
        <w:rPr/>
        <w:t>是否存在通过多次交易分步处置对子公司投资且在本期丧失控制权的情形</w:t>
      </w:r>
    </w:p>
    <w:p>
      <w:pPr>
        <w:pStyle w:val="BodyText"/>
        <w:spacing w:line="274" w:lineRule="exact"/>
        <w:ind w:left="137" w:right="0"/>
        <w:jc w:val="left"/>
      </w:pPr>
      <w:r>
        <w:rPr/>
        <w:t>□适用 √不适用</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3"/>
          <w:szCs w:val="23"/>
        </w:rPr>
      </w:pPr>
    </w:p>
    <w:p>
      <w:pPr>
        <w:spacing w:line="290" w:lineRule="auto" w:before="0"/>
        <w:ind w:left="137" w:right="0" w:firstLine="0"/>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其他原因的合并范围变动</w:t>
      </w:r>
      <w:r>
        <w:rPr>
          <w:rFonts w:ascii="宋体" w:hAnsi="宋体" w:cs="宋体" w:eastAsia="宋体" w:hint="default"/>
          <w:b/>
          <w:bCs/>
          <w:w w:val="100"/>
          <w:sz w:val="21"/>
          <w:szCs w:val="21"/>
        </w:rPr>
        <w:t> </w:t>
      </w:r>
      <w:r>
        <w:rPr>
          <w:rFonts w:ascii="宋体" w:hAnsi="宋体" w:cs="宋体" w:eastAsia="宋体" w:hint="default"/>
          <w:spacing w:val="-2"/>
          <w:sz w:val="21"/>
          <w:szCs w:val="21"/>
        </w:rPr>
        <w:t>说明其他原因导致的合并范围变动（如，新设子公司、清算子公司等）及其相关情况：</w:t>
      </w:r>
    </w:p>
    <w:p>
      <w:pPr>
        <w:pStyle w:val="BodyText"/>
        <w:spacing w:line="228" w:lineRule="exact"/>
        <w:ind w:left="137" w:right="0"/>
        <w:jc w:val="left"/>
      </w:pPr>
      <w:r>
        <w:rPr/>
        <w:t>√适用 □不适用</w:t>
      </w:r>
    </w:p>
    <w:p>
      <w:pPr>
        <w:pStyle w:val="BodyText"/>
        <w:spacing w:line="475" w:lineRule="auto"/>
        <w:ind w:left="137" w:right="0"/>
        <w:jc w:val="left"/>
      </w:pPr>
      <w:r>
        <w:rPr/>
        <w:t>本集团通过新设方式成立子公司，详见附注九、</w:t>
      </w:r>
      <w:r>
        <w:rPr>
          <w:rFonts w:ascii="宋体" w:hAnsi="宋体" w:cs="宋体" w:eastAsia="宋体" w:hint="default"/>
        </w:rPr>
        <w:t>1</w:t>
      </w:r>
      <w:r>
        <w:rPr/>
        <w:t>。</w:t>
      </w:r>
      <w:r>
        <w:rPr>
          <w:w w:val="100"/>
        </w:rPr>
        <w:t> </w:t>
      </w:r>
      <w:r>
        <w:rPr>
          <w:spacing w:val="-2"/>
        </w:rPr>
        <w:t>本集团之子公司北京用友华表软件技术有限公司</w:t>
      </w:r>
      <w:r>
        <w:rPr>
          <w:rFonts w:ascii="Calibri" w:hAnsi="Calibri" w:cs="Calibri" w:eastAsia="Calibri" w:hint="default"/>
          <w:spacing w:val="-2"/>
        </w:rPr>
        <w:t>(</w:t>
      </w:r>
      <w:r>
        <w:rPr>
          <w:spacing w:val="-2"/>
        </w:rPr>
        <w:t>以下简称</w:t>
      </w:r>
      <w:r>
        <w:rPr>
          <w:rFonts w:ascii="Calibri" w:hAnsi="Calibri" w:cs="Calibri" w:eastAsia="Calibri" w:hint="default"/>
          <w:spacing w:val="-2"/>
        </w:rPr>
        <w:t>"</w:t>
      </w:r>
      <w:r>
        <w:rPr>
          <w:spacing w:val="-2"/>
        </w:rPr>
        <w:t>用友华表</w:t>
      </w:r>
      <w:r>
        <w:rPr>
          <w:rFonts w:ascii="Calibri" w:hAnsi="Calibri" w:cs="Calibri" w:eastAsia="Calibri" w:hint="default"/>
          <w:spacing w:val="-2"/>
        </w:rPr>
        <w:t>")</w:t>
      </w:r>
      <w:r>
        <w:rPr>
          <w:spacing w:val="-2"/>
        </w:rPr>
        <w:t>于本年注销。</w:t>
      </w:r>
    </w:p>
    <w:p>
      <w:pPr>
        <w:pStyle w:val="Heading3"/>
        <w:spacing w:line="240" w:lineRule="auto" w:before="37"/>
        <w:ind w:left="137" w:right="0"/>
        <w:jc w:val="left"/>
        <w:rPr>
          <w:b w:val="0"/>
          <w:bCs w:val="0"/>
        </w:rPr>
      </w:pPr>
      <w:r>
        <w:rPr>
          <w:rFonts w:ascii="宋体" w:hAnsi="宋体" w:cs="宋体" w:eastAsia="宋体" w:hint="default"/>
        </w:rPr>
        <w:t>6</w:t>
      </w:r>
      <w:r>
        <w:rPr/>
        <w:t>、</w:t>
      </w:r>
      <w:r>
        <w:rPr>
          <w:spacing w:val="-3"/>
        </w:rPr>
        <w:t> </w:t>
      </w:r>
      <w:r>
        <w:rPr/>
        <w:t>其他</w:t>
      </w:r>
      <w:r>
        <w:rPr>
          <w:b w:val="0"/>
          <w:bCs w:val="0"/>
        </w:rPr>
      </w:r>
    </w:p>
    <w:p>
      <w:pPr>
        <w:pStyle w:val="BodyText"/>
        <w:tabs>
          <w:tab w:pos="979" w:val="left" w:leader="none"/>
        </w:tabs>
        <w:spacing w:line="240" w:lineRule="auto" w:before="56"/>
        <w:ind w:left="137" w:right="0"/>
        <w:jc w:val="left"/>
      </w:pPr>
      <w:r>
        <w:rPr/>
        <w:t>□适用</w:t>
        <w:tab/>
        <w:t>√不适用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4"/>
          <w:szCs w:val="24"/>
        </w:rPr>
      </w:pPr>
    </w:p>
    <w:p>
      <w:pPr>
        <w:spacing w:before="63"/>
        <w:ind w:left="3058" w:right="3077" w:firstLine="0"/>
        <w:jc w:val="center"/>
        <w:rPr>
          <w:rFonts w:ascii="Calibri" w:hAnsi="Calibri" w:cs="Calibri" w:eastAsia="Calibri" w:hint="default"/>
          <w:sz w:val="18"/>
          <w:szCs w:val="18"/>
        </w:rPr>
      </w:pPr>
      <w:r>
        <w:rPr>
          <w:rFonts w:ascii="Calibri"/>
          <w:b/>
          <w:sz w:val="18"/>
        </w:rPr>
        <w:t>167 </w:t>
      </w:r>
      <w:r>
        <w:rPr>
          <w:rFonts w:ascii="Calibri"/>
          <w:sz w:val="18"/>
        </w:rPr>
        <w:t>/</w:t>
      </w:r>
      <w:r>
        <w:rPr>
          <w:rFonts w:ascii="Calibri"/>
          <w:spacing w:val="-5"/>
          <w:sz w:val="18"/>
        </w:rPr>
        <w:t> </w:t>
      </w:r>
      <w:r>
        <w:rPr>
          <w:rFonts w:ascii="Calibri"/>
          <w:b/>
          <w:sz w:val="18"/>
        </w:rPr>
        <w:t>202</w:t>
      </w:r>
      <w:r>
        <w:rPr>
          <w:rFonts w:ascii="Calibri"/>
          <w:sz w:val="18"/>
        </w:rPr>
      </w:r>
    </w:p>
    <w:p>
      <w:pPr>
        <w:spacing w:after="0"/>
        <w:jc w:val="center"/>
        <w:rPr>
          <w:rFonts w:ascii="Calibri" w:hAnsi="Calibri" w:cs="Calibri" w:eastAsia="Calibri" w:hint="default"/>
          <w:sz w:val="18"/>
          <w:szCs w:val="18"/>
        </w:rPr>
        <w:sectPr>
          <w:headerReference w:type="default" r:id="rId77"/>
          <w:footerReference w:type="default" r:id="rId78"/>
          <w:pgSz w:w="11910" w:h="16840"/>
          <w:pgMar w:header="0" w:footer="0" w:top="760" w:bottom="280" w:left="1140" w:right="1640"/>
        </w:sectPr>
      </w:pPr>
    </w:p>
    <w:p>
      <w:pPr>
        <w:spacing w:line="240" w:lineRule="auto" w:before="0"/>
        <w:rPr>
          <w:rFonts w:ascii="Calibri" w:hAnsi="Calibri" w:cs="Calibri" w:eastAsia="Calibri" w:hint="default"/>
          <w:b/>
          <w:bCs/>
          <w:sz w:val="20"/>
          <w:szCs w:val="20"/>
        </w:rPr>
      </w:pPr>
    </w:p>
    <w:p>
      <w:pPr>
        <w:spacing w:line="240" w:lineRule="auto" w:before="6"/>
        <w:rPr>
          <w:rFonts w:ascii="Calibri" w:hAnsi="Calibri" w:cs="Calibri" w:eastAsia="Calibri" w:hint="default"/>
          <w:b/>
          <w:bCs/>
          <w:sz w:val="20"/>
          <w:szCs w:val="20"/>
        </w:rPr>
      </w:pPr>
    </w:p>
    <w:p>
      <w:pPr>
        <w:pStyle w:val="Heading3"/>
        <w:tabs>
          <w:tab w:pos="1161" w:val="left" w:leader="none"/>
        </w:tabs>
        <w:spacing w:line="290" w:lineRule="auto" w:before="36"/>
        <w:ind w:left="518" w:right="7020"/>
        <w:jc w:val="left"/>
        <w:rPr>
          <w:b w:val="0"/>
          <w:bCs w:val="0"/>
        </w:rPr>
      </w:pPr>
      <w:r>
        <w:rPr/>
        <w:t>九、在其他主体中的权益</w:t>
      </w:r>
      <w:r>
        <w:rPr>
          <w:spacing w:val="-100"/>
        </w:rPr>
        <w:t> </w:t>
      </w:r>
      <w:r>
        <w:rPr>
          <w:spacing w:val="-100"/>
        </w:rPr>
      </w:r>
      <w:r>
        <w:rPr>
          <w:rFonts w:ascii="宋体" w:hAnsi="宋体" w:cs="宋体" w:eastAsia="宋体" w:hint="default"/>
        </w:rPr>
        <w:t>1</w:t>
      </w:r>
      <w:r>
        <w:rPr/>
        <w:t>、</w:t>
      </w:r>
      <w:r>
        <w:rPr>
          <w:spacing w:val="-2"/>
        </w:rPr>
        <w:t> </w:t>
      </w:r>
      <w:r>
        <w:rPr/>
        <w:t>在子公司中的权益</w:t>
      </w:r>
      <w:r>
        <w:rPr>
          <w:spacing w:val="-104"/>
        </w:rPr>
        <w:t> </w:t>
      </w:r>
      <w:r>
        <w:rPr>
          <w:spacing w:val="-104"/>
        </w:rPr>
      </w:r>
      <w:r>
        <w:rPr>
          <w:rFonts w:ascii="宋体" w:hAnsi="宋体" w:cs="宋体" w:eastAsia="宋体" w:hint="default"/>
          <w:w w:val="95"/>
        </w:rPr>
        <w:t>(1).</w:t>
        <w:tab/>
      </w:r>
      <w:r>
        <w:rPr/>
        <w:t>企业集团的构成</w:t>
      </w:r>
      <w:r>
        <w:rPr>
          <w:b w:val="0"/>
          <w:bCs w:val="0"/>
        </w:rPr>
      </w:r>
    </w:p>
    <w:p>
      <w:pPr>
        <w:pStyle w:val="BodyText"/>
        <w:spacing w:line="240" w:lineRule="auto" w:before="12"/>
        <w:ind w:left="518" w:right="7020"/>
        <w:jc w:val="left"/>
      </w:pPr>
      <w:r>
        <w:rPr/>
        <w:t>√适用</w:t>
      </w:r>
      <w:r>
        <w:rPr>
          <w:spacing w:val="-1"/>
        </w:rPr>
        <w:t> </w:t>
      </w:r>
      <w:r>
        <w:rPr/>
        <w:t>□不适用</w:t>
      </w:r>
    </w:p>
    <w:p>
      <w:pPr>
        <w:spacing w:line="240" w:lineRule="auto" w:before="7"/>
        <w:rPr>
          <w:rFonts w:ascii="宋体" w:hAnsi="宋体" w:cs="宋体" w:eastAsia="宋体" w:hint="default"/>
          <w:sz w:val="2"/>
          <w:szCs w:val="2"/>
        </w:rPr>
      </w:pPr>
    </w:p>
    <w:tbl>
      <w:tblPr>
        <w:tblW w:w="0" w:type="auto"/>
        <w:jc w:val="left"/>
        <w:tblInd w:w="112" w:type="dxa"/>
        <w:tblLayout w:type="fixed"/>
        <w:tblCellMar>
          <w:top w:w="0" w:type="dxa"/>
          <w:left w:w="0" w:type="dxa"/>
          <w:bottom w:w="0" w:type="dxa"/>
          <w:right w:w="0" w:type="dxa"/>
        </w:tblCellMar>
        <w:tblLook w:val="01E0"/>
      </w:tblPr>
      <w:tblGrid>
        <w:gridCol w:w="4563"/>
        <w:gridCol w:w="653"/>
        <w:gridCol w:w="598"/>
        <w:gridCol w:w="1543"/>
        <w:gridCol w:w="685"/>
        <w:gridCol w:w="684"/>
        <w:gridCol w:w="910"/>
      </w:tblGrid>
      <w:tr>
        <w:trPr>
          <w:trHeight w:val="475" w:hRule="exact"/>
        </w:trPr>
        <w:tc>
          <w:tcPr>
            <w:tcW w:w="4563" w:type="dxa"/>
            <w:vMerge w:val="restart"/>
            <w:tcBorders>
              <w:top w:val="single" w:sz="4" w:space="0" w:color="000000"/>
              <w:left w:val="single" w:sz="4" w:space="0" w:color="000000"/>
              <w:right w:val="single" w:sz="4" w:space="0" w:color="000000"/>
            </w:tcBorders>
          </w:tcPr>
          <w:p>
            <w:pPr>
              <w:pStyle w:val="TableParagraph"/>
              <w:spacing w:line="232" w:lineRule="exact" w:before="138"/>
              <w:ind w:left="2006" w:right="2006"/>
              <w:jc w:val="center"/>
              <w:rPr>
                <w:rFonts w:ascii="宋体" w:hAnsi="宋体" w:cs="宋体" w:eastAsia="宋体" w:hint="default"/>
                <w:sz w:val="18"/>
                <w:szCs w:val="18"/>
              </w:rPr>
            </w:pPr>
            <w:r>
              <w:rPr>
                <w:rFonts w:ascii="宋体" w:hAnsi="宋体" w:cs="宋体" w:eastAsia="宋体" w:hint="default"/>
                <w:sz w:val="18"/>
                <w:szCs w:val="18"/>
              </w:rPr>
              <w:t>子公司 名称</w:t>
            </w:r>
          </w:p>
        </w:tc>
        <w:tc>
          <w:tcPr>
            <w:tcW w:w="653" w:type="dxa"/>
            <w:vMerge w:val="restart"/>
            <w:tcBorders>
              <w:top w:val="single" w:sz="4" w:space="0" w:color="000000"/>
              <w:left w:val="single" w:sz="4" w:space="0" w:color="000000"/>
              <w:right w:val="single" w:sz="4" w:space="0" w:color="000000"/>
            </w:tcBorders>
          </w:tcPr>
          <w:p>
            <w:pPr>
              <w:pStyle w:val="TableParagraph"/>
              <w:spacing w:line="237" w:lineRule="auto"/>
              <w:ind w:left="141" w:right="141"/>
              <w:jc w:val="both"/>
              <w:rPr>
                <w:rFonts w:ascii="宋体" w:hAnsi="宋体" w:cs="宋体" w:eastAsia="宋体" w:hint="default"/>
                <w:sz w:val="18"/>
                <w:szCs w:val="18"/>
              </w:rPr>
            </w:pPr>
            <w:r>
              <w:rPr>
                <w:rFonts w:ascii="宋体" w:hAnsi="宋体" w:cs="宋体" w:eastAsia="宋体" w:hint="default"/>
                <w:sz w:val="18"/>
                <w:szCs w:val="18"/>
              </w:rPr>
              <w:t>主要 经营 地</w:t>
            </w:r>
          </w:p>
        </w:tc>
        <w:tc>
          <w:tcPr>
            <w:tcW w:w="598" w:type="dxa"/>
            <w:vMerge w:val="restart"/>
            <w:tcBorders>
              <w:top w:val="single" w:sz="4" w:space="0" w:color="000000"/>
              <w:left w:val="single" w:sz="4" w:space="0" w:color="000000"/>
              <w:right w:val="single" w:sz="4" w:space="0" w:color="000000"/>
            </w:tcBorders>
          </w:tcPr>
          <w:p>
            <w:pPr>
              <w:pStyle w:val="TableParagraph"/>
              <w:spacing w:line="232" w:lineRule="exact" w:before="138"/>
              <w:ind w:left="203" w:right="113" w:hanging="92"/>
              <w:jc w:val="left"/>
              <w:rPr>
                <w:rFonts w:ascii="宋体" w:hAnsi="宋体" w:cs="宋体" w:eastAsia="宋体" w:hint="default"/>
                <w:sz w:val="18"/>
                <w:szCs w:val="18"/>
              </w:rPr>
            </w:pPr>
            <w:r>
              <w:rPr>
                <w:rFonts w:ascii="宋体" w:hAnsi="宋体" w:cs="宋体" w:eastAsia="宋体" w:hint="default"/>
                <w:sz w:val="18"/>
                <w:szCs w:val="18"/>
              </w:rPr>
              <w:t>注册 地</w:t>
            </w:r>
          </w:p>
        </w:tc>
        <w:tc>
          <w:tcPr>
            <w:tcW w:w="1543"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403"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3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80"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宋体" w:hAnsi="宋体" w:cs="宋体" w:eastAsia="宋体" w:hint="default"/>
                <w:sz w:val="18"/>
                <w:szCs w:val="18"/>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68" w:right="0"/>
              <w:jc w:val="left"/>
              <w:rPr>
                <w:rFonts w:ascii="宋体" w:hAnsi="宋体" w:cs="宋体" w:eastAsia="宋体" w:hint="default"/>
                <w:sz w:val="18"/>
                <w:szCs w:val="18"/>
              </w:rPr>
            </w:pPr>
            <w:r>
              <w:rPr>
                <w:rFonts w:ascii="宋体" w:hAnsi="宋体" w:cs="宋体" w:eastAsia="宋体" w:hint="default"/>
                <w:sz w:val="18"/>
                <w:szCs w:val="18"/>
              </w:rPr>
              <w:t>取得</w:t>
            </w:r>
          </w:p>
          <w:p>
            <w:pPr>
              <w:pStyle w:val="TableParagraph"/>
              <w:spacing w:line="234" w:lineRule="exact"/>
              <w:ind w:left="268" w:right="0"/>
              <w:jc w:val="left"/>
              <w:rPr>
                <w:rFonts w:ascii="宋体" w:hAnsi="宋体" w:cs="宋体" w:eastAsia="宋体" w:hint="default"/>
                <w:sz w:val="18"/>
                <w:szCs w:val="18"/>
              </w:rPr>
            </w:pPr>
            <w:r>
              <w:rPr>
                <w:rFonts w:ascii="宋体" w:hAnsi="宋体" w:cs="宋体" w:eastAsia="宋体" w:hint="default"/>
                <w:sz w:val="18"/>
                <w:szCs w:val="18"/>
              </w:rPr>
              <w:t>方式</w:t>
            </w:r>
          </w:p>
        </w:tc>
      </w:tr>
      <w:tr>
        <w:trPr>
          <w:trHeight w:val="288" w:hRule="exact"/>
        </w:trPr>
        <w:tc>
          <w:tcPr>
            <w:tcW w:w="4563" w:type="dxa"/>
            <w:vMerge/>
            <w:tcBorders>
              <w:left w:val="single" w:sz="4" w:space="0" w:color="000000"/>
              <w:bottom w:val="single" w:sz="4" w:space="0" w:color="000000"/>
              <w:right w:val="single" w:sz="4" w:space="0" w:color="000000"/>
            </w:tcBorders>
          </w:tcPr>
          <w:p>
            <w:pPr/>
          </w:p>
        </w:tc>
        <w:tc>
          <w:tcPr>
            <w:tcW w:w="653" w:type="dxa"/>
            <w:vMerge/>
            <w:tcBorders>
              <w:left w:val="single" w:sz="4" w:space="0" w:color="000000"/>
              <w:bottom w:val="single" w:sz="4" w:space="0" w:color="000000"/>
              <w:right w:val="single" w:sz="4" w:space="0" w:color="000000"/>
            </w:tcBorders>
          </w:tcPr>
          <w:p>
            <w:pPr/>
          </w:p>
        </w:tc>
        <w:tc>
          <w:tcPr>
            <w:tcW w:w="598" w:type="dxa"/>
            <w:vMerge/>
            <w:tcBorders>
              <w:left w:val="single" w:sz="4" w:space="0" w:color="000000"/>
              <w:bottom w:val="single" w:sz="4" w:space="0" w:color="000000"/>
              <w:right w:val="single" w:sz="4" w:space="0" w:color="000000"/>
            </w:tcBorders>
          </w:tcPr>
          <w:p>
            <w:pPr/>
          </w:p>
        </w:tc>
        <w:tc>
          <w:tcPr>
            <w:tcW w:w="1543" w:type="dxa"/>
            <w:vMerge/>
            <w:tcBorders>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54" w:right="0"/>
              <w:jc w:val="left"/>
              <w:rPr>
                <w:rFonts w:ascii="宋体" w:hAnsi="宋体" w:cs="宋体" w:eastAsia="宋体" w:hint="default"/>
                <w:sz w:val="18"/>
                <w:szCs w:val="18"/>
              </w:rPr>
            </w:pPr>
            <w:r>
              <w:rPr>
                <w:rFonts w:ascii="宋体" w:hAnsi="宋体" w:cs="宋体" w:eastAsia="宋体" w:hint="default"/>
                <w:sz w:val="18"/>
                <w:szCs w:val="18"/>
              </w:rPr>
              <w:t>直接</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53" w:right="0"/>
              <w:jc w:val="left"/>
              <w:rPr>
                <w:rFonts w:ascii="宋体" w:hAnsi="宋体" w:cs="宋体" w:eastAsia="宋体" w:hint="default"/>
                <w:sz w:val="18"/>
                <w:szCs w:val="18"/>
              </w:rPr>
            </w:pPr>
            <w:r>
              <w:rPr>
                <w:rFonts w:ascii="宋体" w:hAnsi="宋体" w:cs="宋体" w:eastAsia="宋体" w:hint="default"/>
                <w:sz w:val="18"/>
                <w:szCs w:val="18"/>
              </w:rPr>
              <w:t>间接</w:t>
            </w: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重庆用友软件有限公司</w:t>
            </w:r>
            <w:r>
              <w:rPr>
                <w:rFonts w:ascii="宋体" w:hAnsi="宋体" w:cs="宋体" w:eastAsia="宋体" w:hint="default"/>
                <w:sz w:val="18"/>
                <w:szCs w:val="18"/>
              </w:rPr>
              <w:t>(</w:t>
            </w:r>
            <w:r>
              <w:rPr>
                <w:rFonts w:ascii="宋体" w:hAnsi="宋体" w:cs="宋体" w:eastAsia="宋体" w:hint="default"/>
                <w:sz w:val="18"/>
                <w:szCs w:val="18"/>
              </w:rPr>
              <w:t>以下简称“重庆用友”)</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重庆</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重庆</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计算机软、硬件</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3"/>
              <w:jc w:val="right"/>
              <w:rPr>
                <w:rFonts w:ascii="宋体" w:hAnsi="宋体" w:cs="宋体" w:eastAsia="宋体" w:hint="default"/>
                <w:sz w:val="18"/>
                <w:szCs w:val="18"/>
              </w:rPr>
            </w:pPr>
            <w:r>
              <w:rPr>
                <w:rFonts w:ascii="宋体"/>
                <w:sz w:val="18"/>
              </w:rPr>
              <w:t>81.88</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17" w:right="0"/>
              <w:jc w:val="left"/>
              <w:rPr>
                <w:rFonts w:ascii="宋体" w:hAnsi="宋体" w:cs="宋体" w:eastAsia="宋体" w:hint="default"/>
                <w:sz w:val="18"/>
                <w:szCs w:val="18"/>
              </w:rPr>
            </w:pPr>
            <w:r>
              <w:rPr>
                <w:rFonts w:ascii="宋体"/>
                <w:sz w:val="18"/>
              </w:rPr>
              <w:t>18.12</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478"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深圳巿灏麓梵科技有限公司</w:t>
            </w:r>
            <w:r>
              <w:rPr>
                <w:rFonts w:ascii="宋体" w:hAnsi="宋体" w:cs="宋体" w:eastAsia="宋体" w:hint="default"/>
                <w:sz w:val="18"/>
                <w:szCs w:val="18"/>
              </w:rPr>
              <w:t>(</w:t>
            </w:r>
            <w:r>
              <w:rPr>
                <w:rFonts w:ascii="宋体" w:hAnsi="宋体" w:cs="宋体" w:eastAsia="宋体" w:hint="default"/>
                <w:sz w:val="18"/>
                <w:szCs w:val="18"/>
              </w:rPr>
              <w:t>以下简称“深圳灏麓梵”)</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深圳</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深圳</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计算机软件行业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100</w:t>
            </w: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711"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广东用友软件有限公司</w:t>
            </w:r>
            <w:r>
              <w:rPr>
                <w:rFonts w:ascii="宋体" w:hAnsi="宋体" w:cs="宋体" w:eastAsia="宋体" w:hint="default"/>
                <w:sz w:val="18"/>
                <w:szCs w:val="18"/>
              </w:rPr>
              <w:t>(</w:t>
            </w:r>
            <w:r>
              <w:rPr>
                <w:rFonts w:ascii="宋体" w:hAnsi="宋体" w:cs="宋体" w:eastAsia="宋体" w:hint="default"/>
                <w:sz w:val="18"/>
                <w:szCs w:val="18"/>
              </w:rPr>
              <w:t>以下简称”广东用友”)</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广州</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广州</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w:t>
            </w:r>
            <w:r>
              <w:rPr>
                <w:rFonts w:ascii="宋体" w:hAnsi="宋体" w:cs="宋体" w:eastAsia="宋体" w:hint="default"/>
                <w:sz w:val="18"/>
                <w:szCs w:val="18"/>
              </w:rPr>
              <w:t>/</w:t>
            </w:r>
            <w:r>
              <w:rPr>
                <w:rFonts w:ascii="宋体" w:hAnsi="宋体" w:cs="宋体" w:eastAsia="宋体" w:hint="default"/>
                <w:sz w:val="18"/>
                <w:szCs w:val="18"/>
              </w:rPr>
              <w:t>硬件</w:t>
            </w:r>
            <w:r>
              <w:rPr>
                <w:rFonts w:ascii="宋体" w:hAnsi="宋体" w:cs="宋体" w:eastAsia="宋体" w:hint="default"/>
                <w:sz w:val="18"/>
                <w:szCs w:val="18"/>
              </w:rPr>
              <w:t>/</w:t>
            </w:r>
          </w:p>
          <w:p>
            <w:pPr>
              <w:pStyle w:val="TableParagraph"/>
              <w:spacing w:line="240" w:lineRule="auto"/>
              <w:ind w:left="100" w:right="170"/>
              <w:jc w:val="left"/>
              <w:rPr>
                <w:rFonts w:ascii="宋体" w:hAnsi="宋体" w:cs="宋体" w:eastAsia="宋体" w:hint="default"/>
                <w:sz w:val="18"/>
                <w:szCs w:val="18"/>
              </w:rPr>
            </w:pPr>
            <w:r>
              <w:rPr>
                <w:rFonts w:ascii="宋体" w:hAnsi="宋体" w:cs="宋体" w:eastAsia="宋体" w:hint="default"/>
                <w:sz w:val="18"/>
                <w:szCs w:val="18"/>
              </w:rPr>
              <w:t>网络、技术咨询 及电子行业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90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10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710"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天津用友软件技术有限公司</w:t>
            </w:r>
            <w:r>
              <w:rPr>
                <w:rFonts w:ascii="宋体" w:hAnsi="宋体" w:cs="宋体" w:eastAsia="宋体" w:hint="default"/>
                <w:sz w:val="18"/>
                <w:szCs w:val="18"/>
              </w:rPr>
              <w:t>(</w:t>
            </w:r>
            <w:r>
              <w:rPr>
                <w:rFonts w:ascii="宋体" w:hAnsi="宋体" w:cs="宋体" w:eastAsia="宋体" w:hint="default"/>
                <w:sz w:val="18"/>
                <w:szCs w:val="18"/>
              </w:rPr>
              <w:t>以下简称“天津用友”)</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天津</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天津</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w:t>
            </w:r>
            <w:r>
              <w:rPr>
                <w:rFonts w:ascii="宋体" w:hAnsi="宋体" w:cs="宋体" w:eastAsia="宋体" w:hint="default"/>
                <w:sz w:val="18"/>
                <w:szCs w:val="18"/>
              </w:rPr>
              <w:t>/</w:t>
            </w:r>
            <w:r>
              <w:rPr>
                <w:rFonts w:ascii="宋体" w:hAnsi="宋体" w:cs="宋体" w:eastAsia="宋体" w:hint="default"/>
                <w:sz w:val="18"/>
                <w:szCs w:val="18"/>
              </w:rPr>
              <w:t>硬件、</w:t>
            </w:r>
          </w:p>
          <w:p>
            <w:pPr>
              <w:pStyle w:val="TableParagraph"/>
              <w:spacing w:line="240" w:lineRule="auto"/>
              <w:ind w:left="100" w:right="170"/>
              <w:jc w:val="left"/>
              <w:rPr>
                <w:rFonts w:ascii="宋体" w:hAnsi="宋体" w:cs="宋体" w:eastAsia="宋体" w:hint="default"/>
                <w:sz w:val="18"/>
                <w:szCs w:val="18"/>
              </w:rPr>
            </w:pPr>
            <w:r>
              <w:rPr>
                <w:rFonts w:ascii="宋体" w:hAnsi="宋体" w:cs="宋体" w:eastAsia="宋体" w:hint="default"/>
                <w:sz w:val="18"/>
                <w:szCs w:val="18"/>
              </w:rPr>
              <w:t>技术咨询及电子 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90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710"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安徽用友软件有限公司</w:t>
            </w:r>
            <w:r>
              <w:rPr>
                <w:rFonts w:ascii="宋体" w:hAnsi="宋体" w:cs="宋体" w:eastAsia="宋体" w:hint="default"/>
                <w:sz w:val="18"/>
                <w:szCs w:val="18"/>
              </w:rPr>
              <w:t>(</w:t>
            </w:r>
            <w:r>
              <w:rPr>
                <w:rFonts w:ascii="宋体" w:hAnsi="宋体" w:cs="宋体" w:eastAsia="宋体" w:hint="default"/>
                <w:sz w:val="18"/>
                <w:szCs w:val="18"/>
              </w:rPr>
              <w:t>以下简称“安徽用友”)</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合肥</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合肥</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w:t>
            </w:r>
            <w:r>
              <w:rPr>
                <w:rFonts w:ascii="宋体" w:hAnsi="宋体" w:cs="宋体" w:eastAsia="宋体" w:hint="default"/>
                <w:sz w:val="18"/>
                <w:szCs w:val="18"/>
              </w:rPr>
              <w:t>/</w:t>
            </w:r>
            <w:r>
              <w:rPr>
                <w:rFonts w:ascii="宋体" w:hAnsi="宋体" w:cs="宋体" w:eastAsia="宋体" w:hint="default"/>
                <w:sz w:val="18"/>
                <w:szCs w:val="18"/>
              </w:rPr>
              <w:t>硬件、</w:t>
            </w:r>
          </w:p>
          <w:p>
            <w:pPr>
              <w:pStyle w:val="TableParagraph"/>
              <w:spacing w:line="240" w:lineRule="auto"/>
              <w:ind w:left="100" w:right="170"/>
              <w:jc w:val="left"/>
              <w:rPr>
                <w:rFonts w:ascii="宋体" w:hAnsi="宋体" w:cs="宋体" w:eastAsia="宋体" w:hint="default"/>
                <w:sz w:val="18"/>
                <w:szCs w:val="18"/>
              </w:rPr>
            </w:pPr>
            <w:r>
              <w:rPr>
                <w:rFonts w:ascii="宋体" w:hAnsi="宋体" w:cs="宋体" w:eastAsia="宋体" w:hint="default"/>
                <w:sz w:val="18"/>
                <w:szCs w:val="18"/>
              </w:rPr>
              <w:t>技术咨询及电子 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82</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18</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943"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tabs>
                <w:tab w:pos="3706" w:val="left" w:leader="none"/>
              </w:tabs>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YONYOU  INTERNATIONAL</w:t>
            </w:r>
            <w:r>
              <w:rPr>
                <w:rFonts w:ascii="宋体" w:hAnsi="宋体" w:cs="宋体" w:eastAsia="宋体" w:hint="default"/>
                <w:spacing w:val="78"/>
                <w:sz w:val="18"/>
                <w:szCs w:val="18"/>
              </w:rPr>
              <w:t> </w:t>
            </w:r>
            <w:r>
              <w:rPr>
                <w:rFonts w:ascii="宋体" w:hAnsi="宋体" w:cs="宋体" w:eastAsia="宋体" w:hint="default"/>
                <w:sz w:val="18"/>
                <w:szCs w:val="18"/>
              </w:rPr>
              <w:t>HOLDINGS.,LTD.</w:t>
              <w:tab/>
              <w:t>(</w:t>
            </w:r>
            <w:r>
              <w:rPr>
                <w:rFonts w:ascii="宋体" w:hAnsi="宋体" w:cs="宋体" w:eastAsia="宋体" w:hint="default"/>
                <w:sz w:val="18"/>
                <w:szCs w:val="18"/>
              </w:rPr>
              <w:t>以下简</w:t>
            </w:r>
          </w:p>
          <w:p>
            <w:pPr>
              <w:pStyle w:val="TableParagraph"/>
              <w:tabs>
                <w:tab w:pos="1454" w:val="left" w:leader="none"/>
              </w:tabs>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称“ YONYOU</w:t>
              <w:tab/>
              <w:t>INTERNATIONAL”)</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z w:val="18"/>
                <w:szCs w:val="18"/>
              </w:rPr>
              <w:t>英属</w:t>
            </w:r>
          </w:p>
          <w:p>
            <w:pPr>
              <w:pStyle w:val="TableParagraph"/>
              <w:spacing w:line="237" w:lineRule="auto"/>
              <w:ind w:left="103" w:right="178"/>
              <w:jc w:val="both"/>
              <w:rPr>
                <w:rFonts w:ascii="宋体" w:hAnsi="宋体" w:cs="宋体" w:eastAsia="宋体" w:hint="default"/>
                <w:sz w:val="18"/>
                <w:szCs w:val="18"/>
              </w:rPr>
            </w:pPr>
            <w:r>
              <w:rPr>
                <w:rFonts w:ascii="宋体" w:hAnsi="宋体" w:cs="宋体" w:eastAsia="宋体" w:hint="default"/>
                <w:sz w:val="18"/>
                <w:szCs w:val="18"/>
              </w:rPr>
              <w:t>维尔 京群 岛</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z w:val="18"/>
                <w:szCs w:val="18"/>
              </w:rPr>
              <w:t>英属</w:t>
            </w:r>
          </w:p>
          <w:p>
            <w:pPr>
              <w:pStyle w:val="TableParagraph"/>
              <w:spacing w:line="237" w:lineRule="auto"/>
              <w:ind w:left="103" w:right="122"/>
              <w:jc w:val="both"/>
              <w:rPr>
                <w:rFonts w:ascii="宋体" w:hAnsi="宋体" w:cs="宋体" w:eastAsia="宋体" w:hint="default"/>
                <w:sz w:val="18"/>
                <w:szCs w:val="18"/>
              </w:rPr>
            </w:pPr>
            <w:r>
              <w:rPr>
                <w:rFonts w:ascii="宋体" w:hAnsi="宋体" w:cs="宋体" w:eastAsia="宋体" w:hint="default"/>
                <w:sz w:val="18"/>
                <w:szCs w:val="18"/>
              </w:rPr>
              <w:t>维尔 京群 岛</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投资控股、计算</w:t>
            </w:r>
          </w:p>
          <w:p>
            <w:pPr>
              <w:pStyle w:val="TableParagraph"/>
              <w:spacing w:line="232" w:lineRule="exact" w:before="23"/>
              <w:ind w:left="100" w:right="170"/>
              <w:jc w:val="left"/>
              <w:rPr>
                <w:rFonts w:ascii="宋体" w:hAnsi="宋体" w:cs="宋体" w:eastAsia="宋体" w:hint="default"/>
                <w:sz w:val="18"/>
                <w:szCs w:val="18"/>
              </w:rPr>
            </w:pPr>
            <w:r>
              <w:rPr>
                <w:rFonts w:ascii="宋体" w:hAnsi="宋体" w:cs="宋体" w:eastAsia="宋体" w:hint="default"/>
                <w:sz w:val="18"/>
                <w:szCs w:val="18"/>
              </w:rPr>
              <w:t>机软件开发及技 术咨询</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100</w:t>
            </w: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711"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内蒙古用友软件技术有限公司</w:t>
            </w:r>
            <w:r>
              <w:rPr>
                <w:rFonts w:ascii="宋体" w:hAnsi="宋体" w:cs="宋体" w:eastAsia="宋体" w:hint="default"/>
                <w:sz w:val="18"/>
                <w:szCs w:val="18"/>
              </w:rPr>
              <w:t>(</w:t>
            </w:r>
            <w:r>
              <w:rPr>
                <w:rFonts w:ascii="宋体" w:hAnsi="宋体" w:cs="宋体" w:eastAsia="宋体" w:hint="default"/>
                <w:sz w:val="18"/>
                <w:szCs w:val="18"/>
              </w:rPr>
              <w:t>以下简称“内蒙古用</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友”)</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呼和</w:t>
            </w:r>
          </w:p>
          <w:p>
            <w:pPr>
              <w:pStyle w:val="TableParagraph"/>
              <w:spacing w:line="240" w:lineRule="auto"/>
              <w:ind w:left="103" w:right="178"/>
              <w:jc w:val="left"/>
              <w:rPr>
                <w:rFonts w:ascii="宋体" w:hAnsi="宋体" w:cs="宋体" w:eastAsia="宋体" w:hint="default"/>
                <w:sz w:val="18"/>
                <w:szCs w:val="18"/>
              </w:rPr>
            </w:pPr>
            <w:r>
              <w:rPr>
                <w:rFonts w:ascii="宋体" w:hAnsi="宋体" w:cs="宋体" w:eastAsia="宋体" w:hint="default"/>
                <w:sz w:val="18"/>
                <w:szCs w:val="18"/>
              </w:rPr>
              <w:t>浩特 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呼和</w:t>
            </w:r>
          </w:p>
          <w:p>
            <w:pPr>
              <w:pStyle w:val="TableParagraph"/>
              <w:spacing w:line="240" w:lineRule="auto"/>
              <w:ind w:left="103" w:right="122"/>
              <w:jc w:val="left"/>
              <w:rPr>
                <w:rFonts w:ascii="宋体" w:hAnsi="宋体" w:cs="宋体" w:eastAsia="宋体" w:hint="default"/>
                <w:sz w:val="18"/>
                <w:szCs w:val="18"/>
              </w:rPr>
            </w:pPr>
            <w:r>
              <w:rPr>
                <w:rFonts w:ascii="宋体" w:hAnsi="宋体" w:cs="宋体" w:eastAsia="宋体" w:hint="default"/>
                <w:sz w:val="18"/>
                <w:szCs w:val="18"/>
              </w:rPr>
              <w:t>浩特 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w:t>
            </w:r>
            <w:r>
              <w:rPr>
                <w:rFonts w:ascii="宋体" w:hAnsi="宋体" w:cs="宋体" w:eastAsia="宋体" w:hint="default"/>
                <w:sz w:val="18"/>
                <w:szCs w:val="18"/>
              </w:rPr>
              <w:t>/</w:t>
            </w:r>
            <w:r>
              <w:rPr>
                <w:rFonts w:ascii="宋体" w:hAnsi="宋体" w:cs="宋体" w:eastAsia="宋体" w:hint="default"/>
                <w:sz w:val="18"/>
                <w:szCs w:val="18"/>
              </w:rPr>
              <w:t>硬件</w:t>
            </w:r>
            <w:r>
              <w:rPr>
                <w:rFonts w:ascii="宋体" w:hAnsi="宋体" w:cs="宋体" w:eastAsia="宋体" w:hint="default"/>
                <w:sz w:val="18"/>
                <w:szCs w:val="18"/>
              </w:rPr>
              <w:t>/</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咨询行业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90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710"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用友艾福斯</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w:t>
            </w:r>
            <w:r>
              <w:rPr>
                <w:rFonts w:ascii="宋体" w:hAnsi="宋体" w:cs="宋体" w:eastAsia="宋体" w:hint="default"/>
                <w:sz w:val="18"/>
                <w:szCs w:val="18"/>
              </w:rPr>
              <w:t>/</w:t>
            </w:r>
            <w:r>
              <w:rPr>
                <w:rFonts w:ascii="宋体" w:hAnsi="宋体" w:cs="宋体" w:eastAsia="宋体" w:hint="default"/>
                <w:sz w:val="18"/>
                <w:szCs w:val="18"/>
              </w:rPr>
              <w:t>硬件、</w:t>
            </w:r>
          </w:p>
          <w:p>
            <w:pPr>
              <w:pStyle w:val="TableParagraph"/>
              <w:spacing w:line="240" w:lineRule="auto"/>
              <w:ind w:left="100" w:right="170"/>
              <w:jc w:val="left"/>
              <w:rPr>
                <w:rFonts w:ascii="宋体" w:hAnsi="宋体" w:cs="宋体" w:eastAsia="宋体" w:hint="default"/>
                <w:sz w:val="18"/>
                <w:szCs w:val="18"/>
              </w:rPr>
            </w:pPr>
            <w:r>
              <w:rPr>
                <w:rFonts w:ascii="宋体" w:hAnsi="宋体" w:cs="宋体" w:eastAsia="宋体" w:hint="default"/>
                <w:sz w:val="18"/>
                <w:szCs w:val="18"/>
              </w:rPr>
              <w:t>技术咨询及电子 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100</w:t>
            </w: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710"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用友政务</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w:t>
            </w:r>
            <w:r>
              <w:rPr>
                <w:rFonts w:ascii="宋体" w:hAnsi="宋体" w:cs="宋体" w:eastAsia="宋体" w:hint="default"/>
                <w:sz w:val="18"/>
                <w:szCs w:val="18"/>
              </w:rPr>
              <w:t>/</w:t>
            </w:r>
            <w:r>
              <w:rPr>
                <w:rFonts w:ascii="宋体" w:hAnsi="宋体" w:cs="宋体" w:eastAsia="宋体" w:hint="default"/>
                <w:sz w:val="18"/>
                <w:szCs w:val="18"/>
              </w:rPr>
              <w:t>硬件、</w:t>
            </w:r>
          </w:p>
          <w:p>
            <w:pPr>
              <w:pStyle w:val="TableParagraph"/>
              <w:spacing w:line="240" w:lineRule="auto"/>
              <w:ind w:left="100" w:right="170"/>
              <w:jc w:val="left"/>
              <w:rPr>
                <w:rFonts w:ascii="宋体" w:hAnsi="宋体" w:cs="宋体" w:eastAsia="宋体" w:hint="default"/>
                <w:sz w:val="18"/>
                <w:szCs w:val="18"/>
              </w:rPr>
            </w:pPr>
            <w:r>
              <w:rPr>
                <w:rFonts w:ascii="宋体" w:hAnsi="宋体" w:cs="宋体" w:eastAsia="宋体" w:hint="default"/>
                <w:sz w:val="18"/>
                <w:szCs w:val="18"/>
              </w:rPr>
              <w:t>技术咨询及电子 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z w:val="18"/>
              </w:rPr>
              <w:t>84.19</w:t>
            </w: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710"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用友金融</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w:t>
            </w:r>
            <w:r>
              <w:rPr>
                <w:rFonts w:ascii="宋体" w:hAnsi="宋体" w:cs="宋体" w:eastAsia="宋体" w:hint="default"/>
                <w:sz w:val="18"/>
                <w:szCs w:val="18"/>
              </w:rPr>
              <w:t>/</w:t>
            </w:r>
            <w:r>
              <w:rPr>
                <w:rFonts w:ascii="宋体" w:hAnsi="宋体" w:cs="宋体" w:eastAsia="宋体" w:hint="default"/>
                <w:sz w:val="18"/>
                <w:szCs w:val="18"/>
              </w:rPr>
              <w:t>硬件</w:t>
            </w:r>
            <w:r>
              <w:rPr>
                <w:rFonts w:ascii="宋体" w:hAnsi="宋体" w:cs="宋体" w:eastAsia="宋体" w:hint="default"/>
                <w:sz w:val="18"/>
                <w:szCs w:val="18"/>
              </w:rPr>
              <w:t>/</w:t>
            </w:r>
          </w:p>
          <w:p>
            <w:pPr>
              <w:pStyle w:val="TableParagraph"/>
              <w:spacing w:line="240" w:lineRule="auto"/>
              <w:ind w:left="100" w:right="170"/>
              <w:jc w:val="left"/>
              <w:rPr>
                <w:rFonts w:ascii="宋体" w:hAnsi="宋体" w:cs="宋体" w:eastAsia="宋体" w:hint="default"/>
                <w:sz w:val="18"/>
                <w:szCs w:val="18"/>
              </w:rPr>
            </w:pPr>
            <w:r>
              <w:rPr>
                <w:rFonts w:ascii="宋体" w:hAnsi="宋体" w:cs="宋体" w:eastAsia="宋体" w:hint="default"/>
                <w:sz w:val="18"/>
                <w:szCs w:val="18"/>
              </w:rPr>
              <w:t>网络、技术咨询 及电子行业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z w:val="18"/>
              </w:rPr>
              <w:t>78.43</w:t>
            </w: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711"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浙江用友软件有限公司</w:t>
            </w:r>
            <w:r>
              <w:rPr>
                <w:rFonts w:ascii="宋体" w:hAnsi="宋体" w:cs="宋体" w:eastAsia="宋体" w:hint="default"/>
                <w:sz w:val="18"/>
                <w:szCs w:val="18"/>
              </w:rPr>
              <w:t>(</w:t>
            </w:r>
            <w:r>
              <w:rPr>
                <w:rFonts w:ascii="宋体" w:hAnsi="宋体" w:cs="宋体" w:eastAsia="宋体" w:hint="default"/>
                <w:sz w:val="18"/>
                <w:szCs w:val="18"/>
              </w:rPr>
              <w:t>以下简称“浙江用友”)</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杭州</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杭州</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w:t>
            </w:r>
            <w:r>
              <w:rPr>
                <w:rFonts w:ascii="宋体" w:hAnsi="宋体" w:cs="宋体" w:eastAsia="宋体" w:hint="default"/>
                <w:sz w:val="18"/>
                <w:szCs w:val="18"/>
              </w:rPr>
              <w:t>/</w:t>
            </w:r>
            <w:r>
              <w:rPr>
                <w:rFonts w:ascii="宋体" w:hAnsi="宋体" w:cs="宋体" w:eastAsia="宋体" w:hint="default"/>
                <w:sz w:val="18"/>
                <w:szCs w:val="18"/>
              </w:rPr>
              <w:t>硬件</w:t>
            </w:r>
            <w:r>
              <w:rPr>
                <w:rFonts w:ascii="宋体" w:hAnsi="宋体" w:cs="宋体" w:eastAsia="宋体" w:hint="default"/>
                <w:sz w:val="18"/>
                <w:szCs w:val="18"/>
              </w:rPr>
              <w:t>/</w:t>
            </w:r>
          </w:p>
          <w:p>
            <w:pPr>
              <w:pStyle w:val="TableParagraph"/>
              <w:spacing w:line="240" w:lineRule="auto"/>
              <w:ind w:left="100" w:right="170"/>
              <w:jc w:val="left"/>
              <w:rPr>
                <w:rFonts w:ascii="宋体" w:hAnsi="宋体" w:cs="宋体" w:eastAsia="宋体" w:hint="default"/>
                <w:sz w:val="18"/>
                <w:szCs w:val="18"/>
              </w:rPr>
            </w:pPr>
            <w:r>
              <w:rPr>
                <w:rFonts w:ascii="宋体" w:hAnsi="宋体" w:cs="宋体" w:eastAsia="宋体" w:hint="default"/>
                <w:sz w:val="18"/>
                <w:szCs w:val="18"/>
              </w:rPr>
              <w:t>网络、技术咨询 及电子行业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90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710"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沈阳用友软件有限公司</w:t>
            </w:r>
            <w:r>
              <w:rPr>
                <w:rFonts w:ascii="宋体" w:hAnsi="宋体" w:cs="宋体" w:eastAsia="宋体" w:hint="default"/>
                <w:sz w:val="18"/>
                <w:szCs w:val="18"/>
              </w:rPr>
              <w:t>(</w:t>
            </w:r>
            <w:r>
              <w:rPr>
                <w:rFonts w:ascii="宋体" w:hAnsi="宋体" w:cs="宋体" w:eastAsia="宋体" w:hint="default"/>
                <w:sz w:val="18"/>
                <w:szCs w:val="18"/>
              </w:rPr>
              <w:t>以下简称“沈阳用友”)</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沈阳</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沈阳</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w:t>
            </w:r>
            <w:r>
              <w:rPr>
                <w:rFonts w:ascii="宋体" w:hAnsi="宋体" w:cs="宋体" w:eastAsia="宋体" w:hint="default"/>
                <w:sz w:val="18"/>
                <w:szCs w:val="18"/>
              </w:rPr>
              <w:t>/</w:t>
            </w:r>
            <w:r>
              <w:rPr>
                <w:rFonts w:ascii="宋体" w:hAnsi="宋体" w:cs="宋体" w:eastAsia="宋体" w:hint="default"/>
                <w:sz w:val="18"/>
                <w:szCs w:val="18"/>
              </w:rPr>
              <w:t>硬件</w:t>
            </w:r>
            <w:r>
              <w:rPr>
                <w:rFonts w:ascii="宋体" w:hAnsi="宋体" w:cs="宋体" w:eastAsia="宋体" w:hint="default"/>
                <w:sz w:val="18"/>
                <w:szCs w:val="18"/>
              </w:rPr>
              <w:t>/</w:t>
            </w:r>
          </w:p>
          <w:p>
            <w:pPr>
              <w:pStyle w:val="TableParagraph"/>
              <w:spacing w:line="240" w:lineRule="auto"/>
              <w:ind w:left="100" w:right="170"/>
              <w:jc w:val="left"/>
              <w:rPr>
                <w:rFonts w:ascii="宋体" w:hAnsi="宋体" w:cs="宋体" w:eastAsia="宋体" w:hint="default"/>
                <w:sz w:val="18"/>
                <w:szCs w:val="18"/>
              </w:rPr>
            </w:pPr>
            <w:r>
              <w:rPr>
                <w:rFonts w:ascii="宋体" w:hAnsi="宋体" w:cs="宋体" w:eastAsia="宋体" w:hint="default"/>
                <w:sz w:val="18"/>
                <w:szCs w:val="18"/>
              </w:rPr>
              <w:t>技术咨询及电子 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90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710"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大连用友软件有限公司</w:t>
            </w:r>
            <w:r>
              <w:rPr>
                <w:rFonts w:ascii="宋体" w:hAnsi="宋体" w:cs="宋体" w:eastAsia="宋体" w:hint="default"/>
                <w:sz w:val="18"/>
                <w:szCs w:val="18"/>
              </w:rPr>
              <w:t>(</w:t>
            </w:r>
            <w:r>
              <w:rPr>
                <w:rFonts w:ascii="宋体" w:hAnsi="宋体" w:cs="宋体" w:eastAsia="宋体" w:hint="default"/>
                <w:sz w:val="18"/>
                <w:szCs w:val="18"/>
              </w:rPr>
              <w:t>以下简称“大连用友”)</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大连</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大连</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w:t>
            </w:r>
            <w:r>
              <w:rPr>
                <w:rFonts w:ascii="宋体" w:hAnsi="宋体" w:cs="宋体" w:eastAsia="宋体" w:hint="default"/>
                <w:sz w:val="18"/>
                <w:szCs w:val="18"/>
              </w:rPr>
              <w:t>/</w:t>
            </w:r>
            <w:r>
              <w:rPr>
                <w:rFonts w:ascii="宋体" w:hAnsi="宋体" w:cs="宋体" w:eastAsia="宋体" w:hint="default"/>
                <w:sz w:val="18"/>
                <w:szCs w:val="18"/>
              </w:rPr>
              <w:t>硬件</w:t>
            </w:r>
            <w:r>
              <w:rPr>
                <w:rFonts w:ascii="宋体" w:hAnsi="宋体" w:cs="宋体" w:eastAsia="宋体" w:hint="default"/>
                <w:sz w:val="18"/>
                <w:szCs w:val="18"/>
              </w:rPr>
              <w:t>/</w:t>
            </w:r>
          </w:p>
          <w:p>
            <w:pPr>
              <w:pStyle w:val="TableParagraph"/>
              <w:spacing w:line="232" w:lineRule="exact" w:before="23"/>
              <w:ind w:left="100" w:right="170"/>
              <w:jc w:val="left"/>
              <w:rPr>
                <w:rFonts w:ascii="宋体" w:hAnsi="宋体" w:cs="宋体" w:eastAsia="宋体" w:hint="default"/>
                <w:sz w:val="18"/>
                <w:szCs w:val="18"/>
              </w:rPr>
            </w:pPr>
            <w:r>
              <w:rPr>
                <w:rFonts w:ascii="宋体" w:hAnsi="宋体" w:cs="宋体" w:eastAsia="宋体" w:hint="default"/>
                <w:sz w:val="18"/>
                <w:szCs w:val="18"/>
              </w:rPr>
              <w:t>技术咨询及电子 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90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475"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广西用友软件有限公司</w:t>
            </w:r>
            <w:r>
              <w:rPr>
                <w:rFonts w:ascii="宋体" w:hAnsi="宋体" w:cs="宋体" w:eastAsia="宋体" w:hint="default"/>
                <w:sz w:val="18"/>
                <w:szCs w:val="18"/>
              </w:rPr>
              <w:t>(</w:t>
            </w:r>
            <w:r>
              <w:rPr>
                <w:rFonts w:ascii="宋体" w:hAnsi="宋体" w:cs="宋体" w:eastAsia="宋体" w:hint="default"/>
                <w:sz w:val="18"/>
                <w:szCs w:val="18"/>
              </w:rPr>
              <w:t>以下简称“广西用友”)</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南宁</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南宁</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w:t>
            </w:r>
            <w:r>
              <w:rPr>
                <w:rFonts w:ascii="宋体" w:hAnsi="宋体" w:cs="宋体" w:eastAsia="宋体" w:hint="default"/>
                <w:sz w:val="18"/>
                <w:szCs w:val="18"/>
              </w:rPr>
              <w:t>/</w:t>
            </w:r>
            <w:r>
              <w:rPr>
                <w:rFonts w:ascii="宋体" w:hAnsi="宋体" w:cs="宋体" w:eastAsia="宋体" w:hint="default"/>
                <w:sz w:val="18"/>
                <w:szCs w:val="18"/>
              </w:rPr>
              <w:t>硬件</w:t>
            </w:r>
            <w:r>
              <w:rPr>
                <w:rFonts w:ascii="宋体" w:hAnsi="宋体" w:cs="宋体" w:eastAsia="宋体" w:hint="default"/>
                <w:sz w:val="18"/>
                <w:szCs w:val="18"/>
              </w:rPr>
              <w:t>/</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咨询及电子行业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90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478"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厦门烟草</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厦门</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厦门</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w:t>
            </w:r>
            <w:r>
              <w:rPr>
                <w:rFonts w:ascii="宋体" w:hAnsi="宋体" w:cs="宋体" w:eastAsia="宋体" w:hint="default"/>
                <w:sz w:val="18"/>
                <w:szCs w:val="18"/>
              </w:rPr>
              <w:t>/</w:t>
            </w:r>
            <w:r>
              <w:rPr>
                <w:rFonts w:ascii="宋体" w:hAnsi="宋体" w:cs="宋体" w:eastAsia="宋体" w:hint="default"/>
                <w:sz w:val="18"/>
                <w:szCs w:val="18"/>
              </w:rPr>
              <w:t>硬件</w:t>
            </w:r>
            <w:r>
              <w:rPr>
                <w:rFonts w:ascii="宋体" w:hAnsi="宋体" w:cs="宋体" w:eastAsia="宋体" w:hint="default"/>
                <w:sz w:val="18"/>
                <w:szCs w:val="18"/>
              </w:rPr>
              <w:t>/</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电子行业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73</w:t>
            </w: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478"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深圳用友软件有限公司</w:t>
            </w:r>
            <w:r>
              <w:rPr>
                <w:rFonts w:ascii="宋体" w:hAnsi="宋体" w:cs="宋体" w:eastAsia="宋体" w:hint="default"/>
                <w:sz w:val="18"/>
                <w:szCs w:val="18"/>
              </w:rPr>
              <w:t>(</w:t>
            </w:r>
            <w:r>
              <w:rPr>
                <w:rFonts w:ascii="宋体" w:hAnsi="宋体" w:cs="宋体" w:eastAsia="宋体" w:hint="default"/>
                <w:sz w:val="18"/>
                <w:szCs w:val="18"/>
              </w:rPr>
              <w:t>以下简称“深圳用友”)</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深圳</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深圳</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w:t>
            </w:r>
            <w:r>
              <w:rPr>
                <w:rFonts w:ascii="宋体" w:hAnsi="宋体" w:cs="宋体" w:eastAsia="宋体" w:hint="default"/>
                <w:sz w:val="18"/>
                <w:szCs w:val="18"/>
              </w:rPr>
              <w:t>/</w:t>
            </w:r>
            <w:r>
              <w:rPr>
                <w:rFonts w:ascii="宋体" w:hAnsi="宋体" w:cs="宋体" w:eastAsia="宋体" w:hint="default"/>
                <w:sz w:val="18"/>
                <w:szCs w:val="18"/>
              </w:rPr>
              <w:t>硬件</w:t>
            </w:r>
            <w:r>
              <w:rPr>
                <w:rFonts w:ascii="宋体" w:hAnsi="宋体" w:cs="宋体" w:eastAsia="宋体" w:hint="default"/>
                <w:sz w:val="18"/>
                <w:szCs w:val="18"/>
              </w:rPr>
              <w:t>/</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耗材、电子行业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90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711"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山东用友软件技术有限公</w:t>
            </w:r>
            <w:r>
              <w:rPr>
                <w:rFonts w:ascii="宋体" w:hAnsi="宋体" w:cs="宋体" w:eastAsia="宋体" w:hint="default"/>
                <w:sz w:val="18"/>
                <w:szCs w:val="18"/>
              </w:rPr>
              <w:t>(</w:t>
            </w:r>
            <w:r>
              <w:rPr>
                <w:rFonts w:ascii="宋体" w:hAnsi="宋体" w:cs="宋体" w:eastAsia="宋体" w:hint="default"/>
                <w:sz w:val="18"/>
                <w:szCs w:val="18"/>
              </w:rPr>
              <w:t>以下简称“山东用友”)</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济南</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济南</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w:t>
            </w:r>
            <w:r>
              <w:rPr>
                <w:rFonts w:ascii="宋体" w:hAnsi="宋体" w:cs="宋体" w:eastAsia="宋体" w:hint="default"/>
                <w:sz w:val="18"/>
                <w:szCs w:val="18"/>
              </w:rPr>
              <w:t>/</w:t>
            </w:r>
            <w:r>
              <w:rPr>
                <w:rFonts w:ascii="宋体" w:hAnsi="宋体" w:cs="宋体" w:eastAsia="宋体" w:hint="default"/>
                <w:sz w:val="18"/>
                <w:szCs w:val="18"/>
              </w:rPr>
              <w:t>硬件</w:t>
            </w:r>
            <w:r>
              <w:rPr>
                <w:rFonts w:ascii="宋体" w:hAnsi="宋体" w:cs="宋体" w:eastAsia="宋体" w:hint="default"/>
                <w:sz w:val="18"/>
                <w:szCs w:val="18"/>
              </w:rPr>
              <w:t>/</w:t>
            </w:r>
          </w:p>
          <w:p>
            <w:pPr>
              <w:pStyle w:val="TableParagraph"/>
              <w:spacing w:line="240" w:lineRule="auto"/>
              <w:ind w:left="100" w:right="14"/>
              <w:jc w:val="left"/>
              <w:rPr>
                <w:rFonts w:ascii="宋体" w:hAnsi="宋体" w:cs="宋体" w:eastAsia="宋体" w:hint="default"/>
                <w:sz w:val="18"/>
                <w:szCs w:val="18"/>
              </w:rPr>
            </w:pPr>
            <w:r>
              <w:rPr>
                <w:rFonts w:ascii="宋体" w:hAnsi="宋体" w:cs="宋体" w:eastAsia="宋体" w:hint="default"/>
                <w:spacing w:val="-3"/>
                <w:sz w:val="18"/>
                <w:szCs w:val="18"/>
              </w:rPr>
              <w:t>耗材、技术咨询、</w:t>
            </w:r>
            <w:r>
              <w:rPr>
                <w:rFonts w:ascii="宋体" w:hAnsi="宋体" w:cs="宋体" w:eastAsia="宋体" w:hint="default"/>
                <w:sz w:val="18"/>
                <w:szCs w:val="18"/>
              </w:rPr>
              <w:t> 电子行业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90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242"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江西用友软件有限责任公司</w:t>
            </w:r>
            <w:r>
              <w:rPr>
                <w:rFonts w:ascii="宋体" w:hAnsi="宋体" w:cs="宋体" w:eastAsia="宋体" w:hint="default"/>
                <w:sz w:val="18"/>
                <w:szCs w:val="18"/>
              </w:rPr>
              <w:t>(</w:t>
            </w:r>
            <w:r>
              <w:rPr>
                <w:rFonts w:ascii="宋体" w:hAnsi="宋体" w:cs="宋体" w:eastAsia="宋体" w:hint="default"/>
                <w:sz w:val="18"/>
                <w:szCs w:val="18"/>
              </w:rPr>
              <w:t>以下简称“江西用友”)</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南昌</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南昌</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w:t>
            </w:r>
            <w:r>
              <w:rPr>
                <w:rFonts w:ascii="宋体" w:hAnsi="宋体" w:cs="宋体" w:eastAsia="宋体" w:hint="default"/>
                <w:sz w:val="18"/>
                <w:szCs w:val="18"/>
              </w:rPr>
              <w:t>/</w:t>
            </w:r>
            <w:r>
              <w:rPr>
                <w:rFonts w:ascii="宋体" w:hAnsi="宋体" w:cs="宋体" w:eastAsia="宋体" w:hint="default"/>
                <w:sz w:val="18"/>
                <w:szCs w:val="18"/>
              </w:rPr>
              <w:t>硬件</w:t>
            </w:r>
            <w:r>
              <w:rPr>
                <w:rFonts w:ascii="宋体" w:hAnsi="宋体" w:cs="宋体" w:eastAsia="宋体" w:hint="default"/>
                <w:sz w:val="18"/>
                <w:szCs w:val="18"/>
              </w:rPr>
              <w:t>/</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100</w:t>
            </w: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tc>
      </w:tr>
    </w:tbl>
    <w:p>
      <w:pPr>
        <w:spacing w:after="0" w:line="205" w:lineRule="exact"/>
        <w:jc w:val="left"/>
        <w:rPr>
          <w:rFonts w:ascii="宋体" w:hAnsi="宋体" w:cs="宋体" w:eastAsia="宋体" w:hint="default"/>
          <w:sz w:val="18"/>
          <w:szCs w:val="18"/>
        </w:rPr>
        <w:sectPr>
          <w:headerReference w:type="default" r:id="rId80"/>
          <w:footerReference w:type="default" r:id="rId81"/>
          <w:pgSz w:w="11910" w:h="16840"/>
          <w:pgMar w:header="857" w:footer="1195" w:top="1280" w:bottom="1380" w:left="1280" w:right="760"/>
          <w:pgNumType w:start="168"/>
        </w:sectPr>
      </w:pPr>
    </w:p>
    <w:p>
      <w:pPr>
        <w:spacing w:line="240" w:lineRule="auto" w:before="6"/>
        <w:rPr>
          <w:rFonts w:ascii="Times New Roman" w:hAnsi="Times New Roman" w:cs="Times New Roman" w:eastAsia="Times New Roman" w:hint="default"/>
          <w:sz w:val="16"/>
          <w:szCs w:val="16"/>
        </w:rPr>
      </w:pPr>
    </w:p>
    <w:tbl>
      <w:tblPr>
        <w:tblW w:w="0" w:type="auto"/>
        <w:jc w:val="left"/>
        <w:tblInd w:w="112" w:type="dxa"/>
        <w:tblLayout w:type="fixed"/>
        <w:tblCellMar>
          <w:top w:w="0" w:type="dxa"/>
          <w:left w:w="0" w:type="dxa"/>
          <w:bottom w:w="0" w:type="dxa"/>
          <w:right w:w="0" w:type="dxa"/>
        </w:tblCellMar>
        <w:tblLook w:val="01E0"/>
      </w:tblPr>
      <w:tblGrid>
        <w:gridCol w:w="4563"/>
        <w:gridCol w:w="653"/>
        <w:gridCol w:w="598"/>
        <w:gridCol w:w="1543"/>
        <w:gridCol w:w="685"/>
        <w:gridCol w:w="684"/>
        <w:gridCol w:w="910"/>
      </w:tblGrid>
      <w:tr>
        <w:trPr>
          <w:trHeight w:val="245" w:hRule="exact"/>
        </w:trPr>
        <w:tc>
          <w:tcPr>
            <w:tcW w:w="4563"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耗材、电子行业</w:t>
            </w:r>
          </w:p>
        </w:tc>
        <w:tc>
          <w:tcPr>
            <w:tcW w:w="685"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478"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湖南用友软件有限公司</w:t>
            </w:r>
            <w:r>
              <w:rPr>
                <w:rFonts w:ascii="宋体" w:hAnsi="宋体" w:cs="宋体" w:eastAsia="宋体" w:hint="default"/>
                <w:sz w:val="18"/>
                <w:szCs w:val="18"/>
              </w:rPr>
              <w:t>(</w:t>
            </w:r>
            <w:r>
              <w:rPr>
                <w:rFonts w:ascii="宋体" w:hAnsi="宋体" w:cs="宋体" w:eastAsia="宋体" w:hint="default"/>
                <w:sz w:val="18"/>
                <w:szCs w:val="18"/>
              </w:rPr>
              <w:t>以下简称“湖南用友”)</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长沙</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长沙</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w:t>
            </w:r>
            <w:r>
              <w:rPr>
                <w:rFonts w:ascii="宋体" w:hAnsi="宋体" w:cs="宋体" w:eastAsia="宋体" w:hint="default"/>
                <w:sz w:val="18"/>
                <w:szCs w:val="18"/>
              </w:rPr>
              <w:t>/</w:t>
            </w:r>
            <w:r>
              <w:rPr>
                <w:rFonts w:ascii="宋体" w:hAnsi="宋体" w:cs="宋体" w:eastAsia="宋体" w:hint="default"/>
                <w:sz w:val="18"/>
                <w:szCs w:val="18"/>
              </w:rPr>
              <w:t>硬件</w:t>
            </w:r>
            <w:r>
              <w:rPr>
                <w:rFonts w:ascii="宋体" w:hAnsi="宋体" w:cs="宋体" w:eastAsia="宋体" w:hint="default"/>
                <w:sz w:val="18"/>
                <w:szCs w:val="18"/>
              </w:rPr>
              <w:t>/</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咨询行业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90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710"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用友医疗</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计算机软件</w:t>
            </w:r>
            <w:r>
              <w:rPr>
                <w:rFonts w:ascii="宋体" w:hAnsi="宋体" w:cs="宋体" w:eastAsia="宋体" w:hint="default"/>
                <w:sz w:val="18"/>
                <w:szCs w:val="18"/>
              </w:rPr>
              <w:t>/</w:t>
            </w:r>
            <w:r>
              <w:rPr>
                <w:rFonts w:ascii="宋体" w:hAnsi="宋体" w:cs="宋体" w:eastAsia="宋体" w:hint="default"/>
                <w:sz w:val="18"/>
                <w:szCs w:val="18"/>
              </w:rPr>
              <w:t>系</w:t>
            </w:r>
          </w:p>
          <w:p>
            <w:pPr>
              <w:pStyle w:val="TableParagraph"/>
              <w:spacing w:line="232" w:lineRule="exact" w:before="23"/>
              <w:ind w:left="100" w:right="259"/>
              <w:jc w:val="left"/>
              <w:rPr>
                <w:rFonts w:ascii="宋体" w:hAnsi="宋体" w:cs="宋体" w:eastAsia="宋体" w:hint="default"/>
                <w:sz w:val="18"/>
                <w:szCs w:val="18"/>
              </w:rPr>
            </w:pPr>
            <w:r>
              <w:rPr>
                <w:rFonts w:ascii="宋体" w:hAnsi="宋体" w:cs="宋体" w:eastAsia="宋体" w:hint="default"/>
                <w:sz w:val="18"/>
                <w:szCs w:val="18"/>
              </w:rPr>
              <w:t>统集成</w:t>
            </w:r>
            <w:r>
              <w:rPr>
                <w:rFonts w:ascii="宋体" w:hAnsi="宋体" w:cs="宋体" w:eastAsia="宋体" w:hint="default"/>
                <w:sz w:val="18"/>
                <w:szCs w:val="18"/>
              </w:rPr>
              <w:t>/</w:t>
            </w:r>
            <w:r>
              <w:rPr>
                <w:rFonts w:ascii="宋体" w:hAnsi="宋体" w:cs="宋体" w:eastAsia="宋体" w:hint="default"/>
                <w:sz w:val="18"/>
                <w:szCs w:val="18"/>
              </w:rPr>
              <w:t>咨询行 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80</w:t>
            </w: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943"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w:t>
            </w:r>
            <w:r>
              <w:rPr>
                <w:rFonts w:ascii="宋体" w:hAnsi="宋体" w:cs="宋体" w:eastAsia="宋体" w:hint="default"/>
                <w:sz w:val="18"/>
                <w:szCs w:val="18"/>
              </w:rPr>
              <w:t>(</w:t>
            </w:r>
            <w:r>
              <w:rPr>
                <w:rFonts w:ascii="宋体" w:hAnsi="宋体" w:cs="宋体" w:eastAsia="宋体" w:hint="default"/>
                <w:sz w:val="18"/>
                <w:szCs w:val="18"/>
              </w:rPr>
              <w:t>南昌</w:t>
            </w:r>
            <w:r>
              <w:rPr>
                <w:rFonts w:ascii="宋体" w:hAnsi="宋体" w:cs="宋体" w:eastAsia="宋体" w:hint="default"/>
                <w:sz w:val="18"/>
                <w:szCs w:val="18"/>
              </w:rPr>
              <w:t>)</w:t>
            </w:r>
            <w:r>
              <w:rPr>
                <w:rFonts w:ascii="宋体" w:hAnsi="宋体" w:cs="宋体" w:eastAsia="宋体" w:hint="default"/>
                <w:sz w:val="18"/>
                <w:szCs w:val="18"/>
              </w:rPr>
              <w:t>产业基地发展有限公司</w:t>
            </w:r>
            <w:r>
              <w:rPr>
                <w:rFonts w:ascii="宋体" w:hAnsi="宋体" w:cs="宋体" w:eastAsia="宋体" w:hint="default"/>
                <w:sz w:val="18"/>
                <w:szCs w:val="18"/>
              </w:rPr>
              <w:t>(</w:t>
            </w:r>
            <w:r>
              <w:rPr>
                <w:rFonts w:ascii="宋体" w:hAnsi="宋体" w:cs="宋体" w:eastAsia="宋体" w:hint="default"/>
                <w:sz w:val="18"/>
                <w:szCs w:val="18"/>
              </w:rPr>
              <w:t>以下简称“用友</w:t>
            </w:r>
            <w:r>
              <w:rPr>
                <w:rFonts w:ascii="宋体" w:hAnsi="宋体" w:cs="宋体" w:eastAsia="宋体" w:hint="default"/>
                <w:sz w:val="18"/>
                <w:szCs w:val="18"/>
              </w:rPr>
              <w:t>(</w:t>
            </w:r>
            <w:r>
              <w:rPr>
                <w:rFonts w:ascii="宋体" w:hAnsi="宋体" w:cs="宋体" w:eastAsia="宋体" w:hint="default"/>
                <w:sz w:val="18"/>
                <w:szCs w:val="18"/>
              </w:rPr>
              <w:t>南</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昌)”)</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南昌</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南昌</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房地产业</w:t>
            </w:r>
            <w:r>
              <w:rPr>
                <w:rFonts w:ascii="宋体" w:hAnsi="宋体" w:cs="宋体" w:eastAsia="宋体" w:hint="default"/>
                <w:sz w:val="18"/>
                <w:szCs w:val="18"/>
              </w:rPr>
              <w:t>/</w:t>
            </w:r>
            <w:r>
              <w:rPr>
                <w:rFonts w:ascii="宋体" w:hAnsi="宋体" w:cs="宋体" w:eastAsia="宋体" w:hint="default"/>
                <w:sz w:val="18"/>
                <w:szCs w:val="18"/>
              </w:rPr>
              <w:t>金融</w:t>
            </w:r>
          </w:p>
          <w:p>
            <w:pPr>
              <w:pStyle w:val="TableParagraph"/>
              <w:spacing w:line="232" w:lineRule="exact" w:before="23"/>
              <w:ind w:left="100" w:right="14"/>
              <w:jc w:val="left"/>
              <w:rPr>
                <w:rFonts w:ascii="宋体" w:hAnsi="宋体" w:cs="宋体" w:eastAsia="宋体" w:hint="default"/>
                <w:sz w:val="18"/>
                <w:szCs w:val="18"/>
              </w:rPr>
            </w:pPr>
            <w:r>
              <w:rPr>
                <w:rFonts w:ascii="宋体" w:hAnsi="宋体" w:cs="宋体" w:eastAsia="宋体" w:hint="default"/>
                <w:sz w:val="18"/>
                <w:szCs w:val="18"/>
              </w:rPr>
              <w:t>投资业</w:t>
            </w:r>
            <w:r>
              <w:rPr>
                <w:rFonts w:ascii="宋体" w:hAnsi="宋体" w:cs="宋体" w:eastAsia="宋体" w:hint="default"/>
                <w:sz w:val="18"/>
                <w:szCs w:val="18"/>
              </w:rPr>
              <w:t>/</w:t>
            </w:r>
            <w:r>
              <w:rPr>
                <w:rFonts w:ascii="宋体" w:hAnsi="宋体" w:cs="宋体" w:eastAsia="宋体" w:hint="default"/>
                <w:sz w:val="18"/>
                <w:szCs w:val="18"/>
              </w:rPr>
              <w:t>计算机 </w:t>
            </w:r>
            <w:r>
              <w:rPr>
                <w:rFonts w:ascii="宋体" w:hAnsi="宋体" w:cs="宋体" w:eastAsia="宋体" w:hint="default"/>
                <w:spacing w:val="-3"/>
                <w:sz w:val="18"/>
                <w:szCs w:val="18"/>
              </w:rPr>
              <w:t>软、硬件和耗材、</w:t>
            </w:r>
            <w:r>
              <w:rPr>
                <w:rFonts w:ascii="宋体" w:hAnsi="宋体" w:cs="宋体" w:eastAsia="宋体" w:hint="default"/>
                <w:sz w:val="18"/>
                <w:szCs w:val="18"/>
              </w:rPr>
              <w:t> 电子行业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100</w:t>
            </w: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475"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天津滨海用友软件有限公司</w:t>
            </w:r>
            <w:r>
              <w:rPr>
                <w:rFonts w:ascii="宋体" w:hAnsi="宋体" w:cs="宋体" w:eastAsia="宋体" w:hint="default"/>
                <w:sz w:val="18"/>
                <w:szCs w:val="18"/>
              </w:rPr>
              <w:t>(</w:t>
            </w:r>
            <w:r>
              <w:rPr>
                <w:rFonts w:ascii="宋体" w:hAnsi="宋体" w:cs="宋体" w:eastAsia="宋体" w:hint="default"/>
                <w:sz w:val="18"/>
                <w:szCs w:val="18"/>
              </w:rPr>
              <w:t>以下简称“滨海用友”)</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天津</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天津</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计算机技术及产</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品</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90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711"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三亚用友软件科技有限公司</w:t>
            </w:r>
            <w:r>
              <w:rPr>
                <w:rFonts w:ascii="宋体" w:hAnsi="宋体" w:cs="宋体" w:eastAsia="宋体" w:hint="default"/>
                <w:sz w:val="18"/>
                <w:szCs w:val="18"/>
              </w:rPr>
              <w:t>(</w:t>
            </w:r>
            <w:r>
              <w:rPr>
                <w:rFonts w:ascii="宋体" w:hAnsi="宋体" w:cs="宋体" w:eastAsia="宋体" w:hint="default"/>
                <w:sz w:val="18"/>
                <w:szCs w:val="18"/>
              </w:rPr>
              <w:t>以下简称“三亚用友”)</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三亚</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三亚</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软件研发和销</w:t>
            </w:r>
          </w:p>
          <w:p>
            <w:pPr>
              <w:pStyle w:val="TableParagraph"/>
              <w:spacing w:line="234" w:lineRule="exact" w:before="21"/>
              <w:ind w:left="100" w:right="122"/>
              <w:jc w:val="left"/>
              <w:rPr>
                <w:rFonts w:ascii="宋体" w:hAnsi="宋体" w:cs="宋体" w:eastAsia="宋体" w:hint="default"/>
                <w:sz w:val="18"/>
                <w:szCs w:val="18"/>
              </w:rPr>
            </w:pPr>
            <w:r>
              <w:rPr>
                <w:rFonts w:ascii="宋体" w:hAnsi="宋体" w:cs="宋体" w:eastAsia="宋体" w:hint="default"/>
                <w:sz w:val="18"/>
                <w:szCs w:val="18"/>
              </w:rPr>
              <w:t>售，</w:t>
            </w:r>
            <w:r>
              <w:rPr>
                <w:rFonts w:ascii="宋体" w:hAnsi="宋体" w:cs="宋体" w:eastAsia="宋体" w:hint="default"/>
                <w:sz w:val="18"/>
                <w:szCs w:val="18"/>
              </w:rPr>
              <w:t>IT</w:t>
            </w:r>
            <w:r>
              <w:rPr>
                <w:rFonts w:ascii="宋体" w:hAnsi="宋体" w:cs="宋体" w:eastAsia="宋体" w:hint="default"/>
                <w:spacing w:val="-44"/>
                <w:sz w:val="18"/>
                <w:szCs w:val="18"/>
              </w:rPr>
              <w:t> </w:t>
            </w:r>
            <w:r>
              <w:rPr>
                <w:rFonts w:ascii="宋体" w:hAnsi="宋体" w:cs="宋体" w:eastAsia="宋体" w:hint="default"/>
                <w:sz w:val="18"/>
                <w:szCs w:val="18"/>
              </w:rPr>
              <w:t>服务，技 术交流和培训</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100</w:t>
            </w: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478"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北京用友幸福投资管理有限公司</w:t>
            </w:r>
            <w:r>
              <w:rPr>
                <w:rFonts w:ascii="宋体" w:hAnsi="宋体" w:cs="宋体" w:eastAsia="宋体" w:hint="default"/>
                <w:sz w:val="18"/>
                <w:szCs w:val="18"/>
              </w:rPr>
              <w:t>(</w:t>
            </w:r>
            <w:r>
              <w:rPr>
                <w:rFonts w:ascii="宋体" w:hAnsi="宋体" w:cs="宋体" w:eastAsia="宋体" w:hint="default"/>
                <w:sz w:val="18"/>
                <w:szCs w:val="18"/>
              </w:rPr>
              <w:t>以下简称“幸福投</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资”)</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投资管理</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60</w:t>
            </w: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478"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北京用友创新投资中心</w:t>
            </w:r>
            <w:r>
              <w:rPr>
                <w:rFonts w:ascii="宋体" w:hAnsi="宋体" w:cs="宋体" w:eastAsia="宋体" w:hint="default"/>
                <w:sz w:val="18"/>
                <w:szCs w:val="18"/>
              </w:rPr>
              <w:t>(</w:t>
            </w:r>
            <w:r>
              <w:rPr>
                <w:rFonts w:ascii="宋体" w:hAnsi="宋体" w:cs="宋体" w:eastAsia="宋体" w:hint="default"/>
                <w:sz w:val="18"/>
                <w:szCs w:val="18"/>
              </w:rPr>
              <w:t>有限合伙</w:t>
            </w:r>
            <w:r>
              <w:rPr>
                <w:rFonts w:ascii="宋体" w:hAnsi="宋体" w:cs="宋体" w:eastAsia="宋体" w:hint="default"/>
                <w:sz w:val="18"/>
                <w:szCs w:val="18"/>
              </w:rPr>
              <w:t>)(</w:t>
            </w:r>
            <w:r>
              <w:rPr>
                <w:rFonts w:ascii="宋体" w:hAnsi="宋体" w:cs="宋体" w:eastAsia="宋体" w:hint="default"/>
                <w:sz w:val="18"/>
                <w:szCs w:val="18"/>
              </w:rPr>
              <w:t>以下简称“创新投</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资”)</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投资管理</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99</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4"/>
              <w:jc w:val="right"/>
              <w:rPr>
                <w:rFonts w:ascii="宋体" w:hAnsi="宋体" w:cs="宋体" w:eastAsia="宋体" w:hint="default"/>
                <w:sz w:val="18"/>
                <w:szCs w:val="18"/>
              </w:rPr>
            </w:pPr>
            <w:r>
              <w:rPr>
                <w:rFonts w:ascii="宋体"/>
                <w:sz w:val="18"/>
              </w:rPr>
              <w:t>1</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475"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畅捷通</w:t>
            </w:r>
            <w:r>
              <w:rPr>
                <w:rFonts w:ascii="宋体" w:hAnsi="宋体" w:cs="宋体" w:eastAsia="宋体" w:hint="default"/>
                <w:sz w:val="18"/>
                <w:szCs w:val="18"/>
              </w:rPr>
              <w:t>(</w:t>
            </w:r>
            <w:r>
              <w:rPr>
                <w:rFonts w:ascii="宋体" w:hAnsi="宋体" w:cs="宋体" w:eastAsia="宋体" w:hint="default"/>
                <w:sz w:val="18"/>
                <w:szCs w:val="18"/>
              </w:rPr>
              <w:t>注</w:t>
            </w:r>
            <w:r>
              <w:rPr>
                <w:rFonts w:ascii="宋体" w:hAnsi="宋体" w:cs="宋体" w:eastAsia="宋体" w:hint="default"/>
                <w:spacing w:val="-49"/>
                <w:sz w:val="18"/>
                <w:szCs w:val="18"/>
              </w:rPr>
              <w:t> </w:t>
            </w:r>
            <w:r>
              <w:rPr>
                <w:rFonts w:ascii="宋体" w:hAnsi="宋体" w:cs="宋体" w:eastAsia="宋体" w:hint="default"/>
                <w:sz w:val="18"/>
                <w:szCs w:val="18"/>
              </w:rPr>
              <w:t>1)</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w:t>
            </w:r>
            <w:r>
              <w:rPr>
                <w:rFonts w:ascii="宋体" w:hAnsi="宋体" w:cs="宋体" w:eastAsia="宋体" w:hint="default"/>
                <w:sz w:val="18"/>
                <w:szCs w:val="18"/>
              </w:rPr>
              <w:t>/</w:t>
            </w:r>
            <w:r>
              <w:rPr>
                <w:rFonts w:ascii="宋体" w:hAnsi="宋体" w:cs="宋体" w:eastAsia="宋体" w:hint="default"/>
                <w:sz w:val="18"/>
                <w:szCs w:val="18"/>
              </w:rPr>
              <w:t>硬件</w:t>
            </w:r>
            <w:r>
              <w:rPr>
                <w:rFonts w:ascii="宋体" w:hAnsi="宋体" w:cs="宋体" w:eastAsia="宋体" w:hint="default"/>
                <w:sz w:val="18"/>
                <w:szCs w:val="18"/>
              </w:rPr>
              <w:t>/</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耗材、电子行业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z w:val="18"/>
              </w:rPr>
              <w:t>68.94</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2.05</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946"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用友长伴管理咨询</w:t>
            </w:r>
            <w:r>
              <w:rPr>
                <w:rFonts w:ascii="宋体" w:hAnsi="宋体" w:cs="宋体" w:eastAsia="宋体" w:hint="default"/>
                <w:sz w:val="18"/>
                <w:szCs w:val="18"/>
              </w:rPr>
              <w:t>(</w:t>
            </w:r>
            <w:r>
              <w:rPr>
                <w:rFonts w:ascii="宋体" w:hAnsi="宋体" w:cs="宋体" w:eastAsia="宋体" w:hint="default"/>
                <w:sz w:val="18"/>
                <w:szCs w:val="18"/>
              </w:rPr>
              <w:t>上海</w:t>
            </w:r>
            <w:r>
              <w:rPr>
                <w:rFonts w:ascii="宋体" w:hAnsi="宋体" w:cs="宋体" w:eastAsia="宋体" w:hint="default"/>
                <w:sz w:val="18"/>
                <w:szCs w:val="18"/>
              </w:rPr>
              <w:t>)</w:t>
            </w:r>
            <w:r>
              <w:rPr>
                <w:rFonts w:ascii="宋体" w:hAnsi="宋体" w:cs="宋体" w:eastAsia="宋体" w:hint="default"/>
                <w:sz w:val="18"/>
                <w:szCs w:val="18"/>
              </w:rPr>
              <w:t>有限公司</w:t>
            </w:r>
            <w:r>
              <w:rPr>
                <w:rFonts w:ascii="宋体" w:hAnsi="宋体" w:cs="宋体" w:eastAsia="宋体" w:hint="default"/>
                <w:sz w:val="18"/>
                <w:szCs w:val="18"/>
              </w:rPr>
              <w:t>(</w:t>
            </w:r>
            <w:r>
              <w:rPr>
                <w:rFonts w:ascii="宋体" w:hAnsi="宋体" w:cs="宋体" w:eastAsia="宋体" w:hint="default"/>
                <w:sz w:val="18"/>
                <w:szCs w:val="18"/>
              </w:rPr>
              <w:t>以下简称“长伴咨</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询”)</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0" w:right="0"/>
              <w:jc w:val="both"/>
              <w:rPr>
                <w:rFonts w:ascii="宋体" w:hAnsi="宋体" w:cs="宋体" w:eastAsia="宋体" w:hint="default"/>
                <w:sz w:val="18"/>
                <w:szCs w:val="18"/>
              </w:rPr>
            </w:pPr>
            <w:r>
              <w:rPr>
                <w:rFonts w:ascii="宋体" w:hAnsi="宋体" w:cs="宋体" w:eastAsia="宋体" w:hint="default"/>
                <w:sz w:val="18"/>
                <w:szCs w:val="18"/>
              </w:rPr>
              <w:t>企业管理咨询</w:t>
            </w:r>
            <w:r>
              <w:rPr>
                <w:rFonts w:ascii="宋体" w:hAnsi="宋体" w:cs="宋体" w:eastAsia="宋体" w:hint="default"/>
                <w:sz w:val="18"/>
                <w:szCs w:val="18"/>
              </w:rPr>
              <w:t>/</w:t>
            </w:r>
          </w:p>
          <w:p>
            <w:pPr>
              <w:pStyle w:val="TableParagraph"/>
              <w:spacing w:line="232" w:lineRule="exact" w:before="23"/>
              <w:ind w:left="100" w:right="170"/>
              <w:jc w:val="both"/>
              <w:rPr>
                <w:rFonts w:ascii="宋体" w:hAnsi="宋体" w:cs="宋体" w:eastAsia="宋体" w:hint="default"/>
                <w:sz w:val="18"/>
                <w:szCs w:val="18"/>
              </w:rPr>
            </w:pPr>
            <w:r>
              <w:rPr>
                <w:rFonts w:ascii="宋体" w:hAnsi="宋体" w:cs="宋体" w:eastAsia="宋体" w:hint="default"/>
                <w:sz w:val="18"/>
                <w:szCs w:val="18"/>
              </w:rPr>
              <w:t>计算机应用系统 的规划、集成和 开发</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100</w:t>
            </w: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475"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新道科技</w:t>
            </w:r>
            <w:r>
              <w:rPr>
                <w:rFonts w:ascii="宋体" w:hAnsi="宋体" w:cs="宋体" w:eastAsia="宋体" w:hint="default"/>
                <w:sz w:val="18"/>
                <w:szCs w:val="18"/>
              </w:rPr>
              <w:t>(</w:t>
            </w:r>
            <w:r>
              <w:rPr>
                <w:rFonts w:ascii="宋体" w:hAnsi="宋体" w:cs="宋体" w:eastAsia="宋体" w:hint="default"/>
                <w:sz w:val="18"/>
                <w:szCs w:val="18"/>
              </w:rPr>
              <w:t>注</w:t>
            </w:r>
            <w:r>
              <w:rPr>
                <w:rFonts w:ascii="宋体" w:hAnsi="宋体" w:cs="宋体" w:eastAsia="宋体" w:hint="default"/>
                <w:spacing w:val="-49"/>
                <w:sz w:val="18"/>
                <w:szCs w:val="18"/>
              </w:rPr>
              <w:t> </w:t>
            </w:r>
            <w:r>
              <w:rPr>
                <w:rFonts w:ascii="宋体" w:hAnsi="宋体" w:cs="宋体" w:eastAsia="宋体" w:hint="default"/>
                <w:sz w:val="18"/>
                <w:szCs w:val="18"/>
              </w:rPr>
              <w:t>2)</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三亚</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三亚</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计算机软件</w:t>
            </w:r>
            <w:r>
              <w:rPr>
                <w:rFonts w:ascii="宋体" w:hAnsi="宋体" w:cs="宋体" w:eastAsia="宋体" w:hint="default"/>
                <w:sz w:val="18"/>
                <w:szCs w:val="18"/>
              </w:rPr>
              <w:t>/</w:t>
            </w:r>
            <w:r>
              <w:rPr>
                <w:rFonts w:ascii="宋体" w:hAnsi="宋体" w:cs="宋体" w:eastAsia="宋体" w:hint="default"/>
                <w:sz w:val="18"/>
                <w:szCs w:val="18"/>
              </w:rPr>
              <w:t>管</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理培训</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z w:val="18"/>
              </w:rPr>
              <w:t>57.97</w:t>
            </w: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711"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pacing w:val="-3"/>
                <w:sz w:val="18"/>
                <w:szCs w:val="18"/>
              </w:rPr>
              <w:t>用友云达信息技术服务（南昌）有限公司</w:t>
            </w:r>
            <w:r>
              <w:rPr>
                <w:rFonts w:ascii="宋体" w:hAnsi="宋体" w:cs="宋体" w:eastAsia="宋体" w:hint="default"/>
                <w:spacing w:val="-3"/>
                <w:sz w:val="18"/>
                <w:szCs w:val="18"/>
              </w:rPr>
              <w:t>(</w:t>
            </w:r>
            <w:r>
              <w:rPr>
                <w:rFonts w:ascii="宋体" w:hAnsi="宋体" w:cs="宋体" w:eastAsia="宋体" w:hint="default"/>
                <w:spacing w:val="-3"/>
                <w:sz w:val="18"/>
                <w:szCs w:val="18"/>
              </w:rPr>
              <w:t>以下简称”用</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友云达”)</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南昌</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南昌</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计算机软件</w:t>
            </w:r>
            <w:r>
              <w:rPr>
                <w:rFonts w:ascii="宋体" w:hAnsi="宋体" w:cs="宋体" w:eastAsia="宋体" w:hint="default"/>
                <w:sz w:val="18"/>
                <w:szCs w:val="18"/>
              </w:rPr>
              <w:t>/</w:t>
            </w:r>
            <w:r>
              <w:rPr>
                <w:rFonts w:ascii="宋体" w:hAnsi="宋体" w:cs="宋体" w:eastAsia="宋体" w:hint="default"/>
                <w:sz w:val="18"/>
                <w:szCs w:val="18"/>
              </w:rPr>
              <w:t>系</w:t>
            </w:r>
          </w:p>
          <w:p>
            <w:pPr>
              <w:pStyle w:val="TableParagraph"/>
              <w:spacing w:line="232" w:lineRule="exact" w:before="23"/>
              <w:ind w:left="100" w:right="259"/>
              <w:jc w:val="left"/>
              <w:rPr>
                <w:rFonts w:ascii="宋体" w:hAnsi="宋体" w:cs="宋体" w:eastAsia="宋体" w:hint="default"/>
                <w:sz w:val="18"/>
                <w:szCs w:val="18"/>
              </w:rPr>
            </w:pPr>
            <w:r>
              <w:rPr>
                <w:rFonts w:ascii="宋体" w:hAnsi="宋体" w:cs="宋体" w:eastAsia="宋体" w:hint="default"/>
                <w:sz w:val="18"/>
                <w:szCs w:val="18"/>
              </w:rPr>
              <w:t>统集成</w:t>
            </w:r>
            <w:r>
              <w:rPr>
                <w:rFonts w:ascii="宋体" w:hAnsi="宋体" w:cs="宋体" w:eastAsia="宋体" w:hint="default"/>
                <w:sz w:val="18"/>
                <w:szCs w:val="18"/>
              </w:rPr>
              <w:t>/</w:t>
            </w:r>
            <w:r>
              <w:rPr>
                <w:rFonts w:ascii="宋体" w:hAnsi="宋体" w:cs="宋体" w:eastAsia="宋体" w:hint="default"/>
                <w:sz w:val="18"/>
                <w:szCs w:val="18"/>
              </w:rPr>
              <w:t>咨询行 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100</w:t>
            </w: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478"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用友优普</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计算软件</w:t>
            </w:r>
            <w:r>
              <w:rPr>
                <w:rFonts w:ascii="宋体" w:hAnsi="宋体" w:cs="宋体" w:eastAsia="宋体" w:hint="default"/>
                <w:sz w:val="18"/>
                <w:szCs w:val="18"/>
              </w:rPr>
              <w:t>/</w:t>
            </w:r>
            <w:r>
              <w:rPr>
                <w:rFonts w:ascii="宋体" w:hAnsi="宋体" w:cs="宋体" w:eastAsia="宋体" w:hint="default"/>
                <w:sz w:val="18"/>
                <w:szCs w:val="18"/>
              </w:rPr>
              <w:t>系统</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集成</w:t>
            </w:r>
            <w:r>
              <w:rPr>
                <w:rFonts w:ascii="宋体" w:hAnsi="宋体" w:cs="宋体" w:eastAsia="宋体" w:hint="default"/>
                <w:sz w:val="18"/>
                <w:szCs w:val="18"/>
              </w:rPr>
              <w:t>/</w:t>
            </w:r>
            <w:r>
              <w:rPr>
                <w:rFonts w:ascii="宋体" w:hAnsi="宋体" w:cs="宋体" w:eastAsia="宋体" w:hint="default"/>
                <w:sz w:val="18"/>
                <w:szCs w:val="18"/>
              </w:rPr>
              <w:t>咨询行业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100</w:t>
            </w: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478"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深圳前海用友力合金融服务有限公司</w:t>
            </w:r>
            <w:r>
              <w:rPr>
                <w:rFonts w:ascii="宋体" w:hAnsi="宋体" w:cs="宋体" w:eastAsia="宋体" w:hint="default"/>
                <w:sz w:val="18"/>
                <w:szCs w:val="18"/>
              </w:rPr>
              <w:t>(</w:t>
            </w:r>
            <w:r>
              <w:rPr>
                <w:rFonts w:ascii="宋体" w:hAnsi="宋体" w:cs="宋体" w:eastAsia="宋体" w:hint="default"/>
                <w:sz w:val="18"/>
                <w:szCs w:val="18"/>
              </w:rPr>
              <w:t>以下简称“友金</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所”)(注</w:t>
            </w:r>
            <w:r>
              <w:rPr>
                <w:rFonts w:ascii="宋体" w:hAnsi="宋体" w:cs="宋体" w:eastAsia="宋体" w:hint="default"/>
                <w:spacing w:val="-43"/>
                <w:sz w:val="18"/>
                <w:szCs w:val="18"/>
              </w:rPr>
              <w:t> </w:t>
            </w:r>
            <w:r>
              <w:rPr>
                <w:rFonts w:ascii="宋体" w:hAnsi="宋体" w:cs="宋体" w:eastAsia="宋体" w:hint="default"/>
                <w:sz w:val="18"/>
                <w:szCs w:val="18"/>
              </w:rPr>
              <w:t>3)</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深圳</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深圳</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咨询管理</w:t>
            </w:r>
            <w:r>
              <w:rPr>
                <w:rFonts w:ascii="宋体" w:hAnsi="宋体" w:cs="宋体" w:eastAsia="宋体" w:hint="default"/>
                <w:sz w:val="18"/>
                <w:szCs w:val="18"/>
              </w:rPr>
              <w:t>/</w:t>
            </w:r>
            <w:r>
              <w:rPr>
                <w:rFonts w:ascii="宋体" w:hAnsi="宋体" w:cs="宋体" w:eastAsia="宋体" w:hint="default"/>
                <w:sz w:val="18"/>
                <w:szCs w:val="18"/>
              </w:rPr>
              <w:t>计算</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机软件</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z w:val="18"/>
              </w:rPr>
              <w:t>53.89</w:t>
            </w: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475"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用友移动</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计算机软硬件及</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设备行业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z w:val="18"/>
              </w:rPr>
              <w:t>30.20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69.80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478"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用友能源</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计算机技术及产</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品</w:t>
            </w:r>
            <w:r>
              <w:rPr>
                <w:rFonts w:ascii="宋体" w:hAnsi="宋体" w:cs="宋体" w:eastAsia="宋体" w:hint="default"/>
                <w:sz w:val="18"/>
                <w:szCs w:val="18"/>
              </w:rPr>
              <w:t>/</w:t>
            </w:r>
            <w:r>
              <w:rPr>
                <w:rFonts w:ascii="宋体" w:hAnsi="宋体" w:cs="宋体" w:eastAsia="宋体" w:hint="default"/>
                <w:sz w:val="18"/>
                <w:szCs w:val="18"/>
              </w:rPr>
              <w:t>咨询行业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100</w:t>
            </w: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478"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用友广信</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计算机技术及产</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品</w:t>
            </w:r>
            <w:r>
              <w:rPr>
                <w:rFonts w:ascii="宋体" w:hAnsi="宋体" w:cs="宋体" w:eastAsia="宋体" w:hint="default"/>
                <w:sz w:val="18"/>
                <w:szCs w:val="18"/>
              </w:rPr>
              <w:t>/</w:t>
            </w:r>
            <w:r>
              <w:rPr>
                <w:rFonts w:ascii="宋体" w:hAnsi="宋体" w:cs="宋体" w:eastAsia="宋体" w:hint="default"/>
                <w:sz w:val="18"/>
                <w:szCs w:val="18"/>
              </w:rPr>
              <w:t>咨询行业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75</w:t>
            </w: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478"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红火台餐饮云服务有限公司</w:t>
            </w:r>
            <w:r>
              <w:rPr>
                <w:rFonts w:ascii="宋体" w:hAnsi="宋体" w:cs="宋体" w:eastAsia="宋体" w:hint="default"/>
                <w:sz w:val="18"/>
                <w:szCs w:val="18"/>
              </w:rPr>
              <w:t>(</w:t>
            </w:r>
            <w:r>
              <w:rPr>
                <w:rFonts w:ascii="宋体" w:hAnsi="宋体" w:cs="宋体" w:eastAsia="宋体" w:hint="default"/>
                <w:sz w:val="18"/>
                <w:szCs w:val="18"/>
              </w:rPr>
              <w:t>以下简称“红火台”)(注</w:t>
            </w:r>
          </w:p>
          <w:p>
            <w:pPr>
              <w:pStyle w:val="TableParagraph"/>
              <w:spacing w:line="234" w:lineRule="exact"/>
              <w:ind w:left="103" w:right="0"/>
              <w:jc w:val="left"/>
              <w:rPr>
                <w:rFonts w:ascii="宋体" w:hAnsi="宋体" w:cs="宋体" w:eastAsia="宋体" w:hint="default"/>
                <w:sz w:val="18"/>
                <w:szCs w:val="18"/>
              </w:rPr>
            </w:pPr>
            <w:r>
              <w:rPr>
                <w:rFonts w:ascii="宋体"/>
                <w:sz w:val="18"/>
              </w:rPr>
              <w:t>4)</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计算机技术及产</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品</w:t>
            </w:r>
            <w:r>
              <w:rPr>
                <w:rFonts w:ascii="宋体" w:hAnsi="宋体" w:cs="宋体" w:eastAsia="宋体" w:hint="default"/>
                <w:sz w:val="18"/>
                <w:szCs w:val="18"/>
              </w:rPr>
              <w:t>/</w:t>
            </w:r>
            <w:r>
              <w:rPr>
                <w:rFonts w:ascii="宋体" w:hAnsi="宋体" w:cs="宋体" w:eastAsia="宋体" w:hint="default"/>
                <w:sz w:val="18"/>
                <w:szCs w:val="18"/>
              </w:rPr>
              <w:t>咨询行业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55</w:t>
            </w: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475"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用友超客网络科技有限公司（以下简称“用友超客”）</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计算机技术及产</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品</w:t>
            </w:r>
            <w:r>
              <w:rPr>
                <w:rFonts w:ascii="宋体" w:hAnsi="宋体" w:cs="宋体" w:eastAsia="宋体" w:hint="default"/>
                <w:sz w:val="18"/>
                <w:szCs w:val="18"/>
              </w:rPr>
              <w:t>/</w:t>
            </w:r>
            <w:r>
              <w:rPr>
                <w:rFonts w:ascii="宋体" w:hAnsi="宋体" w:cs="宋体" w:eastAsia="宋体" w:hint="default"/>
                <w:sz w:val="18"/>
                <w:szCs w:val="18"/>
              </w:rPr>
              <w:t>咨询行业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z w:val="18"/>
              </w:rPr>
              <w:t>65.45</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34.55</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478"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3"/>
                <w:sz w:val="18"/>
                <w:szCs w:val="18"/>
              </w:rPr>
              <w:t>北京用友薪福社云科技有限公司（以下简称“薪福社”）</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注</w:t>
            </w:r>
            <w:r>
              <w:rPr>
                <w:rFonts w:ascii="宋体" w:hAnsi="宋体" w:cs="宋体" w:eastAsia="宋体" w:hint="default"/>
                <w:spacing w:val="-48"/>
                <w:sz w:val="18"/>
                <w:szCs w:val="18"/>
              </w:rPr>
              <w:t> </w:t>
            </w:r>
            <w:r>
              <w:rPr>
                <w:rFonts w:ascii="宋体" w:hAnsi="宋体" w:cs="宋体" w:eastAsia="宋体" w:hint="default"/>
                <w:sz w:val="18"/>
                <w:szCs w:val="18"/>
              </w:rPr>
              <w:t>5)</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计算机技术及产</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品</w:t>
            </w:r>
            <w:r>
              <w:rPr>
                <w:rFonts w:ascii="宋体" w:hAnsi="宋体" w:cs="宋体" w:eastAsia="宋体" w:hint="default"/>
                <w:sz w:val="18"/>
                <w:szCs w:val="18"/>
              </w:rPr>
              <w:t>/</w:t>
            </w:r>
            <w:r>
              <w:rPr>
                <w:rFonts w:ascii="宋体" w:hAnsi="宋体" w:cs="宋体" w:eastAsia="宋体" w:hint="default"/>
                <w:sz w:val="18"/>
                <w:szCs w:val="18"/>
              </w:rPr>
              <w:t>咨询行业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60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31.67</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478"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3"/>
                <w:sz w:val="18"/>
                <w:szCs w:val="18"/>
              </w:rPr>
              <w:t>用友建筑云服务有限公司（以下简称“用友建筑”）</w:t>
            </w:r>
            <w:r>
              <w:rPr>
                <w:rFonts w:ascii="宋体" w:hAnsi="宋体" w:cs="宋体" w:eastAsia="宋体" w:hint="default"/>
                <w:spacing w:val="-3"/>
                <w:sz w:val="18"/>
                <w:szCs w:val="18"/>
              </w:rPr>
              <w:t>(</w:t>
            </w:r>
            <w:r>
              <w:rPr>
                <w:rFonts w:ascii="宋体" w:hAnsi="宋体" w:cs="宋体" w:eastAsia="宋体" w:hint="default"/>
                <w:spacing w:val="-3"/>
                <w:sz w:val="18"/>
                <w:szCs w:val="18"/>
              </w:rPr>
              <w:t>注</w:t>
            </w:r>
          </w:p>
          <w:p>
            <w:pPr>
              <w:pStyle w:val="TableParagraph"/>
              <w:spacing w:line="234" w:lineRule="exact"/>
              <w:ind w:left="103" w:right="0"/>
              <w:jc w:val="left"/>
              <w:rPr>
                <w:rFonts w:ascii="宋体" w:hAnsi="宋体" w:cs="宋体" w:eastAsia="宋体" w:hint="default"/>
                <w:sz w:val="18"/>
                <w:szCs w:val="18"/>
              </w:rPr>
            </w:pPr>
            <w:r>
              <w:rPr>
                <w:rFonts w:ascii="宋体"/>
                <w:sz w:val="18"/>
              </w:rPr>
              <w:t>6)</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计算机技术及产</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品</w:t>
            </w:r>
            <w:r>
              <w:rPr>
                <w:rFonts w:ascii="宋体" w:hAnsi="宋体" w:cs="宋体" w:eastAsia="宋体" w:hint="default"/>
                <w:sz w:val="18"/>
                <w:szCs w:val="18"/>
              </w:rPr>
              <w:t>/</w:t>
            </w:r>
            <w:r>
              <w:rPr>
                <w:rFonts w:ascii="宋体" w:hAnsi="宋体" w:cs="宋体" w:eastAsia="宋体" w:hint="default"/>
                <w:sz w:val="18"/>
                <w:szCs w:val="18"/>
              </w:rPr>
              <w:t>咨询行业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55</w:t>
            </w: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475"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北京畅捷通支付技术有限公司</w:t>
            </w:r>
            <w:r>
              <w:rPr>
                <w:rFonts w:ascii="宋体" w:hAnsi="宋体" w:cs="宋体" w:eastAsia="宋体" w:hint="default"/>
                <w:sz w:val="18"/>
                <w:szCs w:val="18"/>
              </w:rPr>
              <w:t>(</w:t>
            </w:r>
            <w:r>
              <w:rPr>
                <w:rFonts w:ascii="宋体" w:hAnsi="宋体" w:cs="宋体" w:eastAsia="宋体" w:hint="default"/>
                <w:sz w:val="18"/>
                <w:szCs w:val="18"/>
              </w:rPr>
              <w:t>以下简称”畅捷支</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付”)(注</w:t>
            </w:r>
            <w:r>
              <w:rPr>
                <w:rFonts w:ascii="宋体" w:hAnsi="宋体" w:cs="宋体" w:eastAsia="宋体" w:hint="default"/>
                <w:spacing w:val="-43"/>
                <w:sz w:val="18"/>
                <w:szCs w:val="18"/>
              </w:rPr>
              <w:t> </w:t>
            </w:r>
            <w:r>
              <w:rPr>
                <w:rFonts w:ascii="宋体" w:hAnsi="宋体" w:cs="宋体" w:eastAsia="宋体" w:hint="default"/>
                <w:sz w:val="18"/>
                <w:szCs w:val="18"/>
              </w:rPr>
              <w:t>7)</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92" w:right="0"/>
              <w:jc w:val="left"/>
              <w:rPr>
                <w:rFonts w:ascii="宋体" w:hAnsi="宋体" w:cs="宋体" w:eastAsia="宋体" w:hint="default"/>
                <w:sz w:val="18"/>
                <w:szCs w:val="18"/>
              </w:rPr>
            </w:pPr>
            <w:r>
              <w:rPr>
                <w:rFonts w:ascii="宋体" w:hAnsi="宋体" w:cs="宋体" w:eastAsia="宋体" w:hint="default"/>
                <w:spacing w:val="-4"/>
                <w:sz w:val="18"/>
                <w:szCs w:val="18"/>
              </w:rPr>
              <w:t>互联网支付、银</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行卡收单</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z w:val="18"/>
              </w:rPr>
              <w:t>80.72</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19.28</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设立或</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w:t>
            </w:r>
          </w:p>
        </w:tc>
      </w:tr>
      <w:tr>
        <w:trPr>
          <w:trHeight w:val="478"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用友审计</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4"/>
                <w:sz w:val="18"/>
                <w:szCs w:val="18"/>
              </w:rPr>
              <w:t>计算机软、硬件</w:t>
            </w:r>
            <w:r>
              <w:rPr>
                <w:rFonts w:ascii="宋体" w:hAnsi="宋体" w:cs="宋体" w:eastAsia="宋体" w:hint="default"/>
                <w:spacing w:val="-4"/>
                <w:sz w:val="18"/>
                <w:szCs w:val="18"/>
              </w:rPr>
              <w:t>/</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系统集成行业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3"/>
              <w:jc w:val="right"/>
              <w:rPr>
                <w:rFonts w:ascii="宋体" w:hAnsi="宋体" w:cs="宋体" w:eastAsia="宋体" w:hint="default"/>
                <w:sz w:val="18"/>
                <w:szCs w:val="18"/>
              </w:rPr>
            </w:pPr>
            <w:r>
              <w:rPr>
                <w:rFonts w:ascii="宋体"/>
                <w:sz w:val="18"/>
              </w:rPr>
              <w:t>73.80</w:t>
            </w: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企业合</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并</w:t>
            </w:r>
          </w:p>
        </w:tc>
      </w:tr>
      <w:tr>
        <w:trPr>
          <w:trHeight w:val="710"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用友汽车</w:t>
            </w:r>
            <w:r>
              <w:rPr>
                <w:rFonts w:ascii="宋体" w:hAnsi="宋体" w:cs="宋体" w:eastAsia="宋体" w:hint="default"/>
                <w:sz w:val="18"/>
                <w:szCs w:val="18"/>
              </w:rPr>
              <w:t>(</w:t>
            </w:r>
            <w:r>
              <w:rPr>
                <w:rFonts w:ascii="宋体" w:hAnsi="宋体" w:cs="宋体" w:eastAsia="宋体" w:hint="default"/>
                <w:sz w:val="18"/>
                <w:szCs w:val="18"/>
              </w:rPr>
              <w:t>注</w:t>
            </w:r>
            <w:r>
              <w:rPr>
                <w:rFonts w:ascii="宋体" w:hAnsi="宋体" w:cs="宋体" w:eastAsia="宋体" w:hint="default"/>
                <w:spacing w:val="-49"/>
                <w:sz w:val="18"/>
                <w:szCs w:val="18"/>
              </w:rPr>
              <w:t> </w:t>
            </w:r>
            <w:r>
              <w:rPr>
                <w:rFonts w:ascii="宋体" w:hAnsi="宋体" w:cs="宋体" w:eastAsia="宋体" w:hint="default"/>
                <w:sz w:val="18"/>
                <w:szCs w:val="18"/>
              </w:rPr>
              <w:t>8)</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计算机软件</w:t>
            </w:r>
            <w:r>
              <w:rPr>
                <w:rFonts w:ascii="宋体" w:hAnsi="宋体" w:cs="宋体" w:eastAsia="宋体" w:hint="default"/>
                <w:sz w:val="18"/>
                <w:szCs w:val="18"/>
              </w:rPr>
              <w:t>/</w:t>
            </w:r>
            <w:r>
              <w:rPr>
                <w:rFonts w:ascii="宋体" w:hAnsi="宋体" w:cs="宋体" w:eastAsia="宋体" w:hint="default"/>
                <w:sz w:val="18"/>
                <w:szCs w:val="18"/>
              </w:rPr>
              <w:t>系</w:t>
            </w:r>
          </w:p>
          <w:p>
            <w:pPr>
              <w:pStyle w:val="TableParagraph"/>
              <w:spacing w:line="240" w:lineRule="auto"/>
              <w:ind w:left="100" w:right="259"/>
              <w:jc w:val="left"/>
              <w:rPr>
                <w:rFonts w:ascii="宋体" w:hAnsi="宋体" w:cs="宋体" w:eastAsia="宋体" w:hint="default"/>
                <w:sz w:val="18"/>
                <w:szCs w:val="18"/>
              </w:rPr>
            </w:pPr>
            <w:r>
              <w:rPr>
                <w:rFonts w:ascii="宋体" w:hAnsi="宋体" w:cs="宋体" w:eastAsia="宋体" w:hint="default"/>
                <w:sz w:val="18"/>
                <w:szCs w:val="18"/>
              </w:rPr>
              <w:t>统集成</w:t>
            </w:r>
            <w:r>
              <w:rPr>
                <w:rFonts w:ascii="宋体" w:hAnsi="宋体" w:cs="宋体" w:eastAsia="宋体" w:hint="default"/>
                <w:sz w:val="18"/>
                <w:szCs w:val="18"/>
              </w:rPr>
              <w:t>/</w:t>
            </w:r>
            <w:r>
              <w:rPr>
                <w:rFonts w:ascii="宋体" w:hAnsi="宋体" w:cs="宋体" w:eastAsia="宋体" w:hint="default"/>
                <w:sz w:val="18"/>
                <w:szCs w:val="18"/>
              </w:rPr>
              <w:t>咨询行 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z w:val="18"/>
              </w:rPr>
              <w:t>79.59</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0.80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企业合</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并</w:t>
            </w:r>
          </w:p>
        </w:tc>
      </w:tr>
      <w:tr>
        <w:trPr>
          <w:trHeight w:val="711"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秉钧网络</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计算机软件</w:t>
            </w:r>
            <w:r>
              <w:rPr>
                <w:rFonts w:ascii="宋体" w:hAnsi="宋体" w:cs="宋体" w:eastAsia="宋体" w:hint="default"/>
                <w:sz w:val="18"/>
                <w:szCs w:val="18"/>
              </w:rPr>
              <w:t>/</w:t>
            </w:r>
            <w:r>
              <w:rPr>
                <w:rFonts w:ascii="宋体" w:hAnsi="宋体" w:cs="宋体" w:eastAsia="宋体" w:hint="default"/>
                <w:sz w:val="18"/>
                <w:szCs w:val="18"/>
              </w:rPr>
              <w:t>系</w:t>
            </w:r>
          </w:p>
          <w:p>
            <w:pPr>
              <w:pStyle w:val="TableParagraph"/>
              <w:spacing w:line="240" w:lineRule="auto"/>
              <w:ind w:left="100" w:right="259"/>
              <w:jc w:val="left"/>
              <w:rPr>
                <w:rFonts w:ascii="宋体" w:hAnsi="宋体" w:cs="宋体" w:eastAsia="宋体" w:hint="default"/>
                <w:sz w:val="18"/>
                <w:szCs w:val="18"/>
              </w:rPr>
            </w:pPr>
            <w:r>
              <w:rPr>
                <w:rFonts w:ascii="宋体" w:hAnsi="宋体" w:cs="宋体" w:eastAsia="宋体" w:hint="default"/>
                <w:sz w:val="18"/>
                <w:szCs w:val="18"/>
              </w:rPr>
              <w:t>统集成</w:t>
            </w:r>
            <w:r>
              <w:rPr>
                <w:rFonts w:ascii="宋体" w:hAnsi="宋体" w:cs="宋体" w:eastAsia="宋体" w:hint="default"/>
                <w:sz w:val="18"/>
                <w:szCs w:val="18"/>
              </w:rPr>
              <w:t>/</w:t>
            </w:r>
            <w:r>
              <w:rPr>
                <w:rFonts w:ascii="宋体" w:hAnsi="宋体" w:cs="宋体" w:eastAsia="宋体" w:hint="default"/>
                <w:sz w:val="18"/>
                <w:szCs w:val="18"/>
              </w:rPr>
              <w:t>咨询行 业</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70</w:t>
            </w: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企业合</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并</w:t>
            </w:r>
          </w:p>
        </w:tc>
      </w:tr>
    </w:tbl>
    <w:p>
      <w:pPr>
        <w:spacing w:after="0" w:line="234" w:lineRule="exact"/>
        <w:jc w:val="left"/>
        <w:rPr>
          <w:rFonts w:ascii="宋体" w:hAnsi="宋体" w:cs="宋体" w:eastAsia="宋体" w:hint="default"/>
          <w:sz w:val="18"/>
          <w:szCs w:val="18"/>
        </w:rPr>
        <w:sectPr>
          <w:pgSz w:w="11910" w:h="16840"/>
          <w:pgMar w:header="857" w:footer="1195" w:top="1320" w:bottom="1380" w:left="1280" w:right="760"/>
        </w:sectPr>
      </w:pPr>
    </w:p>
    <w:p>
      <w:pPr>
        <w:spacing w:line="240" w:lineRule="auto" w:before="6"/>
        <w:rPr>
          <w:rFonts w:ascii="Times New Roman" w:hAnsi="Times New Roman" w:cs="Times New Roman" w:eastAsia="Times New Roman" w:hint="default"/>
          <w:sz w:val="16"/>
          <w:szCs w:val="16"/>
        </w:rPr>
      </w:pPr>
    </w:p>
    <w:tbl>
      <w:tblPr>
        <w:tblW w:w="0" w:type="auto"/>
        <w:jc w:val="left"/>
        <w:tblInd w:w="112" w:type="dxa"/>
        <w:tblLayout w:type="fixed"/>
        <w:tblCellMar>
          <w:top w:w="0" w:type="dxa"/>
          <w:left w:w="0" w:type="dxa"/>
          <w:bottom w:w="0" w:type="dxa"/>
          <w:right w:w="0" w:type="dxa"/>
        </w:tblCellMar>
        <w:tblLook w:val="01E0"/>
      </w:tblPr>
      <w:tblGrid>
        <w:gridCol w:w="4563"/>
        <w:gridCol w:w="653"/>
        <w:gridCol w:w="598"/>
        <w:gridCol w:w="1543"/>
        <w:gridCol w:w="685"/>
        <w:gridCol w:w="684"/>
        <w:gridCol w:w="910"/>
      </w:tblGrid>
      <w:tr>
        <w:trPr>
          <w:trHeight w:val="478" w:hRule="exact"/>
        </w:trPr>
        <w:tc>
          <w:tcPr>
            <w:tcW w:w="4563"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前海民太安保险经纪有限公司</w:t>
            </w:r>
            <w:r>
              <w:rPr>
                <w:rFonts w:ascii="宋体" w:hAnsi="宋体" w:cs="宋体" w:eastAsia="宋体" w:hint="default"/>
                <w:sz w:val="18"/>
                <w:szCs w:val="18"/>
              </w:rPr>
              <w:t>(</w:t>
            </w:r>
            <w:r>
              <w:rPr>
                <w:rFonts w:ascii="宋体" w:hAnsi="宋体" w:cs="宋体" w:eastAsia="宋体" w:hint="default"/>
                <w:sz w:val="18"/>
                <w:szCs w:val="18"/>
              </w:rPr>
              <w:t>以下简称”民太安保</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险”)(注</w:t>
            </w:r>
            <w:r>
              <w:rPr>
                <w:rFonts w:ascii="宋体" w:hAnsi="宋体" w:cs="宋体" w:eastAsia="宋体" w:hint="default"/>
                <w:spacing w:val="-43"/>
                <w:sz w:val="18"/>
                <w:szCs w:val="18"/>
              </w:rPr>
              <w:t> </w:t>
            </w:r>
            <w:r>
              <w:rPr>
                <w:rFonts w:ascii="宋体" w:hAnsi="宋体" w:cs="宋体" w:eastAsia="宋体" w:hint="default"/>
                <w:sz w:val="18"/>
                <w:szCs w:val="18"/>
              </w:rPr>
              <w:t>9)</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深圳</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深圳</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市</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保险、咨询</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389" w:right="0"/>
              <w:jc w:val="left"/>
              <w:rPr>
                <w:rFonts w:ascii="宋体" w:hAnsi="宋体" w:cs="宋体" w:eastAsia="宋体" w:hint="default"/>
                <w:sz w:val="18"/>
                <w:szCs w:val="18"/>
              </w:rPr>
            </w:pPr>
            <w:r>
              <w:rPr>
                <w:rFonts w:ascii="宋体"/>
                <w:sz w:val="18"/>
              </w:rPr>
              <w:t>60</w:t>
            </w: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企业合</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并</w:t>
            </w:r>
          </w:p>
        </w:tc>
      </w:tr>
      <w:tr>
        <w:trPr>
          <w:trHeight w:val="283" w:hRule="exact"/>
        </w:trPr>
        <w:tc>
          <w:tcPr>
            <w:tcW w:w="4563"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598" w:type="dxa"/>
            <w:tcBorders>
              <w:top w:val="single" w:sz="4" w:space="0" w:color="000000"/>
              <w:left w:val="single" w:sz="4" w:space="0" w:color="000000"/>
              <w:bottom w:val="single" w:sz="4" w:space="0" w:color="000000"/>
              <w:right w:val="single" w:sz="4" w:space="0" w:color="000000"/>
            </w:tcBorders>
          </w:tcPr>
          <w:p>
            <w:pPr/>
          </w:p>
        </w:tc>
        <w:tc>
          <w:tcPr>
            <w:tcW w:w="1543"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5"/>
        <w:rPr>
          <w:rFonts w:ascii="Times New Roman" w:hAnsi="Times New Roman" w:cs="Times New Roman" w:eastAsia="Times New Roman" w:hint="default"/>
          <w:sz w:val="17"/>
          <w:szCs w:val="17"/>
        </w:rPr>
      </w:pPr>
    </w:p>
    <w:p>
      <w:pPr>
        <w:pStyle w:val="BodyText"/>
        <w:spacing w:line="240" w:lineRule="auto" w:before="36"/>
        <w:ind w:left="518" w:right="0"/>
        <w:jc w:val="left"/>
      </w:pPr>
      <w:r>
        <w:rPr/>
        <w:t>在子公司的持股比例不同于表决权比例的说明：</w:t>
      </w:r>
      <w:r>
        <w:rPr>
          <w:w w:val="100"/>
        </w:rPr>
        <w:t> </w:t>
      </w:r>
      <w:r>
        <w:rPr>
          <w:spacing w:val="-2"/>
        </w:rPr>
        <w:t>本集团子公司不存在持股比例与表决权不一致的情况。</w:t>
      </w:r>
    </w:p>
    <w:p>
      <w:pPr>
        <w:spacing w:line="240" w:lineRule="auto" w:before="8"/>
        <w:rPr>
          <w:rFonts w:ascii="宋体" w:hAnsi="宋体" w:cs="宋体" w:eastAsia="宋体" w:hint="default"/>
          <w:sz w:val="20"/>
          <w:szCs w:val="20"/>
        </w:rPr>
      </w:pPr>
    </w:p>
    <w:p>
      <w:pPr>
        <w:pStyle w:val="BodyText"/>
        <w:spacing w:line="273" w:lineRule="exact"/>
        <w:ind w:left="518" w:right="0"/>
        <w:jc w:val="both"/>
      </w:pPr>
      <w:r>
        <w:rPr/>
        <w:t>其他说明：</w:t>
      </w:r>
    </w:p>
    <w:p>
      <w:pPr>
        <w:pStyle w:val="BodyText"/>
        <w:spacing w:line="237" w:lineRule="auto"/>
        <w:ind w:left="518" w:right="508"/>
        <w:jc w:val="both"/>
      </w:pPr>
      <w:r>
        <w:rPr/>
        <w:t>注</w:t>
      </w:r>
      <w:r>
        <w:rPr>
          <w:spacing w:val="6"/>
        </w:rPr>
        <w:t> </w:t>
      </w:r>
      <w:r>
        <w:rPr>
          <w:rFonts w:ascii="宋体" w:hAnsi="宋体" w:cs="宋体" w:eastAsia="宋体" w:hint="default"/>
        </w:rPr>
        <w:t>1</w:t>
      </w:r>
      <w:r>
        <w:rPr/>
        <w:t>．本公司之子公司创新投资与国民信托有限责任公司、北京通云济天投资管理中心（有限合</w:t>
      </w:r>
      <w:r>
        <w:rPr>
          <w:w w:val="100"/>
        </w:rPr>
        <w:t> </w:t>
      </w:r>
      <w:r>
        <w:rPr/>
        <w:t>伙）分别签订股权购买协议，合计收购畅捷通内资股</w:t>
      </w:r>
      <w:r>
        <w:rPr>
          <w:spacing w:val="-49"/>
        </w:rPr>
        <w:t> </w:t>
      </w:r>
      <w:r>
        <w:rPr>
          <w:rFonts w:ascii="宋体" w:hAnsi="宋体" w:cs="宋体" w:eastAsia="宋体" w:hint="default"/>
        </w:rPr>
        <w:t>347,952</w:t>
      </w:r>
      <w:r>
        <w:rPr>
          <w:rFonts w:ascii="宋体" w:hAnsi="宋体" w:cs="宋体" w:eastAsia="宋体" w:hint="default"/>
          <w:spacing w:val="-51"/>
        </w:rPr>
        <w:t> </w:t>
      </w:r>
      <w:r>
        <w:rPr/>
        <w:t>股股份，收购完成后，创新投资对</w:t>
      </w:r>
      <w:r>
        <w:rPr>
          <w:w w:val="100"/>
        </w:rPr>
        <w:t> </w:t>
      </w:r>
      <w:r>
        <w:rPr/>
        <w:t>畅捷通持股比例变更为</w:t>
      </w:r>
      <w:r>
        <w:rPr>
          <w:spacing w:val="-57"/>
        </w:rPr>
        <w:t> </w:t>
      </w:r>
      <w:r>
        <w:rPr>
          <w:rFonts w:ascii="宋体" w:hAnsi="宋体" w:cs="宋体" w:eastAsia="宋体" w:hint="default"/>
        </w:rPr>
        <w:t>1.74%,</w:t>
      </w:r>
      <w:r>
        <w:rPr/>
        <w:t>本集团对畅捷通持股比例变更为</w:t>
      </w:r>
      <w:r>
        <w:rPr>
          <w:spacing w:val="-58"/>
        </w:rPr>
        <w:t> </w:t>
      </w:r>
      <w:r>
        <w:rPr>
          <w:rFonts w:ascii="宋体" w:hAnsi="宋体" w:cs="宋体" w:eastAsia="宋体" w:hint="default"/>
        </w:rPr>
        <w:t>70.99%</w:t>
      </w:r>
      <w:r>
        <w:rPr/>
        <w:t>。</w:t>
      </w:r>
    </w:p>
    <w:p>
      <w:pPr>
        <w:spacing w:line="240" w:lineRule="auto" w:before="9"/>
        <w:rPr>
          <w:rFonts w:ascii="宋体" w:hAnsi="宋体" w:cs="宋体" w:eastAsia="宋体" w:hint="default"/>
          <w:sz w:val="20"/>
          <w:szCs w:val="20"/>
        </w:rPr>
      </w:pPr>
    </w:p>
    <w:p>
      <w:pPr>
        <w:pStyle w:val="BodyText"/>
        <w:spacing w:line="274" w:lineRule="exact"/>
        <w:ind w:left="518" w:right="0"/>
        <w:jc w:val="both"/>
        <w:rPr>
          <w:rFonts w:ascii="宋体" w:hAnsi="宋体" w:cs="宋体" w:eastAsia="宋体" w:hint="default"/>
        </w:rPr>
      </w:pPr>
      <w:r>
        <w:rPr/>
        <w:t>注</w:t>
      </w:r>
      <w:r>
        <w:rPr>
          <w:spacing w:val="-38"/>
        </w:rPr>
        <w:t> </w:t>
      </w:r>
      <w:r>
        <w:rPr>
          <w:rFonts w:ascii="宋体" w:hAnsi="宋体" w:cs="宋体" w:eastAsia="宋体" w:hint="default"/>
          <w:spacing w:val="-5"/>
        </w:rPr>
        <w:t>2</w:t>
      </w:r>
      <w:r>
        <w:rPr>
          <w:spacing w:val="-5"/>
        </w:rPr>
        <w:t>．本公司之子公司新道科技以原股本</w:t>
      </w:r>
      <w:r>
        <w:rPr>
          <w:spacing w:val="-38"/>
        </w:rPr>
        <w:t> </w:t>
      </w:r>
      <w:r>
        <w:rPr>
          <w:rFonts w:ascii="宋体" w:hAnsi="宋体" w:cs="宋体" w:eastAsia="宋体" w:hint="default"/>
        </w:rPr>
        <w:t>180,270,000.00</w:t>
      </w:r>
      <w:r>
        <w:rPr>
          <w:rFonts w:ascii="宋体" w:hAnsi="宋体" w:cs="宋体" w:eastAsia="宋体" w:hint="default"/>
          <w:spacing w:val="-40"/>
        </w:rPr>
        <w:t> </w:t>
      </w:r>
      <w:r>
        <w:rPr>
          <w:spacing w:val="-5"/>
        </w:rPr>
        <w:t>元为基数，以资本公积向全体股东每</w:t>
      </w:r>
      <w:r>
        <w:rPr>
          <w:spacing w:val="-38"/>
        </w:rPr>
        <w:t> </w:t>
      </w:r>
      <w:r>
        <w:rPr>
          <w:rFonts w:ascii="宋体" w:hAnsi="宋体" w:cs="宋体" w:eastAsia="宋体" w:hint="default"/>
        </w:rPr>
        <w:t>10</w:t>
      </w:r>
    </w:p>
    <w:p>
      <w:pPr>
        <w:pStyle w:val="BodyText"/>
        <w:spacing w:line="272" w:lineRule="exact" w:before="27"/>
        <w:ind w:left="518" w:right="508"/>
        <w:jc w:val="both"/>
      </w:pPr>
      <w:r>
        <w:rPr/>
        <w:t>股转增</w:t>
      </w:r>
      <w:r>
        <w:rPr>
          <w:spacing w:val="-50"/>
        </w:rPr>
        <w:t> </w:t>
      </w:r>
      <w:r>
        <w:rPr>
          <w:rFonts w:ascii="宋体" w:hAnsi="宋体" w:cs="宋体" w:eastAsia="宋体" w:hint="default"/>
        </w:rPr>
        <w:t>2</w:t>
      </w:r>
      <w:r>
        <w:rPr>
          <w:rFonts w:ascii="宋体" w:hAnsi="宋体" w:cs="宋体" w:eastAsia="宋体" w:hint="default"/>
          <w:spacing w:val="-53"/>
        </w:rPr>
        <w:t> </w:t>
      </w:r>
      <w:r>
        <w:rPr/>
        <w:t>股，共计转增</w:t>
      </w:r>
      <w:r>
        <w:rPr>
          <w:spacing w:val="-50"/>
        </w:rPr>
        <w:t> </w:t>
      </w:r>
      <w:r>
        <w:rPr>
          <w:rFonts w:ascii="宋体" w:hAnsi="宋体" w:cs="宋体" w:eastAsia="宋体" w:hint="default"/>
        </w:rPr>
        <w:t>36,054,000.00</w:t>
      </w:r>
      <w:r>
        <w:rPr>
          <w:rFonts w:ascii="宋体" w:hAnsi="宋体" w:cs="宋体" w:eastAsia="宋体" w:hint="default"/>
          <w:spacing w:val="-53"/>
        </w:rPr>
        <w:t> </w:t>
      </w:r>
      <w:r>
        <w:rPr/>
        <w:t>元。转增资本不影响股权结构，本公司对其持股比例仍为</w:t>
      </w:r>
      <w:r>
        <w:rPr>
          <w:w w:val="100"/>
        </w:rPr>
        <w:t> </w:t>
      </w:r>
      <w:r>
        <w:rPr>
          <w:rFonts w:ascii="宋体" w:hAnsi="宋体" w:cs="宋体" w:eastAsia="宋体" w:hint="default"/>
        </w:rPr>
        <w:t>57.97%</w:t>
      </w:r>
      <w:r>
        <w:rPr/>
        <w:t>。</w:t>
      </w:r>
    </w:p>
    <w:p>
      <w:pPr>
        <w:spacing w:line="240" w:lineRule="auto" w:before="10"/>
        <w:rPr>
          <w:rFonts w:ascii="宋体" w:hAnsi="宋体" w:cs="宋体" w:eastAsia="宋体" w:hint="default"/>
          <w:sz w:val="18"/>
          <w:szCs w:val="18"/>
        </w:rPr>
      </w:pPr>
    </w:p>
    <w:p>
      <w:pPr>
        <w:pStyle w:val="BodyText"/>
        <w:spacing w:line="240" w:lineRule="auto"/>
        <w:ind w:left="518" w:right="508"/>
        <w:jc w:val="both"/>
      </w:pPr>
      <w:r>
        <w:rPr/>
        <w:t>注</w:t>
      </w:r>
      <w:r>
        <w:rPr>
          <w:spacing w:val="6"/>
        </w:rPr>
        <w:t> </w:t>
      </w:r>
      <w:r>
        <w:rPr>
          <w:rFonts w:ascii="宋体" w:hAnsi="宋体" w:cs="宋体" w:eastAsia="宋体" w:hint="default"/>
        </w:rPr>
        <w:t>3</w:t>
      </w:r>
      <w:r>
        <w:rPr/>
        <w:t>．本公司之子公司友金所少数股东本年对用友力合进行了增资，增资完成后用友力合实收资</w:t>
      </w:r>
      <w:r>
        <w:rPr>
          <w:w w:val="100"/>
        </w:rPr>
        <w:t> </w:t>
      </w:r>
      <w:r>
        <w:rPr/>
        <w:t>本为人民币</w:t>
      </w:r>
      <w:r>
        <w:rPr>
          <w:spacing w:val="-55"/>
        </w:rPr>
        <w:t> </w:t>
      </w:r>
      <w:r>
        <w:rPr>
          <w:rFonts w:ascii="宋体" w:hAnsi="宋体" w:cs="宋体" w:eastAsia="宋体" w:hint="default"/>
        </w:rPr>
        <w:t>66,804,124</w:t>
      </w:r>
      <w:r>
        <w:rPr>
          <w:rFonts w:ascii="宋体" w:hAnsi="宋体" w:cs="宋体" w:eastAsia="宋体" w:hint="default"/>
          <w:spacing w:val="-57"/>
        </w:rPr>
        <w:t> </w:t>
      </w:r>
      <w:r>
        <w:rPr/>
        <w:t>元，用友网络对其持股比例稀释为</w:t>
      </w:r>
      <w:r>
        <w:rPr>
          <w:spacing w:val="-55"/>
        </w:rPr>
        <w:t> </w:t>
      </w:r>
      <w:r>
        <w:rPr>
          <w:rFonts w:ascii="宋体" w:hAnsi="宋体" w:cs="宋体" w:eastAsia="宋体" w:hint="default"/>
        </w:rPr>
        <w:t>53.89%</w:t>
      </w:r>
      <w:r>
        <w:rPr/>
        <w:t>。</w:t>
      </w:r>
    </w:p>
    <w:p>
      <w:pPr>
        <w:spacing w:line="240" w:lineRule="auto" w:before="10"/>
        <w:rPr>
          <w:rFonts w:ascii="宋体" w:hAnsi="宋体" w:cs="宋体" w:eastAsia="宋体" w:hint="default"/>
          <w:sz w:val="22"/>
          <w:szCs w:val="22"/>
        </w:rPr>
      </w:pPr>
    </w:p>
    <w:p>
      <w:pPr>
        <w:pStyle w:val="BodyText"/>
        <w:spacing w:line="272" w:lineRule="exact"/>
        <w:ind w:left="518" w:right="508"/>
        <w:jc w:val="both"/>
      </w:pPr>
      <w:r>
        <w:rPr/>
        <w:t>注</w:t>
      </w:r>
      <w:r>
        <w:rPr>
          <w:spacing w:val="6"/>
        </w:rPr>
        <w:t> </w:t>
      </w:r>
      <w:r>
        <w:rPr>
          <w:rFonts w:ascii="宋体" w:hAnsi="宋体" w:cs="宋体" w:eastAsia="宋体" w:hint="default"/>
        </w:rPr>
        <w:t>4</w:t>
      </w:r>
      <w:r>
        <w:rPr/>
        <w:t>．本公司本年与上海海悦投资管理有限公司共同投资设立红火台餐饮云服务有限公司，红火</w:t>
      </w:r>
      <w:r>
        <w:rPr>
          <w:w w:val="100"/>
        </w:rPr>
        <w:t> </w:t>
      </w:r>
      <w:r>
        <w:rPr/>
        <w:t>台餐饮注册资本人民币</w:t>
      </w:r>
      <w:r>
        <w:rPr>
          <w:spacing w:val="-54"/>
        </w:rPr>
        <w:t> </w:t>
      </w:r>
      <w:r>
        <w:rPr>
          <w:rFonts w:ascii="宋体" w:hAnsi="宋体" w:cs="宋体" w:eastAsia="宋体" w:hint="default"/>
        </w:rPr>
        <w:t>50,000,000</w:t>
      </w:r>
      <w:r>
        <w:rPr>
          <w:rFonts w:ascii="宋体" w:hAnsi="宋体" w:cs="宋体" w:eastAsia="宋体" w:hint="default"/>
          <w:spacing w:val="-57"/>
        </w:rPr>
        <w:t> </w:t>
      </w:r>
      <w:r>
        <w:rPr/>
        <w:t>元，本公司出资人民币</w:t>
      </w:r>
      <w:r>
        <w:rPr>
          <w:spacing w:val="-55"/>
        </w:rPr>
        <w:t> </w:t>
      </w:r>
      <w:r>
        <w:rPr>
          <w:rFonts w:ascii="宋体" w:hAnsi="宋体" w:cs="宋体" w:eastAsia="宋体" w:hint="default"/>
        </w:rPr>
        <w:t>27,500,000</w:t>
      </w:r>
      <w:r>
        <w:rPr>
          <w:rFonts w:ascii="宋体" w:hAnsi="宋体" w:cs="宋体" w:eastAsia="宋体" w:hint="default"/>
          <w:spacing w:val="-57"/>
        </w:rPr>
        <w:t> </w:t>
      </w:r>
      <w:r>
        <w:rPr/>
        <w:t>元，出资比例</w:t>
      </w:r>
      <w:r>
        <w:rPr>
          <w:spacing w:val="-54"/>
        </w:rPr>
        <w:t> </w:t>
      </w:r>
      <w:r>
        <w:rPr>
          <w:rFonts w:ascii="宋体" w:hAnsi="宋体" w:cs="宋体" w:eastAsia="宋体" w:hint="default"/>
        </w:rPr>
        <w:t>55%</w:t>
      </w:r>
      <w:r>
        <w:rPr/>
        <w:t>。</w:t>
      </w:r>
    </w:p>
    <w:p>
      <w:pPr>
        <w:spacing w:line="240" w:lineRule="auto" w:before="11"/>
        <w:rPr>
          <w:rFonts w:ascii="宋体" w:hAnsi="宋体" w:cs="宋体" w:eastAsia="宋体" w:hint="default"/>
          <w:sz w:val="20"/>
          <w:szCs w:val="20"/>
        </w:rPr>
      </w:pPr>
    </w:p>
    <w:p>
      <w:pPr>
        <w:pStyle w:val="BodyText"/>
        <w:spacing w:line="272" w:lineRule="exact"/>
        <w:ind w:left="518" w:right="507"/>
        <w:jc w:val="both"/>
      </w:pPr>
      <w:r>
        <w:rPr/>
        <w:t>注</w:t>
      </w:r>
      <w:r>
        <w:rPr>
          <w:spacing w:val="-32"/>
        </w:rPr>
        <w:t> </w:t>
      </w:r>
      <w:r>
        <w:rPr>
          <w:rFonts w:ascii="宋体" w:hAnsi="宋体" w:cs="宋体" w:eastAsia="宋体" w:hint="default"/>
        </w:rPr>
        <w:t>5</w:t>
      </w:r>
      <w:r>
        <w:rPr/>
        <w:t>．本公司之子公司薪福社少数股东缴纳了其认缴的出资额，共计人民币</w:t>
      </w:r>
      <w:r>
        <w:rPr>
          <w:spacing w:val="-35"/>
        </w:rPr>
        <w:t> </w:t>
      </w:r>
      <w:r>
        <w:rPr>
          <w:rFonts w:ascii="宋体" w:hAnsi="宋体" w:cs="宋体" w:eastAsia="宋体" w:hint="default"/>
        </w:rPr>
        <w:t>4,165,000</w:t>
      </w:r>
      <w:r>
        <w:rPr>
          <w:rFonts w:ascii="宋体" w:hAnsi="宋体" w:cs="宋体" w:eastAsia="宋体" w:hint="default"/>
          <w:spacing w:val="-34"/>
        </w:rPr>
        <w:t> </w:t>
      </w:r>
      <w:r>
        <w:rPr/>
        <w:t>元，薪福</w:t>
      </w:r>
      <w:r>
        <w:rPr>
          <w:w w:val="100"/>
        </w:rPr>
        <w:t> </w:t>
      </w:r>
      <w:r>
        <w:rPr/>
        <w:t>社实收资本变为人民币</w:t>
      </w:r>
      <w:r>
        <w:rPr>
          <w:spacing w:val="-55"/>
        </w:rPr>
        <w:t> </w:t>
      </w:r>
      <w:r>
        <w:rPr>
          <w:rFonts w:ascii="宋体" w:hAnsi="宋体" w:cs="宋体" w:eastAsia="宋体" w:hint="default"/>
        </w:rPr>
        <w:t>50,000,000</w:t>
      </w:r>
      <w:r>
        <w:rPr>
          <w:rFonts w:ascii="宋体" w:hAnsi="宋体" w:cs="宋体" w:eastAsia="宋体" w:hint="default"/>
          <w:spacing w:val="-58"/>
        </w:rPr>
        <w:t> </w:t>
      </w:r>
      <w:r>
        <w:rPr/>
        <w:t>元，本集团对其持股比例由原来的</w:t>
      </w:r>
      <w:r>
        <w:rPr>
          <w:spacing w:val="-56"/>
        </w:rPr>
        <w:t> </w:t>
      </w:r>
      <w:r>
        <w:rPr>
          <w:rFonts w:ascii="宋体" w:hAnsi="宋体" w:cs="宋体" w:eastAsia="宋体" w:hint="default"/>
        </w:rPr>
        <w:t>100.00%</w:t>
      </w:r>
      <w:r>
        <w:rPr/>
        <w:t>下降为</w:t>
      </w:r>
      <w:r>
        <w:rPr>
          <w:spacing w:val="-56"/>
        </w:rPr>
        <w:t> </w:t>
      </w:r>
      <w:r>
        <w:rPr>
          <w:rFonts w:ascii="宋体" w:hAnsi="宋体" w:cs="宋体" w:eastAsia="宋体" w:hint="default"/>
        </w:rPr>
        <w:t>91.67%</w:t>
      </w:r>
      <w:r>
        <w:rPr/>
        <w:t>。</w:t>
      </w:r>
    </w:p>
    <w:p>
      <w:pPr>
        <w:spacing w:line="240" w:lineRule="auto" w:before="12"/>
        <w:rPr>
          <w:rFonts w:ascii="宋体" w:hAnsi="宋体" w:cs="宋体" w:eastAsia="宋体" w:hint="default"/>
          <w:sz w:val="18"/>
          <w:szCs w:val="18"/>
        </w:rPr>
      </w:pPr>
    </w:p>
    <w:p>
      <w:pPr>
        <w:pStyle w:val="BodyText"/>
        <w:spacing w:line="237" w:lineRule="auto"/>
        <w:ind w:left="518" w:right="508"/>
        <w:jc w:val="both"/>
      </w:pPr>
      <w:r>
        <w:rPr/>
        <w:t>注</w:t>
      </w:r>
      <w:r>
        <w:rPr>
          <w:spacing w:val="-50"/>
        </w:rPr>
        <w:t> </w:t>
      </w:r>
      <w:r>
        <w:rPr>
          <w:rFonts w:ascii="宋体" w:hAnsi="宋体" w:cs="宋体" w:eastAsia="宋体" w:hint="default"/>
        </w:rPr>
        <w:t>6</w:t>
      </w:r>
      <w:r>
        <w:rPr/>
        <w:t>．</w:t>
      </w:r>
      <w:r>
        <w:rPr>
          <w:rFonts w:ascii="宋体" w:hAnsi="宋体" w:cs="宋体" w:eastAsia="宋体" w:hint="default"/>
        </w:rPr>
        <w:t>2016</w:t>
      </w:r>
      <w:r>
        <w:rPr>
          <w:rFonts w:ascii="宋体" w:hAnsi="宋体" w:cs="宋体" w:eastAsia="宋体" w:hint="default"/>
          <w:spacing w:val="-51"/>
        </w:rPr>
        <w:t> </w:t>
      </w:r>
      <w:r>
        <w:rPr/>
        <w:t>年本公司与中国建筑股份有限公司、中国建筑第三工程局有限公司共同投资设立用友</w:t>
      </w:r>
      <w:r>
        <w:rPr>
          <w:w w:val="100"/>
        </w:rPr>
        <w:t> </w:t>
      </w:r>
      <w:r>
        <w:rPr>
          <w:spacing w:val="-6"/>
        </w:rPr>
        <w:t>建筑，截至</w:t>
      </w:r>
      <w:r>
        <w:rPr>
          <w:spacing w:val="-22"/>
        </w:rPr>
        <w:t> </w:t>
      </w:r>
      <w:r>
        <w:rPr>
          <w:rFonts w:ascii="宋体" w:hAnsi="宋体" w:cs="宋体" w:eastAsia="宋体" w:hint="default"/>
        </w:rPr>
        <w:t>2016</w:t>
      </w:r>
      <w:r>
        <w:rPr>
          <w:rFonts w:ascii="宋体" w:hAnsi="宋体" w:cs="宋体" w:eastAsia="宋体" w:hint="default"/>
          <w:spacing w:val="-25"/>
        </w:rPr>
        <w:t> </w:t>
      </w:r>
      <w:r>
        <w:rPr>
          <w:spacing w:val="-4"/>
        </w:rPr>
        <w:t>年末，用友建筑已登记注册成立，用友网络尚未出资。本年本公司完成了对用友</w:t>
      </w:r>
      <w:r>
        <w:rPr>
          <w:spacing w:val="-94"/>
        </w:rPr>
        <w:t> </w:t>
      </w:r>
      <w:r>
        <w:rPr>
          <w:spacing w:val="-94"/>
        </w:rPr>
      </w:r>
      <w:r>
        <w:rPr/>
        <w:t>建筑的出资，出资额为人民币</w:t>
      </w:r>
      <w:r>
        <w:rPr>
          <w:spacing w:val="-55"/>
        </w:rPr>
        <w:t> </w:t>
      </w:r>
      <w:r>
        <w:rPr>
          <w:rFonts w:ascii="宋体" w:hAnsi="宋体" w:cs="宋体" w:eastAsia="宋体" w:hint="default"/>
        </w:rPr>
        <w:t>44,000,000</w:t>
      </w:r>
      <w:r>
        <w:rPr>
          <w:rFonts w:ascii="宋体" w:hAnsi="宋体" w:cs="宋体" w:eastAsia="宋体" w:hint="default"/>
          <w:spacing w:val="-55"/>
        </w:rPr>
        <w:t> </w:t>
      </w:r>
      <w:r>
        <w:rPr/>
        <w:t>元，占股比例为</w:t>
      </w:r>
      <w:r>
        <w:rPr>
          <w:spacing w:val="-55"/>
        </w:rPr>
        <w:t> </w:t>
      </w:r>
      <w:r>
        <w:rPr>
          <w:rFonts w:ascii="宋体" w:hAnsi="宋体" w:cs="宋体" w:eastAsia="宋体" w:hint="default"/>
        </w:rPr>
        <w:t>55%</w:t>
      </w:r>
      <w:r>
        <w:rPr/>
        <w:t>。</w:t>
      </w:r>
    </w:p>
    <w:p>
      <w:pPr>
        <w:spacing w:line="240" w:lineRule="auto" w:before="9"/>
        <w:rPr>
          <w:rFonts w:ascii="宋体" w:hAnsi="宋体" w:cs="宋体" w:eastAsia="宋体" w:hint="default"/>
          <w:sz w:val="20"/>
          <w:szCs w:val="20"/>
        </w:rPr>
      </w:pPr>
    </w:p>
    <w:p>
      <w:pPr>
        <w:pStyle w:val="BodyText"/>
        <w:spacing w:line="240" w:lineRule="auto"/>
        <w:ind w:left="518" w:right="508"/>
        <w:jc w:val="both"/>
      </w:pPr>
      <w:r>
        <w:rPr/>
        <w:t>注</w:t>
      </w:r>
      <w:r>
        <w:rPr>
          <w:spacing w:val="-51"/>
        </w:rPr>
        <w:t> </w:t>
      </w:r>
      <w:r>
        <w:rPr>
          <w:rFonts w:ascii="宋体" w:hAnsi="宋体" w:cs="宋体" w:eastAsia="宋体" w:hint="default"/>
        </w:rPr>
        <w:t>7</w:t>
      </w:r>
      <w:r>
        <w:rPr/>
        <w:t>．本公司向本公司之子公司畅捷通收购其持有的畅捷支付</w:t>
      </w:r>
      <w:r>
        <w:rPr>
          <w:spacing w:val="-50"/>
        </w:rPr>
        <w:t> </w:t>
      </w:r>
      <w:r>
        <w:rPr>
          <w:rFonts w:ascii="宋体" w:hAnsi="宋体" w:cs="宋体" w:eastAsia="宋体" w:hint="default"/>
        </w:rPr>
        <w:t>55.82%</w:t>
      </w:r>
      <w:r>
        <w:rPr/>
        <w:t>股权，收购完成后，本公司</w:t>
      </w:r>
      <w:r>
        <w:rPr>
          <w:w w:val="100"/>
        </w:rPr>
        <w:t> </w:t>
      </w:r>
      <w:r>
        <w:rPr/>
        <w:t>对畅捷支付持股比例变更为</w:t>
      </w:r>
      <w:r>
        <w:rPr>
          <w:spacing w:val="-58"/>
        </w:rPr>
        <w:t> </w:t>
      </w:r>
      <w:r>
        <w:rPr>
          <w:rFonts w:ascii="宋体" w:hAnsi="宋体" w:cs="宋体" w:eastAsia="宋体" w:hint="default"/>
        </w:rPr>
        <w:t>80.72%</w:t>
      </w:r>
      <w:r>
        <w:rPr/>
        <w:t>，本集团对畅捷支付持股比例仍为</w:t>
      </w:r>
      <w:r>
        <w:rPr>
          <w:spacing w:val="-58"/>
        </w:rPr>
        <w:t> </w:t>
      </w:r>
      <w:r>
        <w:rPr>
          <w:rFonts w:ascii="宋体" w:hAnsi="宋体" w:cs="宋体" w:eastAsia="宋体" w:hint="default"/>
        </w:rPr>
        <w:t>100%</w:t>
      </w:r>
      <w:r>
        <w:rPr/>
        <w:t>。</w:t>
      </w:r>
    </w:p>
    <w:p>
      <w:pPr>
        <w:spacing w:line="240" w:lineRule="auto" w:before="10"/>
        <w:rPr>
          <w:rFonts w:ascii="宋体" w:hAnsi="宋体" w:cs="宋体" w:eastAsia="宋体" w:hint="default"/>
          <w:sz w:val="22"/>
          <w:szCs w:val="22"/>
        </w:rPr>
      </w:pPr>
    </w:p>
    <w:p>
      <w:pPr>
        <w:pStyle w:val="BodyText"/>
        <w:spacing w:line="272" w:lineRule="exact"/>
        <w:ind w:left="518" w:right="507"/>
        <w:jc w:val="both"/>
      </w:pPr>
      <w:r>
        <w:rPr/>
        <w:t>注</w:t>
      </w:r>
      <w:r>
        <w:rPr>
          <w:spacing w:val="-43"/>
        </w:rPr>
        <w:t> </w:t>
      </w:r>
      <w:r>
        <w:rPr>
          <w:rFonts w:ascii="宋体" w:hAnsi="宋体" w:cs="宋体" w:eastAsia="宋体" w:hint="default"/>
          <w:spacing w:val="-3"/>
        </w:rPr>
        <w:t>8</w:t>
      </w:r>
      <w:r>
        <w:rPr>
          <w:spacing w:val="-3"/>
        </w:rPr>
        <w:t>．本公司之子公司用友汽车</w:t>
      </w:r>
      <w:r>
        <w:rPr>
          <w:spacing w:val="-41"/>
        </w:rPr>
        <w:t> </w:t>
      </w:r>
      <w:r>
        <w:rPr>
          <w:rFonts w:ascii="宋体" w:hAnsi="宋体" w:cs="宋体" w:eastAsia="宋体" w:hint="default"/>
        </w:rPr>
        <w:t>2017</w:t>
      </w:r>
      <w:r>
        <w:rPr>
          <w:rFonts w:ascii="宋体" w:hAnsi="宋体" w:cs="宋体" w:eastAsia="宋体" w:hint="default"/>
          <w:spacing w:val="-45"/>
        </w:rPr>
        <w:t> </w:t>
      </w:r>
      <w:r>
        <w:rPr>
          <w:spacing w:val="-3"/>
        </w:rPr>
        <w:t>年完成股票定向增发，发行股数</w:t>
      </w:r>
      <w:r>
        <w:rPr>
          <w:spacing w:val="-43"/>
        </w:rPr>
        <w:t> </w:t>
      </w:r>
      <w:r>
        <w:rPr>
          <w:rFonts w:ascii="宋体" w:hAnsi="宋体" w:cs="宋体" w:eastAsia="宋体" w:hint="default"/>
        </w:rPr>
        <w:t>2,000,000</w:t>
      </w:r>
      <w:r>
        <w:rPr>
          <w:rFonts w:ascii="宋体" w:hAnsi="宋体" w:cs="宋体" w:eastAsia="宋体" w:hint="default"/>
          <w:spacing w:val="-41"/>
        </w:rPr>
        <w:t> </w:t>
      </w:r>
      <w:r>
        <w:rPr>
          <w:spacing w:val="-4"/>
        </w:rPr>
        <w:t>股，定向增发完</w:t>
      </w:r>
      <w:r>
        <w:rPr>
          <w:spacing w:val="-100"/>
        </w:rPr>
        <w:t> </w:t>
      </w:r>
      <w:r>
        <w:rPr>
          <w:spacing w:val="-100"/>
        </w:rPr>
      </w:r>
      <w:r>
        <w:rPr>
          <w:spacing w:val="-9"/>
          <w:w w:val="100"/>
        </w:rPr>
        <w:t>成后，用友汽车总股本人民币</w:t>
      </w:r>
      <w:r>
        <w:rPr>
          <w:spacing w:val="-50"/>
          <w:w w:val="100"/>
        </w:rPr>
        <w:t> </w:t>
      </w:r>
      <w:r>
        <w:rPr>
          <w:rFonts w:ascii="宋体" w:hAnsi="宋体" w:cs="宋体" w:eastAsia="宋体" w:hint="default"/>
          <w:spacing w:val="-1"/>
          <w:w w:val="100"/>
        </w:rPr>
        <w:t>102,000,000</w:t>
      </w:r>
      <w:r>
        <w:rPr>
          <w:rFonts w:ascii="宋体" w:hAnsi="宋体" w:cs="宋体" w:eastAsia="宋体" w:hint="default"/>
          <w:spacing w:val="-53"/>
          <w:w w:val="100"/>
        </w:rPr>
        <w:t> </w:t>
      </w:r>
      <w:r>
        <w:rPr>
          <w:spacing w:val="-8"/>
          <w:w w:val="100"/>
        </w:rPr>
        <w:t>元，本集团对其持股比例由原来的</w:t>
      </w:r>
      <w:r>
        <w:rPr>
          <w:spacing w:val="-51"/>
          <w:w w:val="100"/>
        </w:rPr>
        <w:t> </w:t>
      </w:r>
      <w:r>
        <w:rPr>
          <w:rFonts w:ascii="宋体" w:hAnsi="宋体" w:cs="宋体" w:eastAsia="宋体" w:hint="default"/>
          <w:spacing w:val="-2"/>
          <w:w w:val="100"/>
        </w:rPr>
        <w:t>82%</w:t>
      </w:r>
      <w:r>
        <w:rPr>
          <w:spacing w:val="-2"/>
          <w:w w:val="100"/>
        </w:rPr>
        <w:t>稀释为</w:t>
      </w:r>
      <w:r>
        <w:rPr>
          <w:spacing w:val="-51"/>
          <w:w w:val="100"/>
        </w:rPr>
        <w:t> </w:t>
      </w:r>
      <w:r>
        <w:rPr>
          <w:rFonts w:ascii="宋体" w:hAnsi="宋体" w:cs="宋体" w:eastAsia="宋体" w:hint="default"/>
          <w:spacing w:val="-1"/>
          <w:w w:val="100"/>
        </w:rPr>
        <w:t>80.39%</w:t>
      </w:r>
      <w:r>
        <w:rPr>
          <w:spacing w:val="-1"/>
          <w:w w:val="100"/>
        </w:rPr>
        <w:t>。</w:t>
      </w:r>
    </w:p>
    <w:p>
      <w:pPr>
        <w:spacing w:line="240" w:lineRule="auto" w:before="12"/>
        <w:rPr>
          <w:rFonts w:ascii="宋体" w:hAnsi="宋体" w:cs="宋体" w:eastAsia="宋体" w:hint="default"/>
          <w:sz w:val="18"/>
          <w:szCs w:val="18"/>
        </w:rPr>
      </w:pPr>
    </w:p>
    <w:p>
      <w:pPr>
        <w:pStyle w:val="BodyText"/>
        <w:spacing w:line="237" w:lineRule="auto"/>
        <w:ind w:left="518" w:right="507"/>
        <w:jc w:val="both"/>
      </w:pPr>
      <w:r>
        <w:rPr/>
        <w:t>注</w:t>
      </w:r>
      <w:r>
        <w:rPr>
          <w:spacing w:val="-41"/>
        </w:rPr>
        <w:t> </w:t>
      </w:r>
      <w:r>
        <w:rPr>
          <w:rFonts w:ascii="宋体" w:hAnsi="宋体" w:cs="宋体" w:eastAsia="宋体" w:hint="default"/>
          <w:spacing w:val="-3"/>
        </w:rPr>
        <w:t>9</w:t>
      </w:r>
      <w:r>
        <w:rPr>
          <w:spacing w:val="-3"/>
        </w:rPr>
        <w:t>．本公司与民太安保险公估集团签订股权收购协议，以人民币</w:t>
      </w:r>
      <w:r>
        <w:rPr>
          <w:spacing w:val="-44"/>
        </w:rPr>
        <w:t> </w:t>
      </w:r>
      <w:r>
        <w:rPr>
          <w:rFonts w:ascii="宋体" w:hAnsi="宋体" w:cs="宋体" w:eastAsia="宋体" w:hint="default"/>
        </w:rPr>
        <w:t>59,760,000</w:t>
      </w:r>
      <w:r>
        <w:rPr>
          <w:rFonts w:ascii="宋体" w:hAnsi="宋体" w:cs="宋体" w:eastAsia="宋体" w:hint="default"/>
          <w:spacing w:val="-44"/>
        </w:rPr>
        <w:t> </w:t>
      </w:r>
      <w:r>
        <w:rPr/>
        <w:t>元收购其持有的民</w:t>
      </w:r>
      <w:r>
        <w:rPr>
          <w:spacing w:val="-101"/>
        </w:rPr>
        <w:t> </w:t>
      </w:r>
      <w:r>
        <w:rPr>
          <w:spacing w:val="-101"/>
        </w:rPr>
      </w:r>
      <w:r>
        <w:rPr/>
        <w:t>太安保险经纪有限公司</w:t>
      </w:r>
      <w:r>
        <w:rPr>
          <w:spacing w:val="-50"/>
        </w:rPr>
        <w:t> </w:t>
      </w:r>
      <w:r>
        <w:rPr>
          <w:rFonts w:ascii="宋体" w:hAnsi="宋体" w:cs="宋体" w:eastAsia="宋体" w:hint="default"/>
        </w:rPr>
        <w:t>60%</w:t>
      </w:r>
      <w:r>
        <w:rPr/>
        <w:t>股权，截至</w:t>
      </w:r>
      <w:r>
        <w:rPr>
          <w:spacing w:val="-53"/>
        </w:rPr>
        <w:t> </w:t>
      </w:r>
      <w:r>
        <w:rPr>
          <w:rFonts w:ascii="宋体" w:hAnsi="宋体" w:cs="宋体" w:eastAsia="宋体" w:hint="default"/>
        </w:rPr>
        <w:t>2017</w:t>
      </w:r>
      <w:r>
        <w:rPr>
          <w:rFonts w:ascii="宋体" w:hAnsi="宋体" w:cs="宋体" w:eastAsia="宋体" w:hint="default"/>
          <w:spacing w:val="-53"/>
        </w:rPr>
        <w:t> </w:t>
      </w:r>
      <w:r>
        <w:rPr/>
        <w:t>年末，股权收购款已支付</w:t>
      </w:r>
      <w:r>
        <w:rPr>
          <w:spacing w:val="-50"/>
        </w:rPr>
        <w:t> </w:t>
      </w:r>
      <w:r>
        <w:rPr>
          <w:rFonts w:ascii="宋体" w:hAnsi="宋体" w:cs="宋体" w:eastAsia="宋体" w:hint="default"/>
        </w:rPr>
        <w:t>80%</w:t>
      </w:r>
      <w:r>
        <w:rPr/>
        <w:t>，本公司对民太安经纪</w:t>
      </w:r>
      <w:r>
        <w:rPr>
          <w:w w:val="100"/>
        </w:rPr>
        <w:t> </w:t>
      </w:r>
      <w:r>
        <w:rPr>
          <w:spacing w:val="-1"/>
        </w:rPr>
        <w:t>派驻了董事及财务负责人，相关工商登记变更已经完成，民太安保险经纪变更为本公司之控股子</w:t>
      </w:r>
      <w:r>
        <w:rPr>
          <w:spacing w:val="-55"/>
        </w:rPr>
        <w:t> </w:t>
      </w:r>
      <w:r>
        <w:rPr>
          <w:spacing w:val="-55"/>
        </w:rPr>
      </w:r>
      <w:r>
        <w:rPr/>
        <w:t>公司。</w:t>
      </w:r>
    </w:p>
    <w:p>
      <w:pPr>
        <w:spacing w:line="240" w:lineRule="auto" w:before="9"/>
        <w:rPr>
          <w:rFonts w:ascii="宋体" w:hAnsi="宋体" w:cs="宋体" w:eastAsia="宋体" w:hint="default"/>
          <w:sz w:val="20"/>
          <w:szCs w:val="20"/>
        </w:rPr>
      </w:pPr>
    </w:p>
    <w:p>
      <w:pPr>
        <w:pStyle w:val="BodyText"/>
        <w:spacing w:line="240" w:lineRule="auto"/>
        <w:ind w:left="518" w:right="0"/>
        <w:jc w:val="both"/>
      </w:pPr>
      <w:r>
        <w:rPr/>
        <w:t>注</w:t>
      </w:r>
      <w:r>
        <w:rPr>
          <w:spacing w:val="-53"/>
        </w:rPr>
        <w:t> </w:t>
      </w:r>
      <w:r>
        <w:rPr>
          <w:rFonts w:ascii="宋体" w:hAnsi="宋体" w:cs="宋体" w:eastAsia="宋体" w:hint="default"/>
        </w:rPr>
        <w:t>10.</w:t>
      </w:r>
      <w:r>
        <w:rPr/>
        <w:t>本年本公司注销子公司用友华表。</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footerReference w:type="default" r:id="rId82"/>
          <w:pgSz w:w="11910" w:h="16840"/>
          <w:pgMar w:footer="1195" w:header="857" w:top="1320" w:bottom="1380" w:left="1280" w:right="760"/>
        </w:sectPr>
      </w:pPr>
    </w:p>
    <w:p>
      <w:pPr>
        <w:pStyle w:val="Heading3"/>
        <w:tabs>
          <w:tab w:pos="1161" w:val="left" w:leader="none"/>
        </w:tabs>
        <w:spacing w:line="240" w:lineRule="auto" w:before="36"/>
        <w:ind w:left="518" w:right="-17"/>
        <w:jc w:val="left"/>
        <w:rPr>
          <w:b w:val="0"/>
          <w:bCs w:val="0"/>
        </w:rPr>
      </w:pPr>
      <w:r>
        <w:rPr>
          <w:rFonts w:ascii="宋体" w:hAnsi="宋体" w:cs="宋体" w:eastAsia="宋体" w:hint="default"/>
          <w:w w:val="95"/>
        </w:rPr>
        <w:t>(2).</w:t>
        <w:tab/>
      </w:r>
      <w:r>
        <w:rPr/>
        <w:t>重要的非全资子公司</w:t>
      </w:r>
      <w:r>
        <w:rPr>
          <w:b w:val="0"/>
          <w:bCs w:val="0"/>
        </w:rPr>
      </w:r>
    </w:p>
    <w:p>
      <w:pPr>
        <w:pStyle w:val="BodyText"/>
        <w:spacing w:line="240" w:lineRule="auto" w:before="56"/>
        <w:ind w:left="518" w:right="-17"/>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1"/>
        <w:rPr>
          <w:rFonts w:ascii="宋体" w:hAnsi="宋体" w:cs="宋体" w:eastAsia="宋体" w:hint="default"/>
          <w:sz w:val="28"/>
          <w:szCs w:val="28"/>
        </w:rPr>
      </w:pPr>
    </w:p>
    <w:p>
      <w:pPr>
        <w:pStyle w:val="BodyText"/>
        <w:spacing w:line="240" w:lineRule="auto"/>
        <w:ind w:left="518" w:right="0"/>
        <w:jc w:val="left"/>
      </w:pPr>
      <w:r>
        <w:rPr/>
        <w:t>单位</w:t>
      </w:r>
      <w:r>
        <w:rPr>
          <w:rFonts w:ascii="宋体" w:hAnsi="宋体" w:cs="宋体" w:eastAsia="宋体" w:hint="default"/>
        </w:rPr>
        <w:t>:</w:t>
      </w:r>
      <w:r>
        <w:rPr/>
        <w:t>元币种</w:t>
      </w:r>
      <w:r>
        <w:rPr>
          <w:rFonts w:ascii="宋体" w:hAnsi="宋体" w:cs="宋体" w:eastAsia="宋体" w:hint="default"/>
        </w:rPr>
        <w:t>:</w:t>
      </w:r>
      <w:r>
        <w:rPr/>
        <w:t>人民币</w:t>
      </w:r>
    </w:p>
    <w:p>
      <w:pPr>
        <w:spacing w:after="0" w:line="240" w:lineRule="auto"/>
        <w:jc w:val="left"/>
        <w:sectPr>
          <w:type w:val="continuous"/>
          <w:pgSz w:w="11910" w:h="16840"/>
          <w:pgMar w:top="1320" w:bottom="1380" w:left="1280" w:right="760"/>
          <w:cols w:num="2" w:equalWidth="0">
            <w:col w:w="3063" w:space="3879"/>
            <w:col w:w="2928"/>
          </w:cols>
        </w:sectPr>
      </w:pPr>
    </w:p>
    <w:p>
      <w:pPr>
        <w:spacing w:line="240" w:lineRule="auto" w:before="7"/>
        <w:rPr>
          <w:rFonts w:ascii="宋体" w:hAnsi="宋体" w:cs="宋体" w:eastAsia="宋体" w:hint="default"/>
          <w:sz w:val="2"/>
          <w:szCs w:val="2"/>
        </w:rPr>
      </w:pPr>
    </w:p>
    <w:tbl>
      <w:tblPr>
        <w:tblW w:w="0" w:type="auto"/>
        <w:jc w:val="left"/>
        <w:tblInd w:w="405" w:type="dxa"/>
        <w:tblLayout w:type="fixed"/>
        <w:tblCellMar>
          <w:top w:w="0" w:type="dxa"/>
          <w:left w:w="0" w:type="dxa"/>
          <w:bottom w:w="0" w:type="dxa"/>
          <w:right w:w="0" w:type="dxa"/>
        </w:tblCellMar>
        <w:tblLook w:val="01E0"/>
      </w:tblPr>
      <w:tblGrid>
        <w:gridCol w:w="1613"/>
        <w:gridCol w:w="1815"/>
        <w:gridCol w:w="1937"/>
        <w:gridCol w:w="1942"/>
        <w:gridCol w:w="1742"/>
      </w:tblGrid>
      <w:tr>
        <w:trPr>
          <w:trHeight w:val="554" w:hRule="exact"/>
        </w:trPr>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75" w:right="0"/>
              <w:jc w:val="left"/>
              <w:rPr>
                <w:rFonts w:ascii="宋体" w:hAnsi="宋体" w:cs="宋体" w:eastAsia="宋体" w:hint="default"/>
                <w:sz w:val="21"/>
                <w:szCs w:val="21"/>
              </w:rPr>
            </w:pPr>
            <w:r>
              <w:rPr>
                <w:rFonts w:ascii="宋体" w:hAnsi="宋体" w:cs="宋体" w:eastAsia="宋体" w:hint="default"/>
                <w:sz w:val="21"/>
                <w:szCs w:val="21"/>
              </w:rPr>
              <w:t>子公司名称</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3"/>
              <w:jc w:val="center"/>
              <w:rPr>
                <w:rFonts w:ascii="宋体" w:hAnsi="宋体" w:cs="宋体" w:eastAsia="宋体" w:hint="default"/>
                <w:sz w:val="21"/>
                <w:szCs w:val="21"/>
              </w:rPr>
            </w:pPr>
            <w:r>
              <w:rPr>
                <w:rFonts w:ascii="宋体" w:hAnsi="宋体" w:cs="宋体" w:eastAsia="宋体" w:hint="default"/>
                <w:sz w:val="21"/>
                <w:szCs w:val="21"/>
              </w:rPr>
              <w:t>少数股东持股</w:t>
            </w:r>
          </w:p>
          <w:p>
            <w:pPr>
              <w:pStyle w:val="TableParagraph"/>
              <w:spacing w:line="274" w:lineRule="exact"/>
              <w:ind w:right="2"/>
              <w:jc w:val="center"/>
              <w:rPr>
                <w:rFonts w:ascii="宋体" w:hAnsi="宋体" w:cs="宋体" w:eastAsia="宋体" w:hint="default"/>
                <w:sz w:val="21"/>
                <w:szCs w:val="21"/>
              </w:rPr>
            </w:pPr>
            <w:r>
              <w:rPr>
                <w:rFonts w:ascii="宋体" w:hAnsi="宋体" w:cs="宋体" w:eastAsia="宋体" w:hint="default"/>
                <w:sz w:val="21"/>
                <w:szCs w:val="21"/>
              </w:rPr>
              <w:t>比例</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
              <w:jc w:val="center"/>
              <w:rPr>
                <w:rFonts w:ascii="宋体" w:hAnsi="宋体" w:cs="宋体" w:eastAsia="宋体" w:hint="default"/>
                <w:sz w:val="21"/>
                <w:szCs w:val="21"/>
              </w:rPr>
            </w:pPr>
            <w:r>
              <w:rPr>
                <w:rFonts w:ascii="宋体" w:hAnsi="宋体" w:cs="宋体" w:eastAsia="宋体" w:hint="default"/>
                <w:sz w:val="21"/>
                <w:szCs w:val="21"/>
              </w:rPr>
              <w:t>本期归属于少数股</w:t>
            </w:r>
          </w:p>
          <w:p>
            <w:pPr>
              <w:pStyle w:val="TableParagraph"/>
              <w:spacing w:line="274" w:lineRule="exact"/>
              <w:ind w:right="3"/>
              <w:jc w:val="center"/>
              <w:rPr>
                <w:rFonts w:ascii="宋体" w:hAnsi="宋体" w:cs="宋体" w:eastAsia="宋体" w:hint="default"/>
                <w:sz w:val="21"/>
                <w:szCs w:val="21"/>
              </w:rPr>
            </w:pPr>
            <w:r>
              <w:rPr>
                <w:rFonts w:ascii="宋体" w:hAnsi="宋体" w:cs="宋体" w:eastAsia="宋体" w:hint="default"/>
                <w:sz w:val="21"/>
                <w:szCs w:val="21"/>
              </w:rPr>
              <w:t>东的损益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本期向少数股东宣</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告分派的股利</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9" w:right="0"/>
              <w:jc w:val="center"/>
              <w:rPr>
                <w:rFonts w:ascii="宋体" w:hAnsi="宋体" w:cs="宋体" w:eastAsia="宋体" w:hint="default"/>
                <w:sz w:val="21"/>
                <w:szCs w:val="21"/>
              </w:rPr>
            </w:pPr>
            <w:r>
              <w:rPr>
                <w:rFonts w:ascii="宋体" w:hAnsi="宋体" w:cs="宋体" w:eastAsia="宋体" w:hint="default"/>
                <w:sz w:val="21"/>
                <w:szCs w:val="21"/>
              </w:rPr>
              <w:t>期末少数股东权</w:t>
            </w:r>
          </w:p>
          <w:p>
            <w:pPr>
              <w:pStyle w:val="TableParagraph"/>
              <w:spacing w:line="274" w:lineRule="exact"/>
              <w:ind w:left="19" w:right="0"/>
              <w:jc w:val="center"/>
              <w:rPr>
                <w:rFonts w:ascii="宋体" w:hAnsi="宋体" w:cs="宋体" w:eastAsia="宋体" w:hint="default"/>
                <w:sz w:val="21"/>
                <w:szCs w:val="21"/>
              </w:rPr>
            </w:pPr>
            <w:r>
              <w:rPr>
                <w:rFonts w:ascii="宋体" w:hAnsi="宋体" w:cs="宋体" w:eastAsia="宋体" w:hint="default"/>
                <w:sz w:val="21"/>
                <w:szCs w:val="21"/>
              </w:rPr>
              <w:t>益余额</w:t>
            </w:r>
          </w:p>
        </w:tc>
      </w:tr>
      <w:tr>
        <w:trPr>
          <w:trHeight w:val="284" w:hRule="exact"/>
        </w:trPr>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畅捷通</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29.01%</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10,663,696</w:t>
            </w:r>
          </w:p>
        </w:tc>
        <w:tc>
          <w:tcPr>
            <w:tcW w:w="1942"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241,331,301</w:t>
            </w:r>
          </w:p>
        </w:tc>
      </w:tr>
      <w:tr>
        <w:trPr>
          <w:trHeight w:val="281" w:hRule="exact"/>
        </w:trPr>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用友政务</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15.81%</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3,730,041</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4,742,700</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51,153,993</w:t>
            </w:r>
          </w:p>
        </w:tc>
      </w:tr>
      <w:tr>
        <w:trPr>
          <w:trHeight w:val="283" w:hRule="exact"/>
        </w:trPr>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用友汽车</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z w:val="21"/>
              </w:rPr>
              <w:t>19.61%</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15,758,040</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11,800,000</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73,942,217</w:t>
            </w:r>
          </w:p>
        </w:tc>
      </w:tr>
    </w:tbl>
    <w:p>
      <w:pPr>
        <w:spacing w:after="0" w:line="243" w:lineRule="exact"/>
        <w:jc w:val="right"/>
        <w:rPr>
          <w:rFonts w:ascii="宋体" w:hAnsi="宋体" w:cs="宋体" w:eastAsia="宋体" w:hint="default"/>
          <w:sz w:val="21"/>
          <w:szCs w:val="21"/>
        </w:rPr>
        <w:sectPr>
          <w:type w:val="continuous"/>
          <w:pgSz w:w="11910" w:h="16840"/>
          <w:pgMar w:top="1320" w:bottom="1380" w:left="1280" w:right="760"/>
        </w:sectPr>
      </w:pPr>
    </w:p>
    <w:p>
      <w:pPr>
        <w:spacing w:line="240" w:lineRule="auto" w:before="6"/>
        <w:rPr>
          <w:rFonts w:ascii="宋体" w:hAnsi="宋体" w:cs="宋体" w:eastAsia="宋体" w:hint="default"/>
          <w:sz w:val="14"/>
          <w:szCs w:val="14"/>
        </w:rPr>
      </w:pPr>
    </w:p>
    <w:tbl>
      <w:tblPr>
        <w:tblW w:w="0" w:type="auto"/>
        <w:jc w:val="left"/>
        <w:tblInd w:w="1525" w:type="dxa"/>
        <w:tblLayout w:type="fixed"/>
        <w:tblCellMar>
          <w:top w:w="0" w:type="dxa"/>
          <w:left w:w="0" w:type="dxa"/>
          <w:bottom w:w="0" w:type="dxa"/>
          <w:right w:w="0" w:type="dxa"/>
        </w:tblCellMar>
        <w:tblLook w:val="01E0"/>
      </w:tblPr>
      <w:tblGrid>
        <w:gridCol w:w="1613"/>
        <w:gridCol w:w="1815"/>
        <w:gridCol w:w="1937"/>
        <w:gridCol w:w="1942"/>
        <w:gridCol w:w="1742"/>
      </w:tblGrid>
      <w:tr>
        <w:trPr>
          <w:trHeight w:val="284" w:hRule="exact"/>
        </w:trPr>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用友金融</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01"/>
              <w:jc w:val="right"/>
              <w:rPr>
                <w:rFonts w:ascii="宋体" w:hAnsi="宋体" w:cs="宋体" w:eastAsia="宋体" w:hint="default"/>
                <w:sz w:val="21"/>
                <w:szCs w:val="21"/>
              </w:rPr>
            </w:pPr>
            <w:r>
              <w:rPr>
                <w:rFonts w:ascii="宋体"/>
                <w:sz w:val="21"/>
              </w:rPr>
              <w:t>21.57%</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01"/>
              <w:jc w:val="right"/>
              <w:rPr>
                <w:rFonts w:ascii="宋体" w:hAnsi="宋体" w:cs="宋体" w:eastAsia="宋体" w:hint="default"/>
                <w:sz w:val="21"/>
                <w:szCs w:val="21"/>
              </w:rPr>
            </w:pPr>
            <w:r>
              <w:rPr>
                <w:rFonts w:ascii="宋体"/>
                <w:spacing w:val="-1"/>
                <w:sz w:val="21"/>
              </w:rPr>
              <w:t>4,494,915</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9"/>
              <w:jc w:val="right"/>
              <w:rPr>
                <w:rFonts w:ascii="宋体" w:hAnsi="宋体" w:cs="宋体" w:eastAsia="宋体" w:hint="default"/>
                <w:sz w:val="21"/>
                <w:szCs w:val="21"/>
              </w:rPr>
            </w:pPr>
            <w:r>
              <w:rPr>
                <w:rFonts w:ascii="宋体"/>
                <w:spacing w:val="-1"/>
                <w:sz w:val="21"/>
              </w:rPr>
              <w:t>8,800,000</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8"/>
              <w:jc w:val="right"/>
              <w:rPr>
                <w:rFonts w:ascii="宋体" w:hAnsi="宋体" w:cs="宋体" w:eastAsia="宋体" w:hint="default"/>
                <w:sz w:val="21"/>
                <w:szCs w:val="21"/>
              </w:rPr>
            </w:pPr>
            <w:r>
              <w:rPr>
                <w:rFonts w:ascii="宋体"/>
                <w:spacing w:val="-1"/>
                <w:sz w:val="21"/>
              </w:rPr>
              <w:t>36,020,196</w:t>
            </w:r>
          </w:p>
        </w:tc>
      </w:tr>
      <w:tr>
        <w:trPr>
          <w:trHeight w:val="283" w:hRule="exact"/>
        </w:trPr>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新道科技</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42.03%</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34,948,720</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22,728,849</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187,744,874</w:t>
            </w:r>
          </w:p>
        </w:tc>
      </w:tr>
    </w:tbl>
    <w:p>
      <w:pPr>
        <w:spacing w:line="240" w:lineRule="auto" w:before="5"/>
        <w:rPr>
          <w:rFonts w:ascii="宋体" w:hAnsi="宋体" w:cs="宋体" w:eastAsia="宋体" w:hint="default"/>
          <w:sz w:val="15"/>
          <w:szCs w:val="15"/>
        </w:rPr>
      </w:pPr>
    </w:p>
    <w:p>
      <w:pPr>
        <w:pStyle w:val="BodyText"/>
        <w:spacing w:line="274" w:lineRule="exact" w:before="36"/>
        <w:ind w:left="1638" w:right="0"/>
        <w:jc w:val="left"/>
      </w:pPr>
      <w:r>
        <w:rPr/>
        <w:t>子公司少数股东的持股比例不同于表决权比例的说明：</w:t>
      </w:r>
    </w:p>
    <w:p>
      <w:pPr>
        <w:pStyle w:val="BodyText"/>
        <w:spacing w:line="274" w:lineRule="exact"/>
        <w:ind w:left="1638" w:right="0"/>
        <w:jc w:val="left"/>
      </w:pPr>
      <w:r>
        <w:rPr/>
        <w:t>□适用</w:t>
      </w:r>
      <w:r>
        <w:rPr>
          <w:spacing w:val="-1"/>
        </w:rPr>
        <w:t> </w:t>
      </w:r>
      <w:r>
        <w:rPr/>
        <w:t>√不适用</w:t>
      </w:r>
    </w:p>
    <w:p>
      <w:pPr>
        <w:spacing w:line="240" w:lineRule="auto" w:before="8"/>
        <w:rPr>
          <w:rFonts w:ascii="宋体" w:hAnsi="宋体" w:cs="宋体" w:eastAsia="宋体" w:hint="default"/>
          <w:sz w:val="20"/>
          <w:szCs w:val="20"/>
        </w:rPr>
      </w:pPr>
    </w:p>
    <w:p>
      <w:pPr>
        <w:pStyle w:val="BodyText"/>
        <w:spacing w:line="273" w:lineRule="exact"/>
        <w:ind w:left="1638" w:right="0"/>
        <w:jc w:val="left"/>
      </w:pPr>
      <w:r>
        <w:rPr/>
        <w:t>其他说明：</w:t>
      </w:r>
    </w:p>
    <w:p>
      <w:pPr>
        <w:pStyle w:val="BodyText"/>
        <w:spacing w:line="273" w:lineRule="exact"/>
        <w:ind w:left="1638" w:right="0"/>
        <w:jc w:val="left"/>
      </w:pPr>
      <w:r>
        <w:rPr/>
        <w:t>□适用</w:t>
      </w:r>
      <w:r>
        <w:rPr>
          <w:spacing w:val="-1"/>
        </w:rPr>
        <w:t> </w:t>
      </w:r>
      <w:r>
        <w:rPr/>
        <w:t>√不适用</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footerReference w:type="default" r:id="rId83"/>
          <w:pgSz w:w="11910" w:h="16840"/>
          <w:pgMar w:footer="1195" w:header="857" w:top="1320" w:bottom="1380" w:left="160" w:right="40"/>
          <w:pgNumType w:start="171"/>
        </w:sectPr>
      </w:pPr>
    </w:p>
    <w:p>
      <w:pPr>
        <w:pStyle w:val="Heading3"/>
        <w:tabs>
          <w:tab w:pos="2281" w:val="left" w:leader="none"/>
        </w:tabs>
        <w:spacing w:line="240" w:lineRule="auto" w:before="36"/>
        <w:ind w:left="1638" w:right="-4"/>
        <w:jc w:val="left"/>
        <w:rPr>
          <w:b w:val="0"/>
          <w:bCs w:val="0"/>
        </w:rPr>
      </w:pPr>
      <w:r>
        <w:rPr>
          <w:rFonts w:ascii="宋体" w:hAnsi="宋体" w:cs="宋体" w:eastAsia="宋体" w:hint="default"/>
          <w:w w:val="95"/>
        </w:rPr>
        <w:t>(3).</w:t>
        <w:tab/>
      </w:r>
      <w:r>
        <w:rPr>
          <w:spacing w:val="-1"/>
        </w:rPr>
        <w:t>重要非全资子公司的主要财务信息</w:t>
      </w:r>
      <w:r>
        <w:rPr>
          <w:b w:val="0"/>
          <w:bCs w:val="0"/>
          <w:spacing w:val="-1"/>
        </w:rPr>
      </w:r>
    </w:p>
    <w:p>
      <w:pPr>
        <w:pStyle w:val="BodyText"/>
        <w:spacing w:line="240" w:lineRule="auto" w:before="58"/>
        <w:ind w:left="1638" w:right="-4"/>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left="1638" w:right="0"/>
        <w:jc w:val="left"/>
      </w:pPr>
      <w:r>
        <w:rPr/>
        <w:t>单位</w:t>
      </w:r>
      <w:r>
        <w:rPr>
          <w:rFonts w:ascii="宋体" w:hAnsi="宋体" w:cs="宋体" w:eastAsia="宋体" w:hint="default"/>
        </w:rPr>
        <w:t>:</w:t>
      </w:r>
      <w:r>
        <w:rPr/>
        <w:t>元币种</w:t>
      </w:r>
      <w:r>
        <w:rPr>
          <w:rFonts w:ascii="宋体" w:hAnsi="宋体" w:cs="宋体" w:eastAsia="宋体" w:hint="default"/>
        </w:rPr>
        <w:t>:</w:t>
      </w:r>
      <w:r>
        <w:rPr/>
        <w:t>人民币</w:t>
      </w:r>
    </w:p>
    <w:p>
      <w:pPr>
        <w:spacing w:after="0" w:line="240" w:lineRule="auto"/>
        <w:jc w:val="left"/>
        <w:sectPr>
          <w:type w:val="continuous"/>
          <w:pgSz w:w="11910" w:h="16840"/>
          <w:pgMar w:top="1320" w:bottom="1380" w:left="160" w:right="40"/>
          <w:cols w:num="2" w:equalWidth="0">
            <w:col w:w="5445" w:space="1497"/>
            <w:col w:w="4768"/>
          </w:cols>
        </w:sectPr>
      </w:pPr>
    </w:p>
    <w:p>
      <w:pPr>
        <w:spacing w:line="240" w:lineRule="auto" w:before="7"/>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1016"/>
        <w:gridCol w:w="874"/>
        <w:gridCol w:w="874"/>
        <w:gridCol w:w="1016"/>
        <w:gridCol w:w="874"/>
        <w:gridCol w:w="727"/>
        <w:gridCol w:w="874"/>
        <w:gridCol w:w="1018"/>
        <w:gridCol w:w="874"/>
        <w:gridCol w:w="872"/>
        <w:gridCol w:w="874"/>
        <w:gridCol w:w="727"/>
        <w:gridCol w:w="872"/>
      </w:tblGrid>
      <w:tr>
        <w:trPr>
          <w:trHeight w:val="281" w:hRule="exact"/>
        </w:trPr>
        <w:tc>
          <w:tcPr>
            <w:tcW w:w="1016" w:type="dxa"/>
            <w:vMerge w:val="restart"/>
            <w:tcBorders>
              <w:top w:val="single" w:sz="4" w:space="0" w:color="000000"/>
              <w:left w:val="single" w:sz="4" w:space="0" w:color="000000"/>
              <w:right w:val="single" w:sz="4" w:space="0" w:color="000000"/>
            </w:tcBorders>
          </w:tcPr>
          <w:p>
            <w:pPr>
              <w:pStyle w:val="TableParagraph"/>
              <w:spacing w:line="272" w:lineRule="exact" w:before="135"/>
              <w:ind w:left="299" w:right="176" w:hanging="106"/>
              <w:jc w:val="left"/>
              <w:rPr>
                <w:rFonts w:ascii="宋体" w:hAnsi="宋体" w:cs="宋体" w:eastAsia="宋体" w:hint="default"/>
                <w:sz w:val="21"/>
                <w:szCs w:val="21"/>
              </w:rPr>
            </w:pPr>
            <w:r>
              <w:rPr>
                <w:rFonts w:ascii="宋体" w:hAnsi="宋体" w:cs="宋体" w:eastAsia="宋体" w:hint="default"/>
                <w:sz w:val="21"/>
                <w:szCs w:val="21"/>
              </w:rPr>
              <w:t>子公司</w:t>
            </w:r>
            <w:r>
              <w:rPr>
                <w:rFonts w:ascii="宋体" w:hAnsi="宋体" w:cs="宋体" w:eastAsia="宋体" w:hint="default"/>
                <w:spacing w:val="-102"/>
                <w:sz w:val="21"/>
                <w:szCs w:val="21"/>
              </w:rPr>
              <w:t> </w:t>
            </w:r>
            <w:r>
              <w:rPr>
                <w:rFonts w:ascii="宋体" w:hAnsi="宋体" w:cs="宋体" w:eastAsia="宋体" w:hint="default"/>
                <w:sz w:val="21"/>
                <w:szCs w:val="21"/>
              </w:rPr>
              <w:t>名称</w:t>
            </w:r>
          </w:p>
        </w:tc>
        <w:tc>
          <w:tcPr>
            <w:tcW w:w="523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5235" w:type="dxa"/>
            <w:gridSpan w:val="6"/>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554" w:hRule="exact"/>
        </w:trPr>
        <w:tc>
          <w:tcPr>
            <w:tcW w:w="1016" w:type="dxa"/>
            <w:vMerge/>
            <w:tcBorders>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流动资</w:t>
            </w:r>
          </w:p>
          <w:p>
            <w:pPr>
              <w:pStyle w:val="TableParagraph"/>
              <w:spacing w:line="274" w:lineRule="exact"/>
              <w:ind w:right="2"/>
              <w:jc w:val="center"/>
              <w:rPr>
                <w:rFonts w:ascii="宋体" w:hAnsi="宋体" w:cs="宋体" w:eastAsia="宋体" w:hint="default"/>
                <w:sz w:val="21"/>
                <w:szCs w:val="21"/>
              </w:rPr>
            </w:pPr>
            <w:r>
              <w:rPr>
                <w:rFonts w:ascii="宋体" w:hAnsi="宋体" w:cs="宋体" w:eastAsia="宋体" w:hint="default"/>
                <w:w w:val="100"/>
                <w:sz w:val="21"/>
                <w:szCs w:val="21"/>
              </w:rPr>
              <w:t>产</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7" w:right="0"/>
              <w:jc w:val="center"/>
              <w:rPr>
                <w:rFonts w:ascii="宋体" w:hAnsi="宋体" w:cs="宋体" w:eastAsia="宋体" w:hint="default"/>
                <w:sz w:val="21"/>
                <w:szCs w:val="21"/>
              </w:rPr>
            </w:pPr>
            <w:r>
              <w:rPr>
                <w:rFonts w:ascii="宋体" w:hAnsi="宋体" w:cs="宋体" w:eastAsia="宋体" w:hint="default"/>
                <w:sz w:val="21"/>
                <w:szCs w:val="21"/>
              </w:rPr>
              <w:t>非流动</w:t>
            </w:r>
          </w:p>
          <w:p>
            <w:pPr>
              <w:pStyle w:val="TableParagraph"/>
              <w:spacing w:line="274" w:lineRule="exact"/>
              <w:ind w:left="57" w:right="0"/>
              <w:jc w:val="center"/>
              <w:rPr>
                <w:rFonts w:ascii="宋体" w:hAnsi="宋体" w:cs="宋体" w:eastAsia="宋体" w:hint="default"/>
                <w:sz w:val="21"/>
                <w:szCs w:val="21"/>
              </w:rPr>
            </w:pPr>
            <w:r>
              <w:rPr>
                <w:rFonts w:ascii="宋体" w:hAnsi="宋体" w:cs="宋体" w:eastAsia="宋体" w:hint="default"/>
                <w:sz w:val="21"/>
                <w:szCs w:val="21"/>
              </w:rPr>
              <w:t>资产</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 w:right="0"/>
              <w:jc w:val="center"/>
              <w:rPr>
                <w:rFonts w:ascii="宋体" w:hAnsi="宋体" w:cs="宋体" w:eastAsia="宋体" w:hint="default"/>
                <w:sz w:val="21"/>
                <w:szCs w:val="21"/>
              </w:rPr>
            </w:pPr>
            <w:r>
              <w:rPr>
                <w:rFonts w:ascii="宋体" w:hAnsi="宋体" w:cs="宋体" w:eastAsia="宋体" w:hint="default"/>
                <w:sz w:val="21"/>
                <w:szCs w:val="21"/>
              </w:rPr>
              <w:t>资产合</w:t>
            </w:r>
          </w:p>
          <w:p>
            <w:pPr>
              <w:pStyle w:val="TableParagraph"/>
              <w:spacing w:line="274" w:lineRule="exact"/>
              <w:ind w:right="2"/>
              <w:jc w:val="center"/>
              <w:rPr>
                <w:rFonts w:ascii="宋体" w:hAnsi="宋体" w:cs="宋体" w:eastAsia="宋体" w:hint="default"/>
                <w:sz w:val="21"/>
                <w:szCs w:val="21"/>
              </w:rPr>
            </w:pPr>
            <w:r>
              <w:rPr>
                <w:rFonts w:ascii="宋体" w:hAnsi="宋体" w:cs="宋体" w:eastAsia="宋体" w:hint="default"/>
                <w:w w:val="100"/>
                <w:sz w:val="21"/>
                <w:szCs w:val="21"/>
              </w:rPr>
              <w:t>计</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流动负</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w w:val="100"/>
                <w:sz w:val="21"/>
                <w:szCs w:val="21"/>
              </w:rPr>
              <w:t>债</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5" w:right="0"/>
              <w:jc w:val="center"/>
              <w:rPr>
                <w:rFonts w:ascii="宋体" w:hAnsi="宋体" w:cs="宋体" w:eastAsia="宋体" w:hint="default"/>
                <w:sz w:val="21"/>
                <w:szCs w:val="21"/>
              </w:rPr>
            </w:pPr>
            <w:r>
              <w:rPr>
                <w:rFonts w:ascii="宋体" w:hAnsi="宋体" w:cs="宋体" w:eastAsia="宋体" w:hint="default"/>
                <w:sz w:val="21"/>
                <w:szCs w:val="21"/>
              </w:rPr>
              <w:t>非流动</w:t>
            </w:r>
          </w:p>
          <w:p>
            <w:pPr>
              <w:pStyle w:val="TableParagraph"/>
              <w:spacing w:line="274" w:lineRule="exact"/>
              <w:ind w:left="55" w:right="0"/>
              <w:jc w:val="center"/>
              <w:rPr>
                <w:rFonts w:ascii="宋体" w:hAnsi="宋体" w:cs="宋体" w:eastAsia="宋体" w:hint="default"/>
                <w:sz w:val="21"/>
                <w:szCs w:val="21"/>
              </w:rPr>
            </w:pPr>
            <w:r>
              <w:rPr>
                <w:rFonts w:ascii="宋体" w:hAnsi="宋体" w:cs="宋体" w:eastAsia="宋体" w:hint="default"/>
                <w:sz w:val="21"/>
                <w:szCs w:val="21"/>
              </w:rPr>
              <w:t>负债</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负债合</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w w:val="100"/>
                <w:sz w:val="21"/>
                <w:szCs w:val="21"/>
              </w:rPr>
              <w:t>计</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
              <w:jc w:val="center"/>
              <w:rPr>
                <w:rFonts w:ascii="宋体" w:hAnsi="宋体" w:cs="宋体" w:eastAsia="宋体" w:hint="default"/>
                <w:sz w:val="21"/>
                <w:szCs w:val="21"/>
              </w:rPr>
            </w:pPr>
            <w:r>
              <w:rPr>
                <w:rFonts w:ascii="宋体" w:hAnsi="宋体" w:cs="宋体" w:eastAsia="宋体" w:hint="default"/>
                <w:sz w:val="21"/>
                <w:szCs w:val="21"/>
              </w:rPr>
              <w:t>流动资</w:t>
            </w:r>
          </w:p>
          <w:p>
            <w:pPr>
              <w:pStyle w:val="TableParagraph"/>
              <w:spacing w:line="274" w:lineRule="exact"/>
              <w:ind w:right="2"/>
              <w:jc w:val="center"/>
              <w:rPr>
                <w:rFonts w:ascii="宋体" w:hAnsi="宋体" w:cs="宋体" w:eastAsia="宋体" w:hint="default"/>
                <w:sz w:val="21"/>
                <w:szCs w:val="21"/>
              </w:rPr>
            </w:pPr>
            <w:r>
              <w:rPr>
                <w:rFonts w:ascii="宋体" w:hAnsi="宋体" w:cs="宋体" w:eastAsia="宋体" w:hint="default"/>
                <w:w w:val="100"/>
                <w:sz w:val="21"/>
                <w:szCs w:val="21"/>
              </w:rPr>
              <w:t>产</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7" w:right="0"/>
              <w:jc w:val="center"/>
              <w:rPr>
                <w:rFonts w:ascii="宋体" w:hAnsi="宋体" w:cs="宋体" w:eastAsia="宋体" w:hint="default"/>
                <w:sz w:val="21"/>
                <w:szCs w:val="21"/>
              </w:rPr>
            </w:pPr>
            <w:r>
              <w:rPr>
                <w:rFonts w:ascii="宋体" w:hAnsi="宋体" w:cs="宋体" w:eastAsia="宋体" w:hint="default"/>
                <w:sz w:val="21"/>
                <w:szCs w:val="21"/>
              </w:rPr>
              <w:t>非流动</w:t>
            </w:r>
          </w:p>
          <w:p>
            <w:pPr>
              <w:pStyle w:val="TableParagraph"/>
              <w:spacing w:line="274" w:lineRule="exact"/>
              <w:ind w:left="57" w:right="0"/>
              <w:jc w:val="center"/>
              <w:rPr>
                <w:rFonts w:ascii="宋体" w:hAnsi="宋体" w:cs="宋体" w:eastAsia="宋体" w:hint="default"/>
                <w:sz w:val="21"/>
                <w:szCs w:val="21"/>
              </w:rPr>
            </w:pPr>
            <w:r>
              <w:rPr>
                <w:rFonts w:ascii="宋体" w:hAnsi="宋体" w:cs="宋体" w:eastAsia="宋体" w:hint="default"/>
                <w:sz w:val="21"/>
                <w:szCs w:val="21"/>
              </w:rPr>
              <w:t>资产</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
              <w:jc w:val="center"/>
              <w:rPr>
                <w:rFonts w:ascii="宋体" w:hAnsi="宋体" w:cs="宋体" w:eastAsia="宋体" w:hint="default"/>
                <w:sz w:val="21"/>
                <w:szCs w:val="21"/>
              </w:rPr>
            </w:pPr>
            <w:r>
              <w:rPr>
                <w:rFonts w:ascii="宋体" w:hAnsi="宋体" w:cs="宋体" w:eastAsia="宋体" w:hint="default"/>
                <w:sz w:val="21"/>
                <w:szCs w:val="21"/>
              </w:rPr>
              <w:t>资产合</w:t>
            </w:r>
          </w:p>
          <w:p>
            <w:pPr>
              <w:pStyle w:val="TableParagraph"/>
              <w:spacing w:line="274" w:lineRule="exact"/>
              <w:ind w:right="2"/>
              <w:jc w:val="center"/>
              <w:rPr>
                <w:rFonts w:ascii="宋体" w:hAnsi="宋体" w:cs="宋体" w:eastAsia="宋体" w:hint="default"/>
                <w:sz w:val="21"/>
                <w:szCs w:val="21"/>
              </w:rPr>
            </w:pPr>
            <w:r>
              <w:rPr>
                <w:rFonts w:ascii="宋体" w:hAnsi="宋体" w:cs="宋体" w:eastAsia="宋体" w:hint="default"/>
                <w:w w:val="100"/>
                <w:sz w:val="21"/>
                <w:szCs w:val="21"/>
              </w:rPr>
              <w:t>计</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流动负</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w w:val="100"/>
                <w:sz w:val="21"/>
                <w:szCs w:val="21"/>
              </w:rPr>
              <w:t>债</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5" w:right="0"/>
              <w:jc w:val="center"/>
              <w:rPr>
                <w:rFonts w:ascii="宋体" w:hAnsi="宋体" w:cs="宋体" w:eastAsia="宋体" w:hint="default"/>
                <w:sz w:val="21"/>
                <w:szCs w:val="21"/>
              </w:rPr>
            </w:pPr>
            <w:r>
              <w:rPr>
                <w:rFonts w:ascii="宋体" w:hAnsi="宋体" w:cs="宋体" w:eastAsia="宋体" w:hint="default"/>
                <w:sz w:val="21"/>
                <w:szCs w:val="21"/>
              </w:rPr>
              <w:t>非流动</w:t>
            </w:r>
          </w:p>
          <w:p>
            <w:pPr>
              <w:pStyle w:val="TableParagraph"/>
              <w:spacing w:line="274" w:lineRule="exact"/>
              <w:ind w:left="55" w:right="0"/>
              <w:jc w:val="center"/>
              <w:rPr>
                <w:rFonts w:ascii="宋体" w:hAnsi="宋体" w:cs="宋体" w:eastAsia="宋体" w:hint="default"/>
                <w:sz w:val="21"/>
                <w:szCs w:val="21"/>
              </w:rPr>
            </w:pPr>
            <w:r>
              <w:rPr>
                <w:rFonts w:ascii="宋体" w:hAnsi="宋体" w:cs="宋体" w:eastAsia="宋体" w:hint="default"/>
                <w:sz w:val="21"/>
                <w:szCs w:val="21"/>
              </w:rPr>
              <w:t>负债</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负债合</w:t>
            </w:r>
          </w:p>
          <w:p>
            <w:pPr>
              <w:pStyle w:val="TableParagraph"/>
              <w:spacing w:line="274" w:lineRule="exact"/>
              <w:ind w:right="5"/>
              <w:jc w:val="center"/>
              <w:rPr>
                <w:rFonts w:ascii="宋体" w:hAnsi="宋体" w:cs="宋体" w:eastAsia="宋体" w:hint="default"/>
                <w:sz w:val="21"/>
                <w:szCs w:val="21"/>
              </w:rPr>
            </w:pPr>
            <w:r>
              <w:rPr>
                <w:rFonts w:ascii="宋体" w:hAnsi="宋体" w:cs="宋体" w:eastAsia="宋体" w:hint="default"/>
                <w:w w:val="100"/>
                <w:sz w:val="21"/>
                <w:szCs w:val="21"/>
              </w:rPr>
              <w:t>计</w:t>
            </w:r>
          </w:p>
        </w:tc>
      </w:tr>
      <w:tr>
        <w:trPr>
          <w:trHeight w:val="478" w:hRule="exact"/>
        </w:trPr>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畅捷通</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29" w:right="0"/>
              <w:jc w:val="left"/>
              <w:rPr>
                <w:rFonts w:ascii="宋体" w:hAnsi="宋体" w:cs="宋体" w:eastAsia="宋体" w:hint="default"/>
                <w:sz w:val="18"/>
                <w:szCs w:val="18"/>
              </w:rPr>
            </w:pPr>
            <w:r>
              <w:rPr>
                <w:rFonts w:ascii="宋体"/>
                <w:sz w:val="18"/>
              </w:rPr>
              <w:t>1,102,5</w:t>
            </w:r>
          </w:p>
          <w:p>
            <w:pPr>
              <w:pStyle w:val="TableParagraph"/>
              <w:spacing w:line="234" w:lineRule="exact"/>
              <w:ind w:left="220" w:right="0"/>
              <w:jc w:val="left"/>
              <w:rPr>
                <w:rFonts w:ascii="宋体" w:hAnsi="宋体" w:cs="宋体" w:eastAsia="宋体" w:hint="default"/>
                <w:sz w:val="18"/>
                <w:szCs w:val="18"/>
              </w:rPr>
            </w:pPr>
            <w:r>
              <w:rPr>
                <w:rFonts w:ascii="宋体"/>
                <w:sz w:val="18"/>
              </w:rPr>
              <w:t>96,703</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29" w:right="0"/>
              <w:jc w:val="left"/>
              <w:rPr>
                <w:rFonts w:ascii="宋体" w:hAnsi="宋体" w:cs="宋体" w:eastAsia="宋体" w:hint="default"/>
                <w:sz w:val="18"/>
                <w:szCs w:val="18"/>
              </w:rPr>
            </w:pPr>
            <w:r>
              <w:rPr>
                <w:rFonts w:ascii="宋体"/>
                <w:sz w:val="18"/>
              </w:rPr>
              <w:t>174,736</w:t>
            </w:r>
          </w:p>
          <w:p>
            <w:pPr>
              <w:pStyle w:val="TableParagraph"/>
              <w:spacing w:line="234" w:lineRule="exact"/>
              <w:ind w:left="400" w:right="0"/>
              <w:jc w:val="left"/>
              <w:rPr>
                <w:rFonts w:ascii="宋体" w:hAnsi="宋体" w:cs="宋体" w:eastAsia="宋体" w:hint="default"/>
                <w:sz w:val="18"/>
                <w:szCs w:val="18"/>
              </w:rPr>
            </w:pPr>
            <w:r>
              <w:rPr>
                <w:rFonts w:ascii="宋体"/>
                <w:sz w:val="18"/>
              </w:rPr>
              <w:t>,368</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82" w:right="0"/>
              <w:jc w:val="left"/>
              <w:rPr>
                <w:rFonts w:ascii="宋体" w:hAnsi="宋体" w:cs="宋体" w:eastAsia="宋体" w:hint="default"/>
                <w:sz w:val="18"/>
                <w:szCs w:val="18"/>
              </w:rPr>
            </w:pPr>
            <w:r>
              <w:rPr>
                <w:rFonts w:ascii="宋体"/>
                <w:sz w:val="18"/>
              </w:rPr>
              <w:t>1,277,33</w:t>
            </w:r>
          </w:p>
          <w:p>
            <w:pPr>
              <w:pStyle w:val="TableParagraph"/>
              <w:spacing w:line="234" w:lineRule="exact"/>
              <w:ind w:left="451" w:right="0"/>
              <w:jc w:val="left"/>
              <w:rPr>
                <w:rFonts w:ascii="宋体" w:hAnsi="宋体" w:cs="宋体" w:eastAsia="宋体" w:hint="default"/>
                <w:sz w:val="18"/>
                <w:szCs w:val="18"/>
              </w:rPr>
            </w:pPr>
            <w:r>
              <w:rPr>
                <w:rFonts w:ascii="宋体"/>
                <w:sz w:val="18"/>
              </w:rPr>
              <w:t>3,071</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29" w:right="0"/>
              <w:jc w:val="left"/>
              <w:rPr>
                <w:rFonts w:ascii="宋体" w:hAnsi="宋体" w:cs="宋体" w:eastAsia="宋体" w:hint="default"/>
                <w:sz w:val="18"/>
                <w:szCs w:val="18"/>
              </w:rPr>
            </w:pPr>
            <w:r>
              <w:rPr>
                <w:rFonts w:ascii="宋体"/>
                <w:sz w:val="18"/>
              </w:rPr>
              <w:t>126,316</w:t>
            </w:r>
          </w:p>
          <w:p>
            <w:pPr>
              <w:pStyle w:val="TableParagraph"/>
              <w:spacing w:line="234" w:lineRule="exact"/>
              <w:ind w:left="400" w:right="0"/>
              <w:jc w:val="left"/>
              <w:rPr>
                <w:rFonts w:ascii="宋体" w:hAnsi="宋体" w:cs="宋体" w:eastAsia="宋体" w:hint="default"/>
                <w:sz w:val="18"/>
                <w:szCs w:val="18"/>
              </w:rPr>
            </w:pPr>
            <w:r>
              <w:rPr>
                <w:rFonts w:ascii="宋体"/>
                <w:sz w:val="18"/>
              </w:rPr>
              <w:t>,730</w:t>
            </w:r>
          </w:p>
        </w:tc>
        <w:tc>
          <w:tcPr>
            <w:tcW w:w="727"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29" w:right="0"/>
              <w:jc w:val="left"/>
              <w:rPr>
                <w:rFonts w:ascii="宋体" w:hAnsi="宋体" w:cs="宋体" w:eastAsia="宋体" w:hint="default"/>
                <w:sz w:val="18"/>
                <w:szCs w:val="18"/>
              </w:rPr>
            </w:pPr>
            <w:r>
              <w:rPr>
                <w:rFonts w:ascii="宋体"/>
                <w:sz w:val="18"/>
              </w:rPr>
              <w:t>126,316</w:t>
            </w:r>
          </w:p>
          <w:p>
            <w:pPr>
              <w:pStyle w:val="TableParagraph"/>
              <w:spacing w:line="234" w:lineRule="exact"/>
              <w:ind w:left="400" w:right="0"/>
              <w:jc w:val="left"/>
              <w:rPr>
                <w:rFonts w:ascii="宋体" w:hAnsi="宋体" w:cs="宋体" w:eastAsia="宋体" w:hint="default"/>
                <w:sz w:val="18"/>
                <w:szCs w:val="18"/>
              </w:rPr>
            </w:pPr>
            <w:r>
              <w:rPr>
                <w:rFonts w:ascii="宋体"/>
                <w:sz w:val="18"/>
              </w:rPr>
              <w:t>,730</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82" w:right="0"/>
              <w:jc w:val="left"/>
              <w:rPr>
                <w:rFonts w:ascii="宋体" w:hAnsi="宋体" w:cs="宋体" w:eastAsia="宋体" w:hint="default"/>
                <w:sz w:val="18"/>
                <w:szCs w:val="18"/>
              </w:rPr>
            </w:pPr>
            <w:r>
              <w:rPr>
                <w:rFonts w:ascii="宋体"/>
                <w:sz w:val="18"/>
              </w:rPr>
              <w:t>1,179,18</w:t>
            </w:r>
          </w:p>
          <w:p>
            <w:pPr>
              <w:pStyle w:val="TableParagraph"/>
              <w:spacing w:line="234" w:lineRule="exact"/>
              <w:ind w:left="451" w:right="0"/>
              <w:jc w:val="left"/>
              <w:rPr>
                <w:rFonts w:ascii="宋体" w:hAnsi="宋体" w:cs="宋体" w:eastAsia="宋体" w:hint="default"/>
                <w:sz w:val="18"/>
                <w:szCs w:val="18"/>
              </w:rPr>
            </w:pPr>
            <w:r>
              <w:rPr>
                <w:rFonts w:ascii="宋体"/>
                <w:sz w:val="18"/>
              </w:rPr>
              <w:t>5,409</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29" w:right="0"/>
              <w:jc w:val="left"/>
              <w:rPr>
                <w:rFonts w:ascii="宋体" w:hAnsi="宋体" w:cs="宋体" w:eastAsia="宋体" w:hint="default"/>
                <w:sz w:val="18"/>
                <w:szCs w:val="18"/>
              </w:rPr>
            </w:pPr>
            <w:r>
              <w:rPr>
                <w:rFonts w:ascii="宋体"/>
                <w:sz w:val="18"/>
              </w:rPr>
              <w:t>146,125</w:t>
            </w:r>
          </w:p>
          <w:p>
            <w:pPr>
              <w:pStyle w:val="TableParagraph"/>
              <w:spacing w:line="234" w:lineRule="exact"/>
              <w:ind w:left="400" w:right="0"/>
              <w:jc w:val="left"/>
              <w:rPr>
                <w:rFonts w:ascii="宋体" w:hAnsi="宋体" w:cs="宋体" w:eastAsia="宋体" w:hint="default"/>
                <w:sz w:val="18"/>
                <w:szCs w:val="18"/>
              </w:rPr>
            </w:pPr>
            <w:r>
              <w:rPr>
                <w:rFonts w:ascii="宋体"/>
                <w:sz w:val="18"/>
              </w:rPr>
              <w:t>,236</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27" w:right="0"/>
              <w:jc w:val="left"/>
              <w:rPr>
                <w:rFonts w:ascii="宋体" w:hAnsi="宋体" w:cs="宋体" w:eastAsia="宋体" w:hint="default"/>
                <w:sz w:val="18"/>
                <w:szCs w:val="18"/>
              </w:rPr>
            </w:pPr>
            <w:r>
              <w:rPr>
                <w:rFonts w:ascii="宋体"/>
                <w:sz w:val="18"/>
              </w:rPr>
              <w:t>1,325,3</w:t>
            </w:r>
          </w:p>
          <w:p>
            <w:pPr>
              <w:pStyle w:val="TableParagraph"/>
              <w:spacing w:line="234" w:lineRule="exact"/>
              <w:ind w:left="218" w:right="0"/>
              <w:jc w:val="left"/>
              <w:rPr>
                <w:rFonts w:ascii="宋体" w:hAnsi="宋体" w:cs="宋体" w:eastAsia="宋体" w:hint="default"/>
                <w:sz w:val="18"/>
                <w:szCs w:val="18"/>
              </w:rPr>
            </w:pPr>
            <w:r>
              <w:rPr>
                <w:rFonts w:ascii="宋体"/>
                <w:sz w:val="18"/>
              </w:rPr>
              <w:t>10,645</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29" w:right="0"/>
              <w:jc w:val="left"/>
              <w:rPr>
                <w:rFonts w:ascii="宋体" w:hAnsi="宋体" w:cs="宋体" w:eastAsia="宋体" w:hint="default"/>
                <w:sz w:val="18"/>
                <w:szCs w:val="18"/>
              </w:rPr>
            </w:pPr>
            <w:r>
              <w:rPr>
                <w:rFonts w:ascii="宋体"/>
                <w:sz w:val="18"/>
              </w:rPr>
              <w:t>412,555</w:t>
            </w:r>
          </w:p>
          <w:p>
            <w:pPr>
              <w:pStyle w:val="TableParagraph"/>
              <w:spacing w:line="234" w:lineRule="exact"/>
              <w:ind w:left="400" w:right="0"/>
              <w:jc w:val="left"/>
              <w:rPr>
                <w:rFonts w:ascii="宋体" w:hAnsi="宋体" w:cs="宋体" w:eastAsia="宋体" w:hint="default"/>
                <w:sz w:val="18"/>
                <w:szCs w:val="18"/>
              </w:rPr>
            </w:pPr>
            <w:r>
              <w:rPr>
                <w:rFonts w:ascii="宋体"/>
                <w:sz w:val="18"/>
              </w:rPr>
              <w:t>,527</w:t>
            </w:r>
          </w:p>
        </w:tc>
        <w:tc>
          <w:tcPr>
            <w:tcW w:w="727"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24" w:right="0"/>
              <w:jc w:val="left"/>
              <w:rPr>
                <w:rFonts w:ascii="宋体" w:hAnsi="宋体" w:cs="宋体" w:eastAsia="宋体" w:hint="default"/>
                <w:sz w:val="18"/>
                <w:szCs w:val="18"/>
              </w:rPr>
            </w:pPr>
            <w:r>
              <w:rPr>
                <w:rFonts w:ascii="宋体"/>
                <w:sz w:val="18"/>
              </w:rPr>
              <w:t>412,555</w:t>
            </w:r>
          </w:p>
          <w:p>
            <w:pPr>
              <w:pStyle w:val="TableParagraph"/>
              <w:spacing w:line="234" w:lineRule="exact"/>
              <w:ind w:left="396" w:right="0"/>
              <w:jc w:val="left"/>
              <w:rPr>
                <w:rFonts w:ascii="宋体" w:hAnsi="宋体" w:cs="宋体" w:eastAsia="宋体" w:hint="default"/>
                <w:sz w:val="18"/>
                <w:szCs w:val="18"/>
              </w:rPr>
            </w:pPr>
            <w:r>
              <w:rPr>
                <w:rFonts w:ascii="宋体"/>
                <w:sz w:val="18"/>
              </w:rPr>
              <w:t>,527</w:t>
            </w:r>
          </w:p>
        </w:tc>
      </w:tr>
      <w:tr>
        <w:trPr>
          <w:trHeight w:val="478" w:hRule="exact"/>
        </w:trPr>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用友政务</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9" w:right="0"/>
              <w:jc w:val="left"/>
              <w:rPr>
                <w:rFonts w:ascii="宋体" w:hAnsi="宋体" w:cs="宋体" w:eastAsia="宋体" w:hint="default"/>
                <w:sz w:val="18"/>
                <w:szCs w:val="18"/>
              </w:rPr>
            </w:pPr>
            <w:r>
              <w:rPr>
                <w:rFonts w:ascii="宋体"/>
                <w:sz w:val="18"/>
              </w:rPr>
              <w:t>609,476</w:t>
            </w:r>
          </w:p>
          <w:p>
            <w:pPr>
              <w:pStyle w:val="TableParagraph"/>
              <w:spacing w:line="240" w:lineRule="auto"/>
              <w:ind w:left="400" w:right="0"/>
              <w:jc w:val="left"/>
              <w:rPr>
                <w:rFonts w:ascii="宋体" w:hAnsi="宋体" w:cs="宋体" w:eastAsia="宋体" w:hint="default"/>
                <w:sz w:val="18"/>
                <w:szCs w:val="18"/>
              </w:rPr>
            </w:pPr>
            <w:r>
              <w:rPr>
                <w:rFonts w:ascii="宋体"/>
                <w:sz w:val="18"/>
              </w:rPr>
              <w:t>,461</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9" w:right="0"/>
              <w:jc w:val="left"/>
              <w:rPr>
                <w:rFonts w:ascii="宋体" w:hAnsi="宋体" w:cs="宋体" w:eastAsia="宋体" w:hint="default"/>
                <w:sz w:val="18"/>
                <w:szCs w:val="18"/>
              </w:rPr>
            </w:pPr>
            <w:r>
              <w:rPr>
                <w:rFonts w:ascii="宋体"/>
                <w:sz w:val="18"/>
              </w:rPr>
              <w:t>50,385,</w:t>
            </w:r>
          </w:p>
          <w:p>
            <w:pPr>
              <w:pStyle w:val="TableParagraph"/>
              <w:spacing w:line="240" w:lineRule="auto"/>
              <w:ind w:left="489" w:right="0"/>
              <w:jc w:val="left"/>
              <w:rPr>
                <w:rFonts w:ascii="宋体" w:hAnsi="宋体" w:cs="宋体" w:eastAsia="宋体" w:hint="default"/>
                <w:sz w:val="18"/>
                <w:szCs w:val="18"/>
              </w:rPr>
            </w:pPr>
            <w:r>
              <w:rPr>
                <w:rFonts w:ascii="宋体"/>
                <w:sz w:val="18"/>
              </w:rPr>
              <w:t>055</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82" w:right="0"/>
              <w:jc w:val="left"/>
              <w:rPr>
                <w:rFonts w:ascii="宋体" w:hAnsi="宋体" w:cs="宋体" w:eastAsia="宋体" w:hint="default"/>
                <w:sz w:val="18"/>
                <w:szCs w:val="18"/>
              </w:rPr>
            </w:pPr>
            <w:r>
              <w:rPr>
                <w:rFonts w:ascii="宋体"/>
                <w:sz w:val="18"/>
              </w:rPr>
              <w:t>659,861,</w:t>
            </w:r>
          </w:p>
          <w:p>
            <w:pPr>
              <w:pStyle w:val="TableParagraph"/>
              <w:spacing w:line="240" w:lineRule="auto"/>
              <w:ind w:left="631" w:right="0"/>
              <w:jc w:val="left"/>
              <w:rPr>
                <w:rFonts w:ascii="宋体" w:hAnsi="宋体" w:cs="宋体" w:eastAsia="宋体" w:hint="default"/>
                <w:sz w:val="18"/>
                <w:szCs w:val="18"/>
              </w:rPr>
            </w:pPr>
            <w:r>
              <w:rPr>
                <w:rFonts w:ascii="宋体"/>
                <w:sz w:val="18"/>
              </w:rPr>
              <w:t>516</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9" w:right="0"/>
              <w:jc w:val="left"/>
              <w:rPr>
                <w:rFonts w:ascii="宋体" w:hAnsi="宋体" w:cs="宋体" w:eastAsia="宋体" w:hint="default"/>
                <w:sz w:val="18"/>
                <w:szCs w:val="18"/>
              </w:rPr>
            </w:pPr>
            <w:r>
              <w:rPr>
                <w:rFonts w:ascii="宋体"/>
                <w:sz w:val="18"/>
              </w:rPr>
              <w:t>335,209</w:t>
            </w:r>
          </w:p>
          <w:p>
            <w:pPr>
              <w:pStyle w:val="TableParagraph"/>
              <w:spacing w:line="240" w:lineRule="auto"/>
              <w:ind w:left="400" w:right="0"/>
              <w:jc w:val="left"/>
              <w:rPr>
                <w:rFonts w:ascii="宋体" w:hAnsi="宋体" w:cs="宋体" w:eastAsia="宋体" w:hint="default"/>
                <w:sz w:val="18"/>
                <w:szCs w:val="18"/>
              </w:rPr>
            </w:pPr>
            <w:r>
              <w:rPr>
                <w:rFonts w:ascii="宋体"/>
                <w:sz w:val="18"/>
              </w:rPr>
              <w:t>,782</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60" w:right="0"/>
              <w:jc w:val="left"/>
              <w:rPr>
                <w:rFonts w:ascii="宋体" w:hAnsi="宋体" w:cs="宋体" w:eastAsia="宋体" w:hint="default"/>
                <w:sz w:val="18"/>
                <w:szCs w:val="18"/>
              </w:rPr>
            </w:pPr>
            <w:r>
              <w:rPr>
                <w:rFonts w:ascii="宋体"/>
                <w:sz w:val="18"/>
              </w:rPr>
              <w:t>1,076</w:t>
            </w:r>
          </w:p>
          <w:p>
            <w:pPr>
              <w:pStyle w:val="TableParagraph"/>
              <w:spacing w:line="240" w:lineRule="auto"/>
              <w:ind w:left="251" w:right="0"/>
              <w:jc w:val="left"/>
              <w:rPr>
                <w:rFonts w:ascii="宋体" w:hAnsi="宋体" w:cs="宋体" w:eastAsia="宋体" w:hint="default"/>
                <w:sz w:val="18"/>
                <w:szCs w:val="18"/>
              </w:rPr>
            </w:pPr>
            <w:r>
              <w:rPr>
                <w:rFonts w:ascii="宋体"/>
                <w:sz w:val="18"/>
              </w:rPr>
              <w:t>,599</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9" w:right="0"/>
              <w:jc w:val="left"/>
              <w:rPr>
                <w:rFonts w:ascii="宋体" w:hAnsi="宋体" w:cs="宋体" w:eastAsia="宋体" w:hint="default"/>
                <w:sz w:val="18"/>
                <w:szCs w:val="18"/>
              </w:rPr>
            </w:pPr>
            <w:r>
              <w:rPr>
                <w:rFonts w:ascii="宋体"/>
                <w:sz w:val="18"/>
              </w:rPr>
              <w:t>336,286</w:t>
            </w:r>
          </w:p>
          <w:p>
            <w:pPr>
              <w:pStyle w:val="TableParagraph"/>
              <w:spacing w:line="240" w:lineRule="auto"/>
              <w:ind w:left="400" w:right="0"/>
              <w:jc w:val="left"/>
              <w:rPr>
                <w:rFonts w:ascii="宋体" w:hAnsi="宋体" w:cs="宋体" w:eastAsia="宋体" w:hint="default"/>
                <w:sz w:val="18"/>
                <w:szCs w:val="18"/>
              </w:rPr>
            </w:pPr>
            <w:r>
              <w:rPr>
                <w:rFonts w:ascii="宋体"/>
                <w:sz w:val="18"/>
              </w:rPr>
              <w:t>,381</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82" w:right="0"/>
              <w:jc w:val="left"/>
              <w:rPr>
                <w:rFonts w:ascii="宋体" w:hAnsi="宋体" w:cs="宋体" w:eastAsia="宋体" w:hint="default"/>
                <w:sz w:val="18"/>
                <w:szCs w:val="18"/>
              </w:rPr>
            </w:pPr>
            <w:r>
              <w:rPr>
                <w:rFonts w:ascii="宋体"/>
                <w:sz w:val="18"/>
              </w:rPr>
              <w:t>594,301,</w:t>
            </w:r>
          </w:p>
          <w:p>
            <w:pPr>
              <w:pStyle w:val="TableParagraph"/>
              <w:spacing w:line="240" w:lineRule="auto"/>
              <w:ind w:left="631" w:right="0"/>
              <w:jc w:val="left"/>
              <w:rPr>
                <w:rFonts w:ascii="宋体" w:hAnsi="宋体" w:cs="宋体" w:eastAsia="宋体" w:hint="default"/>
                <w:sz w:val="18"/>
                <w:szCs w:val="18"/>
              </w:rPr>
            </w:pPr>
            <w:r>
              <w:rPr>
                <w:rFonts w:ascii="宋体"/>
                <w:sz w:val="18"/>
              </w:rPr>
              <w:t>506</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9" w:right="0"/>
              <w:jc w:val="left"/>
              <w:rPr>
                <w:rFonts w:ascii="宋体" w:hAnsi="宋体" w:cs="宋体" w:eastAsia="宋体" w:hint="default"/>
                <w:sz w:val="18"/>
                <w:szCs w:val="18"/>
              </w:rPr>
            </w:pPr>
            <w:r>
              <w:rPr>
                <w:rFonts w:ascii="宋体"/>
                <w:sz w:val="18"/>
              </w:rPr>
              <w:t>48,081,</w:t>
            </w:r>
          </w:p>
          <w:p>
            <w:pPr>
              <w:pStyle w:val="TableParagraph"/>
              <w:spacing w:line="240" w:lineRule="auto"/>
              <w:ind w:left="489" w:right="0"/>
              <w:jc w:val="left"/>
              <w:rPr>
                <w:rFonts w:ascii="宋体" w:hAnsi="宋体" w:cs="宋体" w:eastAsia="宋体" w:hint="default"/>
                <w:sz w:val="18"/>
                <w:szCs w:val="18"/>
              </w:rPr>
            </w:pPr>
            <w:r>
              <w:rPr>
                <w:rFonts w:ascii="宋体"/>
                <w:sz w:val="18"/>
              </w:rPr>
              <w:t>950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7" w:right="0"/>
              <w:jc w:val="left"/>
              <w:rPr>
                <w:rFonts w:ascii="宋体" w:hAnsi="宋体" w:cs="宋体" w:eastAsia="宋体" w:hint="default"/>
                <w:sz w:val="18"/>
                <w:szCs w:val="18"/>
              </w:rPr>
            </w:pPr>
            <w:r>
              <w:rPr>
                <w:rFonts w:ascii="宋体"/>
                <w:sz w:val="18"/>
              </w:rPr>
              <w:t>642,383</w:t>
            </w:r>
          </w:p>
          <w:p>
            <w:pPr>
              <w:pStyle w:val="TableParagraph"/>
              <w:spacing w:line="240" w:lineRule="auto"/>
              <w:ind w:left="398" w:right="0"/>
              <w:jc w:val="left"/>
              <w:rPr>
                <w:rFonts w:ascii="宋体" w:hAnsi="宋体" w:cs="宋体" w:eastAsia="宋体" w:hint="default"/>
                <w:sz w:val="18"/>
                <w:szCs w:val="18"/>
              </w:rPr>
            </w:pPr>
            <w:r>
              <w:rPr>
                <w:rFonts w:ascii="宋体"/>
                <w:sz w:val="18"/>
              </w:rPr>
              <w:t>,456</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9" w:right="0"/>
              <w:jc w:val="left"/>
              <w:rPr>
                <w:rFonts w:ascii="宋体" w:hAnsi="宋体" w:cs="宋体" w:eastAsia="宋体" w:hint="default"/>
                <w:sz w:val="18"/>
                <w:szCs w:val="18"/>
              </w:rPr>
            </w:pPr>
            <w:r>
              <w:rPr>
                <w:rFonts w:ascii="宋体"/>
                <w:sz w:val="18"/>
              </w:rPr>
              <w:t>310,096</w:t>
            </w:r>
          </w:p>
          <w:p>
            <w:pPr>
              <w:pStyle w:val="TableParagraph"/>
              <w:spacing w:line="240" w:lineRule="auto"/>
              <w:ind w:left="400" w:right="0"/>
              <w:jc w:val="left"/>
              <w:rPr>
                <w:rFonts w:ascii="宋体" w:hAnsi="宋体" w:cs="宋体" w:eastAsia="宋体" w:hint="default"/>
                <w:sz w:val="18"/>
                <w:szCs w:val="18"/>
              </w:rPr>
            </w:pPr>
            <w:r>
              <w:rPr>
                <w:rFonts w:ascii="宋体"/>
                <w:sz w:val="18"/>
              </w:rPr>
              <w:t>,731</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63" w:right="0"/>
              <w:jc w:val="left"/>
              <w:rPr>
                <w:rFonts w:ascii="宋体" w:hAnsi="宋体" w:cs="宋体" w:eastAsia="宋体" w:hint="default"/>
                <w:sz w:val="18"/>
                <w:szCs w:val="18"/>
              </w:rPr>
            </w:pPr>
            <w:r>
              <w:rPr>
                <w:rFonts w:ascii="宋体"/>
                <w:sz w:val="18"/>
              </w:rPr>
              <w:t>1,099</w:t>
            </w:r>
          </w:p>
          <w:p>
            <w:pPr>
              <w:pStyle w:val="TableParagraph"/>
              <w:spacing w:line="240" w:lineRule="auto"/>
              <w:ind w:left="254" w:right="0"/>
              <w:jc w:val="left"/>
              <w:rPr>
                <w:rFonts w:ascii="宋体" w:hAnsi="宋体" w:cs="宋体" w:eastAsia="宋体" w:hint="default"/>
                <w:sz w:val="18"/>
                <w:szCs w:val="18"/>
              </w:rPr>
            </w:pPr>
            <w:r>
              <w:rPr>
                <w:rFonts w:ascii="宋体"/>
                <w:sz w:val="18"/>
              </w:rPr>
              <w:t>,386</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4" w:right="0"/>
              <w:jc w:val="left"/>
              <w:rPr>
                <w:rFonts w:ascii="宋体" w:hAnsi="宋体" w:cs="宋体" w:eastAsia="宋体" w:hint="default"/>
                <w:sz w:val="18"/>
                <w:szCs w:val="18"/>
              </w:rPr>
            </w:pPr>
            <w:r>
              <w:rPr>
                <w:rFonts w:ascii="宋体"/>
                <w:sz w:val="18"/>
              </w:rPr>
              <w:t>311,196</w:t>
            </w:r>
          </w:p>
          <w:p>
            <w:pPr>
              <w:pStyle w:val="TableParagraph"/>
              <w:spacing w:line="240" w:lineRule="auto"/>
              <w:ind w:left="396" w:right="0"/>
              <w:jc w:val="left"/>
              <w:rPr>
                <w:rFonts w:ascii="宋体" w:hAnsi="宋体" w:cs="宋体" w:eastAsia="宋体" w:hint="default"/>
                <w:sz w:val="18"/>
                <w:szCs w:val="18"/>
              </w:rPr>
            </w:pPr>
            <w:r>
              <w:rPr>
                <w:rFonts w:ascii="宋体"/>
                <w:sz w:val="18"/>
              </w:rPr>
              <w:t>,117</w:t>
            </w:r>
          </w:p>
        </w:tc>
      </w:tr>
      <w:tr>
        <w:trPr>
          <w:trHeight w:val="475" w:hRule="exact"/>
        </w:trPr>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用友汽车</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29" w:right="0"/>
              <w:jc w:val="left"/>
              <w:rPr>
                <w:rFonts w:ascii="宋体" w:hAnsi="宋体" w:cs="宋体" w:eastAsia="宋体" w:hint="default"/>
                <w:sz w:val="18"/>
                <w:szCs w:val="18"/>
              </w:rPr>
            </w:pPr>
            <w:r>
              <w:rPr>
                <w:rFonts w:ascii="宋体"/>
                <w:sz w:val="18"/>
              </w:rPr>
              <w:t>484,889</w:t>
            </w:r>
          </w:p>
          <w:p>
            <w:pPr>
              <w:pStyle w:val="TableParagraph"/>
              <w:spacing w:line="234" w:lineRule="exact"/>
              <w:ind w:left="400" w:right="0"/>
              <w:jc w:val="left"/>
              <w:rPr>
                <w:rFonts w:ascii="宋体" w:hAnsi="宋体" w:cs="宋体" w:eastAsia="宋体" w:hint="default"/>
                <w:sz w:val="18"/>
                <w:szCs w:val="18"/>
              </w:rPr>
            </w:pPr>
            <w:r>
              <w:rPr>
                <w:rFonts w:ascii="宋体"/>
                <w:sz w:val="18"/>
              </w:rPr>
              <w:t>,345</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29" w:right="0"/>
              <w:jc w:val="left"/>
              <w:rPr>
                <w:rFonts w:ascii="宋体" w:hAnsi="宋体" w:cs="宋体" w:eastAsia="宋体" w:hint="default"/>
                <w:sz w:val="18"/>
                <w:szCs w:val="18"/>
              </w:rPr>
            </w:pPr>
            <w:r>
              <w:rPr>
                <w:rFonts w:ascii="宋体"/>
                <w:sz w:val="18"/>
              </w:rPr>
              <w:t>25,905,</w:t>
            </w:r>
          </w:p>
          <w:p>
            <w:pPr>
              <w:pStyle w:val="TableParagraph"/>
              <w:spacing w:line="234" w:lineRule="exact"/>
              <w:ind w:left="489" w:right="0"/>
              <w:jc w:val="left"/>
              <w:rPr>
                <w:rFonts w:ascii="宋体" w:hAnsi="宋体" w:cs="宋体" w:eastAsia="宋体" w:hint="default"/>
                <w:sz w:val="18"/>
                <w:szCs w:val="18"/>
              </w:rPr>
            </w:pPr>
            <w:r>
              <w:rPr>
                <w:rFonts w:ascii="宋体"/>
                <w:sz w:val="18"/>
              </w:rPr>
              <w:t>790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82" w:right="0"/>
              <w:jc w:val="left"/>
              <w:rPr>
                <w:rFonts w:ascii="宋体" w:hAnsi="宋体" w:cs="宋体" w:eastAsia="宋体" w:hint="default"/>
                <w:sz w:val="18"/>
                <w:szCs w:val="18"/>
              </w:rPr>
            </w:pPr>
            <w:r>
              <w:rPr>
                <w:rFonts w:ascii="宋体"/>
                <w:sz w:val="18"/>
              </w:rPr>
              <w:t>510,795,</w:t>
            </w:r>
          </w:p>
          <w:p>
            <w:pPr>
              <w:pStyle w:val="TableParagraph"/>
              <w:spacing w:line="234" w:lineRule="exact"/>
              <w:ind w:left="631" w:right="0"/>
              <w:jc w:val="left"/>
              <w:rPr>
                <w:rFonts w:ascii="宋体" w:hAnsi="宋体" w:cs="宋体" w:eastAsia="宋体" w:hint="default"/>
                <w:sz w:val="18"/>
                <w:szCs w:val="18"/>
              </w:rPr>
            </w:pPr>
            <w:r>
              <w:rPr>
                <w:rFonts w:ascii="宋体"/>
                <w:sz w:val="18"/>
              </w:rPr>
              <w:t>135</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29" w:right="0"/>
              <w:jc w:val="left"/>
              <w:rPr>
                <w:rFonts w:ascii="宋体" w:hAnsi="宋体" w:cs="宋体" w:eastAsia="宋体" w:hint="default"/>
                <w:sz w:val="18"/>
                <w:szCs w:val="18"/>
              </w:rPr>
            </w:pPr>
            <w:r>
              <w:rPr>
                <w:rFonts w:ascii="宋体"/>
                <w:sz w:val="18"/>
              </w:rPr>
              <w:t>131,631</w:t>
            </w:r>
          </w:p>
          <w:p>
            <w:pPr>
              <w:pStyle w:val="TableParagraph"/>
              <w:spacing w:line="234" w:lineRule="exact"/>
              <w:ind w:left="400" w:right="0"/>
              <w:jc w:val="left"/>
              <w:rPr>
                <w:rFonts w:ascii="宋体" w:hAnsi="宋体" w:cs="宋体" w:eastAsia="宋体" w:hint="default"/>
                <w:sz w:val="18"/>
                <w:szCs w:val="18"/>
              </w:rPr>
            </w:pPr>
            <w:r>
              <w:rPr>
                <w:rFonts w:ascii="宋体"/>
                <w:sz w:val="18"/>
              </w:rPr>
              <w:t>,307</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60" w:right="0"/>
              <w:jc w:val="left"/>
              <w:rPr>
                <w:rFonts w:ascii="宋体" w:hAnsi="宋体" w:cs="宋体" w:eastAsia="宋体" w:hint="default"/>
                <w:sz w:val="18"/>
                <w:szCs w:val="18"/>
              </w:rPr>
            </w:pPr>
            <w:r>
              <w:rPr>
                <w:rFonts w:ascii="宋体"/>
                <w:sz w:val="18"/>
              </w:rPr>
              <w:t>2,100</w:t>
            </w:r>
          </w:p>
          <w:p>
            <w:pPr>
              <w:pStyle w:val="TableParagraph"/>
              <w:spacing w:line="234" w:lineRule="exact"/>
              <w:ind w:left="251" w:right="0"/>
              <w:jc w:val="left"/>
              <w:rPr>
                <w:rFonts w:ascii="宋体" w:hAnsi="宋体" w:cs="宋体" w:eastAsia="宋体" w:hint="default"/>
                <w:sz w:val="18"/>
                <w:szCs w:val="18"/>
              </w:rPr>
            </w:pPr>
            <w:r>
              <w:rPr>
                <w:rFonts w:ascii="宋体"/>
                <w:sz w:val="18"/>
              </w:rPr>
              <w:t>,000</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29" w:right="0"/>
              <w:jc w:val="left"/>
              <w:rPr>
                <w:rFonts w:ascii="宋体" w:hAnsi="宋体" w:cs="宋体" w:eastAsia="宋体" w:hint="default"/>
                <w:sz w:val="18"/>
                <w:szCs w:val="18"/>
              </w:rPr>
            </w:pPr>
            <w:r>
              <w:rPr>
                <w:rFonts w:ascii="宋体"/>
                <w:sz w:val="18"/>
              </w:rPr>
              <w:t>133,731</w:t>
            </w:r>
          </w:p>
          <w:p>
            <w:pPr>
              <w:pStyle w:val="TableParagraph"/>
              <w:spacing w:line="234" w:lineRule="exact"/>
              <w:ind w:left="400" w:right="0"/>
              <w:jc w:val="left"/>
              <w:rPr>
                <w:rFonts w:ascii="宋体" w:hAnsi="宋体" w:cs="宋体" w:eastAsia="宋体" w:hint="default"/>
                <w:sz w:val="18"/>
                <w:szCs w:val="18"/>
              </w:rPr>
            </w:pPr>
            <w:r>
              <w:rPr>
                <w:rFonts w:ascii="宋体"/>
                <w:sz w:val="18"/>
              </w:rPr>
              <w:t>,307</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82" w:right="0"/>
              <w:jc w:val="left"/>
              <w:rPr>
                <w:rFonts w:ascii="宋体" w:hAnsi="宋体" w:cs="宋体" w:eastAsia="宋体" w:hint="default"/>
                <w:sz w:val="18"/>
                <w:szCs w:val="18"/>
              </w:rPr>
            </w:pPr>
            <w:r>
              <w:rPr>
                <w:rFonts w:ascii="宋体"/>
                <w:sz w:val="18"/>
              </w:rPr>
              <w:t>406,627,</w:t>
            </w:r>
          </w:p>
          <w:p>
            <w:pPr>
              <w:pStyle w:val="TableParagraph"/>
              <w:spacing w:line="234" w:lineRule="exact"/>
              <w:ind w:left="631" w:right="0"/>
              <w:jc w:val="left"/>
              <w:rPr>
                <w:rFonts w:ascii="宋体" w:hAnsi="宋体" w:cs="宋体" w:eastAsia="宋体" w:hint="default"/>
                <w:sz w:val="18"/>
                <w:szCs w:val="18"/>
              </w:rPr>
            </w:pPr>
            <w:r>
              <w:rPr>
                <w:rFonts w:ascii="宋体"/>
                <w:sz w:val="18"/>
              </w:rPr>
              <w:t>164</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29" w:right="0"/>
              <w:jc w:val="left"/>
              <w:rPr>
                <w:rFonts w:ascii="宋体" w:hAnsi="宋体" w:cs="宋体" w:eastAsia="宋体" w:hint="default"/>
                <w:sz w:val="18"/>
                <w:szCs w:val="18"/>
              </w:rPr>
            </w:pPr>
            <w:r>
              <w:rPr>
                <w:rFonts w:ascii="宋体"/>
                <w:sz w:val="18"/>
              </w:rPr>
              <w:t>22,743,</w:t>
            </w:r>
          </w:p>
          <w:p>
            <w:pPr>
              <w:pStyle w:val="TableParagraph"/>
              <w:spacing w:line="234" w:lineRule="exact"/>
              <w:ind w:left="489" w:right="0"/>
              <w:jc w:val="left"/>
              <w:rPr>
                <w:rFonts w:ascii="宋体" w:hAnsi="宋体" w:cs="宋体" w:eastAsia="宋体" w:hint="default"/>
                <w:sz w:val="18"/>
                <w:szCs w:val="18"/>
              </w:rPr>
            </w:pPr>
            <w:r>
              <w:rPr>
                <w:rFonts w:ascii="宋体"/>
                <w:sz w:val="18"/>
              </w:rPr>
              <w:t>862</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27" w:right="0"/>
              <w:jc w:val="left"/>
              <w:rPr>
                <w:rFonts w:ascii="宋体" w:hAnsi="宋体" w:cs="宋体" w:eastAsia="宋体" w:hint="default"/>
                <w:sz w:val="18"/>
                <w:szCs w:val="18"/>
              </w:rPr>
            </w:pPr>
            <w:r>
              <w:rPr>
                <w:rFonts w:ascii="宋体"/>
                <w:sz w:val="18"/>
              </w:rPr>
              <w:t>429,371</w:t>
            </w:r>
          </w:p>
          <w:p>
            <w:pPr>
              <w:pStyle w:val="TableParagraph"/>
              <w:spacing w:line="234" w:lineRule="exact"/>
              <w:ind w:left="398" w:right="0"/>
              <w:jc w:val="left"/>
              <w:rPr>
                <w:rFonts w:ascii="宋体" w:hAnsi="宋体" w:cs="宋体" w:eastAsia="宋体" w:hint="default"/>
                <w:sz w:val="18"/>
                <w:szCs w:val="18"/>
              </w:rPr>
            </w:pPr>
            <w:r>
              <w:rPr>
                <w:rFonts w:ascii="宋体"/>
                <w:sz w:val="18"/>
              </w:rPr>
              <w:t>,026</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29" w:right="0"/>
              <w:jc w:val="left"/>
              <w:rPr>
                <w:rFonts w:ascii="宋体" w:hAnsi="宋体" w:cs="宋体" w:eastAsia="宋体" w:hint="default"/>
                <w:sz w:val="18"/>
                <w:szCs w:val="18"/>
              </w:rPr>
            </w:pPr>
            <w:r>
              <w:rPr>
                <w:rFonts w:ascii="宋体"/>
                <w:sz w:val="18"/>
              </w:rPr>
              <w:t>108,197</w:t>
            </w:r>
          </w:p>
          <w:p>
            <w:pPr>
              <w:pStyle w:val="TableParagraph"/>
              <w:spacing w:line="234" w:lineRule="exact"/>
              <w:ind w:left="400" w:right="0"/>
              <w:jc w:val="left"/>
              <w:rPr>
                <w:rFonts w:ascii="宋体" w:hAnsi="宋体" w:cs="宋体" w:eastAsia="宋体" w:hint="default"/>
                <w:sz w:val="18"/>
                <w:szCs w:val="18"/>
              </w:rPr>
            </w:pPr>
            <w:r>
              <w:rPr>
                <w:rFonts w:ascii="宋体"/>
                <w:sz w:val="18"/>
              </w:rPr>
              <w:t>,248</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63" w:right="0"/>
              <w:jc w:val="left"/>
              <w:rPr>
                <w:rFonts w:ascii="宋体" w:hAnsi="宋体" w:cs="宋体" w:eastAsia="宋体" w:hint="default"/>
                <w:sz w:val="18"/>
                <w:szCs w:val="18"/>
              </w:rPr>
            </w:pPr>
            <w:r>
              <w:rPr>
                <w:rFonts w:ascii="宋体"/>
                <w:sz w:val="18"/>
              </w:rPr>
              <w:t>5,284</w:t>
            </w:r>
          </w:p>
          <w:p>
            <w:pPr>
              <w:pStyle w:val="TableParagraph"/>
              <w:spacing w:line="234" w:lineRule="exact"/>
              <w:ind w:left="254" w:right="0"/>
              <w:jc w:val="left"/>
              <w:rPr>
                <w:rFonts w:ascii="宋体" w:hAnsi="宋体" w:cs="宋体" w:eastAsia="宋体" w:hint="default"/>
                <w:sz w:val="18"/>
                <w:szCs w:val="18"/>
              </w:rPr>
            </w:pPr>
            <w:r>
              <w:rPr>
                <w:rFonts w:ascii="宋体"/>
                <w:sz w:val="18"/>
              </w:rPr>
              <w:t>,000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24" w:right="0"/>
              <w:jc w:val="left"/>
              <w:rPr>
                <w:rFonts w:ascii="宋体" w:hAnsi="宋体" w:cs="宋体" w:eastAsia="宋体" w:hint="default"/>
                <w:sz w:val="18"/>
                <w:szCs w:val="18"/>
              </w:rPr>
            </w:pPr>
            <w:r>
              <w:rPr>
                <w:rFonts w:ascii="宋体"/>
                <w:sz w:val="18"/>
              </w:rPr>
              <w:t>113,481</w:t>
            </w:r>
          </w:p>
          <w:p>
            <w:pPr>
              <w:pStyle w:val="TableParagraph"/>
              <w:spacing w:line="234" w:lineRule="exact"/>
              <w:ind w:left="396" w:right="0"/>
              <w:jc w:val="left"/>
              <w:rPr>
                <w:rFonts w:ascii="宋体" w:hAnsi="宋体" w:cs="宋体" w:eastAsia="宋体" w:hint="default"/>
                <w:sz w:val="18"/>
                <w:szCs w:val="18"/>
              </w:rPr>
            </w:pPr>
            <w:r>
              <w:rPr>
                <w:rFonts w:ascii="宋体"/>
                <w:sz w:val="18"/>
              </w:rPr>
              <w:t>,248</w:t>
            </w:r>
          </w:p>
        </w:tc>
      </w:tr>
      <w:tr>
        <w:trPr>
          <w:trHeight w:val="478" w:hRule="exact"/>
        </w:trPr>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用友金融</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29" w:right="0"/>
              <w:jc w:val="left"/>
              <w:rPr>
                <w:rFonts w:ascii="宋体" w:hAnsi="宋体" w:cs="宋体" w:eastAsia="宋体" w:hint="default"/>
                <w:sz w:val="18"/>
                <w:szCs w:val="18"/>
              </w:rPr>
            </w:pPr>
            <w:r>
              <w:rPr>
                <w:rFonts w:ascii="宋体"/>
                <w:sz w:val="18"/>
              </w:rPr>
              <w:t>206,202</w:t>
            </w:r>
          </w:p>
          <w:p>
            <w:pPr>
              <w:pStyle w:val="TableParagraph"/>
              <w:spacing w:line="234" w:lineRule="exact"/>
              <w:ind w:left="400" w:right="0"/>
              <w:jc w:val="left"/>
              <w:rPr>
                <w:rFonts w:ascii="宋体" w:hAnsi="宋体" w:cs="宋体" w:eastAsia="宋体" w:hint="default"/>
                <w:sz w:val="18"/>
                <w:szCs w:val="18"/>
              </w:rPr>
            </w:pPr>
            <w:r>
              <w:rPr>
                <w:rFonts w:ascii="宋体"/>
                <w:sz w:val="18"/>
              </w:rPr>
              <w:t>,254</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29" w:right="0"/>
              <w:jc w:val="left"/>
              <w:rPr>
                <w:rFonts w:ascii="宋体" w:hAnsi="宋体" w:cs="宋体" w:eastAsia="宋体" w:hint="default"/>
                <w:sz w:val="18"/>
                <w:szCs w:val="18"/>
              </w:rPr>
            </w:pPr>
            <w:r>
              <w:rPr>
                <w:rFonts w:ascii="宋体"/>
                <w:sz w:val="18"/>
              </w:rPr>
              <w:t>48,997,</w:t>
            </w:r>
          </w:p>
          <w:p>
            <w:pPr>
              <w:pStyle w:val="TableParagraph"/>
              <w:spacing w:line="234" w:lineRule="exact"/>
              <w:ind w:left="489" w:right="0"/>
              <w:jc w:val="left"/>
              <w:rPr>
                <w:rFonts w:ascii="宋体" w:hAnsi="宋体" w:cs="宋体" w:eastAsia="宋体" w:hint="default"/>
                <w:sz w:val="18"/>
                <w:szCs w:val="18"/>
              </w:rPr>
            </w:pPr>
            <w:r>
              <w:rPr>
                <w:rFonts w:ascii="宋体"/>
                <w:sz w:val="18"/>
              </w:rPr>
              <w:t>549</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82" w:right="0"/>
              <w:jc w:val="left"/>
              <w:rPr>
                <w:rFonts w:ascii="宋体" w:hAnsi="宋体" w:cs="宋体" w:eastAsia="宋体" w:hint="default"/>
                <w:sz w:val="18"/>
                <w:szCs w:val="18"/>
              </w:rPr>
            </w:pPr>
            <w:r>
              <w:rPr>
                <w:rFonts w:ascii="宋体"/>
                <w:sz w:val="18"/>
              </w:rPr>
              <w:t>255,199,</w:t>
            </w:r>
          </w:p>
          <w:p>
            <w:pPr>
              <w:pStyle w:val="TableParagraph"/>
              <w:spacing w:line="234" w:lineRule="exact"/>
              <w:ind w:left="631" w:right="0"/>
              <w:jc w:val="left"/>
              <w:rPr>
                <w:rFonts w:ascii="宋体" w:hAnsi="宋体" w:cs="宋体" w:eastAsia="宋体" w:hint="default"/>
                <w:sz w:val="18"/>
                <w:szCs w:val="18"/>
              </w:rPr>
            </w:pPr>
            <w:r>
              <w:rPr>
                <w:rFonts w:ascii="宋体"/>
                <w:sz w:val="18"/>
              </w:rPr>
              <w:t>803</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29" w:right="0"/>
              <w:jc w:val="left"/>
              <w:rPr>
                <w:rFonts w:ascii="宋体" w:hAnsi="宋体" w:cs="宋体" w:eastAsia="宋体" w:hint="default"/>
                <w:sz w:val="18"/>
                <w:szCs w:val="18"/>
              </w:rPr>
            </w:pPr>
            <w:r>
              <w:rPr>
                <w:rFonts w:ascii="宋体"/>
                <w:sz w:val="18"/>
              </w:rPr>
              <w:t>88,207,</w:t>
            </w:r>
          </w:p>
          <w:p>
            <w:pPr>
              <w:pStyle w:val="TableParagraph"/>
              <w:spacing w:line="234" w:lineRule="exact"/>
              <w:ind w:left="489" w:right="0"/>
              <w:jc w:val="left"/>
              <w:rPr>
                <w:rFonts w:ascii="宋体" w:hAnsi="宋体" w:cs="宋体" w:eastAsia="宋体" w:hint="default"/>
                <w:sz w:val="18"/>
                <w:szCs w:val="18"/>
              </w:rPr>
            </w:pPr>
            <w:r>
              <w:rPr>
                <w:rFonts w:ascii="宋体"/>
                <w:sz w:val="18"/>
              </w:rPr>
              <w:t>704</w:t>
            </w:r>
          </w:p>
        </w:tc>
        <w:tc>
          <w:tcPr>
            <w:tcW w:w="727"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29" w:right="0"/>
              <w:jc w:val="left"/>
              <w:rPr>
                <w:rFonts w:ascii="宋体" w:hAnsi="宋体" w:cs="宋体" w:eastAsia="宋体" w:hint="default"/>
                <w:sz w:val="18"/>
                <w:szCs w:val="18"/>
              </w:rPr>
            </w:pPr>
            <w:r>
              <w:rPr>
                <w:rFonts w:ascii="宋体"/>
                <w:sz w:val="18"/>
              </w:rPr>
              <w:t>88,207,</w:t>
            </w:r>
          </w:p>
          <w:p>
            <w:pPr>
              <w:pStyle w:val="TableParagraph"/>
              <w:spacing w:line="234" w:lineRule="exact"/>
              <w:ind w:left="489" w:right="0"/>
              <w:jc w:val="left"/>
              <w:rPr>
                <w:rFonts w:ascii="宋体" w:hAnsi="宋体" w:cs="宋体" w:eastAsia="宋体" w:hint="default"/>
                <w:sz w:val="18"/>
                <w:szCs w:val="18"/>
              </w:rPr>
            </w:pPr>
            <w:r>
              <w:rPr>
                <w:rFonts w:ascii="宋体"/>
                <w:sz w:val="18"/>
              </w:rPr>
              <w:t>704</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82" w:right="0"/>
              <w:jc w:val="left"/>
              <w:rPr>
                <w:rFonts w:ascii="宋体" w:hAnsi="宋体" w:cs="宋体" w:eastAsia="宋体" w:hint="default"/>
                <w:sz w:val="18"/>
                <w:szCs w:val="18"/>
              </w:rPr>
            </w:pPr>
            <w:r>
              <w:rPr>
                <w:rFonts w:ascii="宋体"/>
                <w:sz w:val="18"/>
              </w:rPr>
              <w:t>313,209,</w:t>
            </w:r>
          </w:p>
          <w:p>
            <w:pPr>
              <w:pStyle w:val="TableParagraph"/>
              <w:spacing w:line="234" w:lineRule="exact"/>
              <w:ind w:left="631" w:right="0"/>
              <w:jc w:val="left"/>
              <w:rPr>
                <w:rFonts w:ascii="宋体" w:hAnsi="宋体" w:cs="宋体" w:eastAsia="宋体" w:hint="default"/>
                <w:sz w:val="18"/>
                <w:szCs w:val="18"/>
              </w:rPr>
            </w:pPr>
            <w:r>
              <w:rPr>
                <w:rFonts w:ascii="宋体"/>
                <w:sz w:val="18"/>
              </w:rPr>
              <w:t>250</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0"/>
              <w:jc w:val="right"/>
              <w:rPr>
                <w:rFonts w:ascii="宋体" w:hAnsi="宋体" w:cs="宋体" w:eastAsia="宋体" w:hint="default"/>
                <w:sz w:val="18"/>
                <w:szCs w:val="18"/>
              </w:rPr>
            </w:pPr>
            <w:r>
              <w:rPr>
                <w:rFonts w:ascii="宋体"/>
                <w:sz w:val="18"/>
              </w:rPr>
              <w:t>6,086,7</w:t>
            </w:r>
          </w:p>
          <w:p>
            <w:pPr>
              <w:pStyle w:val="TableParagraph"/>
              <w:spacing w:line="234" w:lineRule="exact"/>
              <w:ind w:right="98"/>
              <w:jc w:val="right"/>
              <w:rPr>
                <w:rFonts w:ascii="宋体" w:hAnsi="宋体" w:cs="宋体" w:eastAsia="宋体" w:hint="default"/>
                <w:sz w:val="18"/>
                <w:szCs w:val="18"/>
              </w:rPr>
            </w:pPr>
            <w:r>
              <w:rPr>
                <w:rFonts w:ascii="宋体"/>
                <w:sz w:val="18"/>
              </w:rPr>
              <w:t>55</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27" w:right="0"/>
              <w:jc w:val="left"/>
              <w:rPr>
                <w:rFonts w:ascii="宋体" w:hAnsi="宋体" w:cs="宋体" w:eastAsia="宋体" w:hint="default"/>
                <w:sz w:val="18"/>
                <w:szCs w:val="18"/>
              </w:rPr>
            </w:pPr>
            <w:r>
              <w:rPr>
                <w:rFonts w:ascii="宋体"/>
                <w:sz w:val="18"/>
              </w:rPr>
              <w:t>319,296</w:t>
            </w:r>
          </w:p>
          <w:p>
            <w:pPr>
              <w:pStyle w:val="TableParagraph"/>
              <w:spacing w:line="234" w:lineRule="exact"/>
              <w:ind w:left="398" w:right="0"/>
              <w:jc w:val="left"/>
              <w:rPr>
                <w:rFonts w:ascii="宋体" w:hAnsi="宋体" w:cs="宋体" w:eastAsia="宋体" w:hint="default"/>
                <w:sz w:val="18"/>
                <w:szCs w:val="18"/>
              </w:rPr>
            </w:pPr>
            <w:r>
              <w:rPr>
                <w:rFonts w:ascii="宋体"/>
                <w:sz w:val="18"/>
              </w:rPr>
              <w:t>,005</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29" w:right="0"/>
              <w:jc w:val="left"/>
              <w:rPr>
                <w:rFonts w:ascii="宋体" w:hAnsi="宋体" w:cs="宋体" w:eastAsia="宋体" w:hint="default"/>
                <w:sz w:val="18"/>
                <w:szCs w:val="18"/>
              </w:rPr>
            </w:pPr>
            <w:r>
              <w:rPr>
                <w:rFonts w:ascii="宋体"/>
                <w:sz w:val="18"/>
              </w:rPr>
              <w:t>137,902</w:t>
            </w:r>
          </w:p>
          <w:p>
            <w:pPr>
              <w:pStyle w:val="TableParagraph"/>
              <w:spacing w:line="234" w:lineRule="exact"/>
              <w:ind w:left="400" w:right="0"/>
              <w:jc w:val="left"/>
              <w:rPr>
                <w:rFonts w:ascii="宋体" w:hAnsi="宋体" w:cs="宋体" w:eastAsia="宋体" w:hint="default"/>
                <w:sz w:val="18"/>
                <w:szCs w:val="18"/>
              </w:rPr>
            </w:pPr>
            <w:r>
              <w:rPr>
                <w:rFonts w:ascii="宋体"/>
                <w:sz w:val="18"/>
              </w:rPr>
              <w:t>,744</w:t>
            </w:r>
          </w:p>
        </w:tc>
        <w:tc>
          <w:tcPr>
            <w:tcW w:w="727"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24" w:right="0"/>
              <w:jc w:val="left"/>
              <w:rPr>
                <w:rFonts w:ascii="宋体" w:hAnsi="宋体" w:cs="宋体" w:eastAsia="宋体" w:hint="default"/>
                <w:sz w:val="18"/>
                <w:szCs w:val="18"/>
              </w:rPr>
            </w:pPr>
            <w:r>
              <w:rPr>
                <w:rFonts w:ascii="宋体"/>
                <w:sz w:val="18"/>
              </w:rPr>
              <w:t>137,902</w:t>
            </w:r>
          </w:p>
          <w:p>
            <w:pPr>
              <w:pStyle w:val="TableParagraph"/>
              <w:spacing w:line="234" w:lineRule="exact"/>
              <w:ind w:left="396" w:right="0"/>
              <w:jc w:val="left"/>
              <w:rPr>
                <w:rFonts w:ascii="宋体" w:hAnsi="宋体" w:cs="宋体" w:eastAsia="宋体" w:hint="default"/>
                <w:sz w:val="18"/>
                <w:szCs w:val="18"/>
              </w:rPr>
            </w:pPr>
            <w:r>
              <w:rPr>
                <w:rFonts w:ascii="宋体"/>
                <w:sz w:val="18"/>
              </w:rPr>
              <w:t>,744</w:t>
            </w:r>
          </w:p>
        </w:tc>
      </w:tr>
      <w:tr>
        <w:trPr>
          <w:trHeight w:val="478" w:hRule="exact"/>
        </w:trPr>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新道科技</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9" w:right="0"/>
              <w:jc w:val="left"/>
              <w:rPr>
                <w:rFonts w:ascii="宋体" w:hAnsi="宋体" w:cs="宋体" w:eastAsia="宋体" w:hint="default"/>
                <w:sz w:val="18"/>
                <w:szCs w:val="18"/>
              </w:rPr>
            </w:pPr>
            <w:r>
              <w:rPr>
                <w:rFonts w:ascii="宋体"/>
                <w:sz w:val="18"/>
              </w:rPr>
              <w:t>537,328</w:t>
            </w:r>
          </w:p>
          <w:p>
            <w:pPr>
              <w:pStyle w:val="TableParagraph"/>
              <w:spacing w:line="240" w:lineRule="auto"/>
              <w:ind w:left="400" w:right="0"/>
              <w:jc w:val="left"/>
              <w:rPr>
                <w:rFonts w:ascii="宋体" w:hAnsi="宋体" w:cs="宋体" w:eastAsia="宋体" w:hint="default"/>
                <w:sz w:val="18"/>
                <w:szCs w:val="18"/>
              </w:rPr>
            </w:pPr>
            <w:r>
              <w:rPr>
                <w:rFonts w:ascii="宋体"/>
                <w:sz w:val="18"/>
              </w:rPr>
              <w:t>,828</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9" w:right="0"/>
              <w:jc w:val="left"/>
              <w:rPr>
                <w:rFonts w:ascii="宋体" w:hAnsi="宋体" w:cs="宋体" w:eastAsia="宋体" w:hint="default"/>
                <w:sz w:val="18"/>
                <w:szCs w:val="18"/>
              </w:rPr>
            </w:pPr>
            <w:r>
              <w:rPr>
                <w:rFonts w:ascii="宋体"/>
                <w:sz w:val="18"/>
              </w:rPr>
              <w:t>45,291,</w:t>
            </w:r>
          </w:p>
          <w:p>
            <w:pPr>
              <w:pStyle w:val="TableParagraph"/>
              <w:spacing w:line="240" w:lineRule="auto"/>
              <w:ind w:left="489" w:right="0"/>
              <w:jc w:val="left"/>
              <w:rPr>
                <w:rFonts w:ascii="宋体" w:hAnsi="宋体" w:cs="宋体" w:eastAsia="宋体" w:hint="default"/>
                <w:sz w:val="18"/>
                <w:szCs w:val="18"/>
              </w:rPr>
            </w:pPr>
            <w:r>
              <w:rPr>
                <w:rFonts w:ascii="宋体"/>
                <w:sz w:val="18"/>
              </w:rPr>
              <w:t>012</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82" w:right="0"/>
              <w:jc w:val="left"/>
              <w:rPr>
                <w:rFonts w:ascii="宋体" w:hAnsi="宋体" w:cs="宋体" w:eastAsia="宋体" w:hint="default"/>
                <w:sz w:val="18"/>
                <w:szCs w:val="18"/>
              </w:rPr>
            </w:pPr>
            <w:r>
              <w:rPr>
                <w:rFonts w:ascii="宋体"/>
                <w:sz w:val="18"/>
              </w:rPr>
              <w:t>582,619,</w:t>
            </w:r>
          </w:p>
          <w:p>
            <w:pPr>
              <w:pStyle w:val="TableParagraph"/>
              <w:spacing w:line="240" w:lineRule="auto"/>
              <w:ind w:left="631" w:right="0"/>
              <w:jc w:val="left"/>
              <w:rPr>
                <w:rFonts w:ascii="宋体" w:hAnsi="宋体" w:cs="宋体" w:eastAsia="宋体" w:hint="default"/>
                <w:sz w:val="18"/>
                <w:szCs w:val="18"/>
              </w:rPr>
            </w:pPr>
            <w:r>
              <w:rPr>
                <w:rFonts w:ascii="宋体"/>
                <w:sz w:val="18"/>
              </w:rPr>
              <w:t>840</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9" w:right="0"/>
              <w:jc w:val="left"/>
              <w:rPr>
                <w:rFonts w:ascii="宋体" w:hAnsi="宋体" w:cs="宋体" w:eastAsia="宋体" w:hint="default"/>
                <w:sz w:val="18"/>
                <w:szCs w:val="18"/>
              </w:rPr>
            </w:pPr>
            <w:r>
              <w:rPr>
                <w:rFonts w:ascii="宋体"/>
                <w:sz w:val="18"/>
              </w:rPr>
              <w:t>135,877</w:t>
            </w:r>
          </w:p>
          <w:p>
            <w:pPr>
              <w:pStyle w:val="TableParagraph"/>
              <w:spacing w:line="240" w:lineRule="auto"/>
              <w:ind w:left="400" w:right="0"/>
              <w:jc w:val="left"/>
              <w:rPr>
                <w:rFonts w:ascii="宋体" w:hAnsi="宋体" w:cs="宋体" w:eastAsia="宋体" w:hint="default"/>
                <w:sz w:val="18"/>
                <w:szCs w:val="18"/>
              </w:rPr>
            </w:pPr>
            <w:r>
              <w:rPr>
                <w:rFonts w:ascii="宋体"/>
                <w:sz w:val="18"/>
              </w:rPr>
              <w:t>,300</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50,00</w:t>
            </w:r>
          </w:p>
          <w:p>
            <w:pPr>
              <w:pStyle w:val="TableParagraph"/>
              <w:spacing w:line="240" w:lineRule="auto"/>
              <w:ind w:right="104"/>
              <w:jc w:val="right"/>
              <w:rPr>
                <w:rFonts w:ascii="宋体" w:hAnsi="宋体" w:cs="宋体" w:eastAsia="宋体" w:hint="default"/>
                <w:sz w:val="18"/>
                <w:szCs w:val="18"/>
              </w:rPr>
            </w:pPr>
            <w:r>
              <w:rPr>
                <w:rFonts w:ascii="宋体"/>
                <w:sz w:val="18"/>
              </w:rPr>
              <w:t>0</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9" w:right="0"/>
              <w:jc w:val="left"/>
              <w:rPr>
                <w:rFonts w:ascii="宋体" w:hAnsi="宋体" w:cs="宋体" w:eastAsia="宋体" w:hint="default"/>
                <w:sz w:val="18"/>
                <w:szCs w:val="18"/>
              </w:rPr>
            </w:pPr>
            <w:r>
              <w:rPr>
                <w:rFonts w:ascii="宋体"/>
                <w:sz w:val="18"/>
              </w:rPr>
              <w:t>135,927</w:t>
            </w:r>
          </w:p>
          <w:p>
            <w:pPr>
              <w:pStyle w:val="TableParagraph"/>
              <w:spacing w:line="240" w:lineRule="auto"/>
              <w:ind w:left="400" w:right="0"/>
              <w:jc w:val="left"/>
              <w:rPr>
                <w:rFonts w:ascii="宋体" w:hAnsi="宋体" w:cs="宋体" w:eastAsia="宋体" w:hint="default"/>
                <w:sz w:val="18"/>
                <w:szCs w:val="18"/>
              </w:rPr>
            </w:pPr>
            <w:r>
              <w:rPr>
                <w:rFonts w:ascii="宋体"/>
                <w:sz w:val="18"/>
              </w:rPr>
              <w:t>,300</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82" w:right="0"/>
              <w:jc w:val="left"/>
              <w:rPr>
                <w:rFonts w:ascii="宋体" w:hAnsi="宋体" w:cs="宋体" w:eastAsia="宋体" w:hint="default"/>
                <w:sz w:val="18"/>
                <w:szCs w:val="18"/>
              </w:rPr>
            </w:pPr>
            <w:r>
              <w:rPr>
                <w:rFonts w:ascii="宋体"/>
                <w:sz w:val="18"/>
              </w:rPr>
              <w:t>567,776,</w:t>
            </w:r>
          </w:p>
          <w:p>
            <w:pPr>
              <w:pStyle w:val="TableParagraph"/>
              <w:spacing w:line="240" w:lineRule="auto"/>
              <w:ind w:left="631" w:right="0"/>
              <w:jc w:val="left"/>
              <w:rPr>
                <w:rFonts w:ascii="宋体" w:hAnsi="宋体" w:cs="宋体" w:eastAsia="宋体" w:hint="default"/>
                <w:sz w:val="18"/>
                <w:szCs w:val="18"/>
              </w:rPr>
            </w:pPr>
            <w:r>
              <w:rPr>
                <w:rFonts w:ascii="宋体"/>
                <w:sz w:val="18"/>
              </w:rPr>
              <w:t>672</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9" w:right="0"/>
              <w:jc w:val="left"/>
              <w:rPr>
                <w:rFonts w:ascii="宋体" w:hAnsi="宋体" w:cs="宋体" w:eastAsia="宋体" w:hint="default"/>
                <w:sz w:val="18"/>
                <w:szCs w:val="18"/>
              </w:rPr>
            </w:pPr>
            <w:r>
              <w:rPr>
                <w:rFonts w:ascii="宋体"/>
                <w:sz w:val="18"/>
              </w:rPr>
              <w:t>22,336,</w:t>
            </w:r>
          </w:p>
          <w:p>
            <w:pPr>
              <w:pStyle w:val="TableParagraph"/>
              <w:spacing w:line="240" w:lineRule="auto"/>
              <w:ind w:left="489" w:right="0"/>
              <w:jc w:val="left"/>
              <w:rPr>
                <w:rFonts w:ascii="宋体" w:hAnsi="宋体" w:cs="宋体" w:eastAsia="宋体" w:hint="default"/>
                <w:sz w:val="18"/>
                <w:szCs w:val="18"/>
              </w:rPr>
            </w:pPr>
            <w:r>
              <w:rPr>
                <w:rFonts w:ascii="宋体"/>
                <w:sz w:val="18"/>
              </w:rPr>
              <w:t>123</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7" w:right="0"/>
              <w:jc w:val="left"/>
              <w:rPr>
                <w:rFonts w:ascii="宋体" w:hAnsi="宋体" w:cs="宋体" w:eastAsia="宋体" w:hint="default"/>
                <w:sz w:val="18"/>
                <w:szCs w:val="18"/>
              </w:rPr>
            </w:pPr>
            <w:r>
              <w:rPr>
                <w:rFonts w:ascii="宋体"/>
                <w:sz w:val="18"/>
              </w:rPr>
              <w:t>590,112</w:t>
            </w:r>
          </w:p>
          <w:p>
            <w:pPr>
              <w:pStyle w:val="TableParagraph"/>
              <w:spacing w:line="240" w:lineRule="auto"/>
              <w:ind w:left="398" w:right="0"/>
              <w:jc w:val="left"/>
              <w:rPr>
                <w:rFonts w:ascii="宋体" w:hAnsi="宋体" w:cs="宋体" w:eastAsia="宋体" w:hint="default"/>
                <w:sz w:val="18"/>
                <w:szCs w:val="18"/>
              </w:rPr>
            </w:pPr>
            <w:r>
              <w:rPr>
                <w:rFonts w:ascii="宋体"/>
                <w:sz w:val="18"/>
              </w:rPr>
              <w:t>,795</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9" w:right="0"/>
              <w:jc w:val="left"/>
              <w:rPr>
                <w:rFonts w:ascii="宋体" w:hAnsi="宋体" w:cs="宋体" w:eastAsia="宋体" w:hint="default"/>
                <w:sz w:val="18"/>
                <w:szCs w:val="18"/>
              </w:rPr>
            </w:pPr>
            <w:r>
              <w:rPr>
                <w:rFonts w:ascii="宋体"/>
                <w:sz w:val="18"/>
              </w:rPr>
              <w:t>173,036</w:t>
            </w:r>
          </w:p>
          <w:p>
            <w:pPr>
              <w:pStyle w:val="TableParagraph"/>
              <w:spacing w:line="240" w:lineRule="auto"/>
              <w:ind w:left="400" w:right="0"/>
              <w:jc w:val="left"/>
              <w:rPr>
                <w:rFonts w:ascii="宋体" w:hAnsi="宋体" w:cs="宋体" w:eastAsia="宋体" w:hint="default"/>
                <w:sz w:val="18"/>
                <w:szCs w:val="18"/>
              </w:rPr>
            </w:pPr>
            <w:r>
              <w:rPr>
                <w:rFonts w:ascii="宋体"/>
                <w:sz w:val="18"/>
              </w:rPr>
              <w:t>,588</w:t>
            </w:r>
          </w:p>
        </w:tc>
        <w:tc>
          <w:tcPr>
            <w:tcW w:w="727"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4" w:right="0"/>
              <w:jc w:val="left"/>
              <w:rPr>
                <w:rFonts w:ascii="宋体" w:hAnsi="宋体" w:cs="宋体" w:eastAsia="宋体" w:hint="default"/>
                <w:sz w:val="18"/>
                <w:szCs w:val="18"/>
              </w:rPr>
            </w:pPr>
            <w:r>
              <w:rPr>
                <w:rFonts w:ascii="宋体"/>
                <w:sz w:val="18"/>
              </w:rPr>
              <w:t>173,036</w:t>
            </w:r>
          </w:p>
          <w:p>
            <w:pPr>
              <w:pStyle w:val="TableParagraph"/>
              <w:spacing w:line="240" w:lineRule="auto"/>
              <w:ind w:left="396" w:right="0"/>
              <w:jc w:val="left"/>
              <w:rPr>
                <w:rFonts w:ascii="宋体" w:hAnsi="宋体" w:cs="宋体" w:eastAsia="宋体" w:hint="default"/>
                <w:sz w:val="18"/>
                <w:szCs w:val="18"/>
              </w:rPr>
            </w:pPr>
            <w:r>
              <w:rPr>
                <w:rFonts w:ascii="宋体"/>
                <w:sz w:val="18"/>
              </w:rPr>
              <w:t>,588</w:t>
            </w:r>
          </w:p>
        </w:tc>
      </w:tr>
    </w:tbl>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1"/>
          <w:szCs w:val="21"/>
        </w:rPr>
      </w:pPr>
    </w:p>
    <w:tbl>
      <w:tblPr>
        <w:tblW w:w="0" w:type="auto"/>
        <w:jc w:val="left"/>
        <w:tblInd w:w="101" w:type="dxa"/>
        <w:tblLayout w:type="fixed"/>
        <w:tblCellMar>
          <w:top w:w="0" w:type="dxa"/>
          <w:left w:w="0" w:type="dxa"/>
          <w:bottom w:w="0" w:type="dxa"/>
          <w:right w:w="0" w:type="dxa"/>
        </w:tblCellMar>
        <w:tblLook w:val="01E0"/>
      </w:tblPr>
      <w:tblGrid>
        <w:gridCol w:w="871"/>
        <w:gridCol w:w="1311"/>
        <w:gridCol w:w="1308"/>
        <w:gridCol w:w="1421"/>
        <w:gridCol w:w="1239"/>
        <w:gridCol w:w="1294"/>
        <w:gridCol w:w="1443"/>
        <w:gridCol w:w="1366"/>
        <w:gridCol w:w="1236"/>
      </w:tblGrid>
      <w:tr>
        <w:trPr>
          <w:trHeight w:val="324" w:hRule="exact"/>
        </w:trPr>
        <w:tc>
          <w:tcPr>
            <w:tcW w:w="871" w:type="dxa"/>
            <w:vMerge w:val="restart"/>
            <w:tcBorders>
              <w:top w:val="single" w:sz="4" w:space="0" w:color="000000"/>
              <w:left w:val="single" w:sz="4" w:space="0" w:color="000000"/>
              <w:right w:val="single" w:sz="4" w:space="0" w:color="000000"/>
            </w:tcBorders>
          </w:tcPr>
          <w:p>
            <w:pPr>
              <w:pStyle w:val="TableParagraph"/>
              <w:spacing w:line="273" w:lineRule="auto" w:before="129"/>
              <w:ind w:left="228" w:right="103" w:hanging="106"/>
              <w:jc w:val="left"/>
              <w:rPr>
                <w:rFonts w:ascii="宋体" w:hAnsi="宋体" w:cs="宋体" w:eastAsia="宋体" w:hint="default"/>
                <w:sz w:val="21"/>
                <w:szCs w:val="21"/>
              </w:rPr>
            </w:pPr>
            <w:r>
              <w:rPr>
                <w:rFonts w:ascii="宋体" w:hAnsi="宋体" w:cs="宋体" w:eastAsia="宋体" w:hint="default"/>
                <w:sz w:val="21"/>
                <w:szCs w:val="21"/>
              </w:rPr>
              <w:t>子公司</w:t>
            </w:r>
            <w:r>
              <w:rPr>
                <w:rFonts w:ascii="宋体" w:hAnsi="宋体" w:cs="宋体" w:eastAsia="宋体" w:hint="default"/>
                <w:spacing w:val="-102"/>
                <w:sz w:val="21"/>
                <w:szCs w:val="21"/>
              </w:rPr>
              <w:t> </w:t>
            </w:r>
            <w:r>
              <w:rPr>
                <w:rFonts w:ascii="宋体" w:hAnsi="宋体" w:cs="宋体" w:eastAsia="宋体" w:hint="default"/>
                <w:sz w:val="21"/>
                <w:szCs w:val="21"/>
              </w:rPr>
              <w:t>名称</w:t>
            </w:r>
          </w:p>
        </w:tc>
        <w:tc>
          <w:tcPr>
            <w:tcW w:w="5279"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3"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5339"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5" w:right="0"/>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636" w:hRule="exact"/>
        </w:trPr>
        <w:tc>
          <w:tcPr>
            <w:tcW w:w="871" w:type="dxa"/>
            <w:vMerge/>
            <w:tcBorders>
              <w:left w:val="single" w:sz="4" w:space="0" w:color="000000"/>
              <w:bottom w:val="single" w:sz="4" w:space="0" w:color="000000"/>
              <w:right w:val="single" w:sz="4" w:space="0" w:color="000000"/>
            </w:tcBorders>
          </w:tcPr>
          <w:p>
            <w:pP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left="228"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left="333"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 w:right="0"/>
              <w:jc w:val="center"/>
              <w:rPr>
                <w:rFonts w:ascii="宋体" w:hAnsi="宋体" w:cs="宋体" w:eastAsia="宋体" w:hint="default"/>
                <w:sz w:val="21"/>
                <w:szCs w:val="21"/>
              </w:rPr>
            </w:pPr>
            <w:r>
              <w:rPr>
                <w:rFonts w:ascii="宋体" w:hAnsi="宋体" w:cs="宋体" w:eastAsia="宋体" w:hint="default"/>
                <w:sz w:val="21"/>
                <w:szCs w:val="21"/>
              </w:rPr>
              <w:t>综合收益总</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w w:val="100"/>
                <w:sz w:val="21"/>
                <w:szCs w:val="21"/>
              </w:rPr>
              <w:t>额</w:t>
            </w:r>
          </w:p>
        </w:tc>
        <w:tc>
          <w:tcPr>
            <w:tcW w:w="12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94" w:right="0"/>
              <w:jc w:val="left"/>
              <w:rPr>
                <w:rFonts w:ascii="宋体" w:hAnsi="宋体" w:cs="宋体" w:eastAsia="宋体" w:hint="default"/>
                <w:sz w:val="21"/>
                <w:szCs w:val="21"/>
              </w:rPr>
            </w:pPr>
            <w:r>
              <w:rPr>
                <w:rFonts w:ascii="宋体" w:hAnsi="宋体" w:cs="宋体" w:eastAsia="宋体" w:hint="default"/>
                <w:sz w:val="21"/>
                <w:szCs w:val="21"/>
              </w:rPr>
              <w:t>经营活动</w:t>
            </w:r>
          </w:p>
          <w:p>
            <w:pPr>
              <w:pStyle w:val="TableParagraph"/>
              <w:spacing w:line="240" w:lineRule="auto" w:before="37"/>
              <w:ind w:left="194" w:right="0"/>
              <w:jc w:val="left"/>
              <w:rPr>
                <w:rFonts w:ascii="宋体" w:hAnsi="宋体" w:cs="宋体" w:eastAsia="宋体" w:hint="default"/>
                <w:sz w:val="21"/>
                <w:szCs w:val="21"/>
              </w:rPr>
            </w:pPr>
            <w:r>
              <w:rPr>
                <w:rFonts w:ascii="宋体" w:hAnsi="宋体" w:cs="宋体" w:eastAsia="宋体" w:hint="default"/>
                <w:sz w:val="21"/>
                <w:szCs w:val="21"/>
              </w:rPr>
              <w:t>现金流量</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left="220"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left="400"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综合收益总</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w w:val="100"/>
                <w:sz w:val="21"/>
                <w:szCs w:val="21"/>
              </w:rPr>
              <w:t>额</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89" w:right="0"/>
              <w:jc w:val="left"/>
              <w:rPr>
                <w:rFonts w:ascii="宋体" w:hAnsi="宋体" w:cs="宋体" w:eastAsia="宋体" w:hint="default"/>
                <w:sz w:val="21"/>
                <w:szCs w:val="21"/>
              </w:rPr>
            </w:pPr>
            <w:r>
              <w:rPr>
                <w:rFonts w:ascii="宋体" w:hAnsi="宋体" w:cs="宋体" w:eastAsia="宋体" w:hint="default"/>
                <w:sz w:val="21"/>
                <w:szCs w:val="21"/>
              </w:rPr>
              <w:t>经营活动</w:t>
            </w:r>
          </w:p>
          <w:p>
            <w:pPr>
              <w:pStyle w:val="TableParagraph"/>
              <w:spacing w:line="240" w:lineRule="auto" w:before="37"/>
              <w:ind w:left="189" w:right="0"/>
              <w:jc w:val="left"/>
              <w:rPr>
                <w:rFonts w:ascii="宋体" w:hAnsi="宋体" w:cs="宋体" w:eastAsia="宋体" w:hint="default"/>
                <w:sz w:val="21"/>
                <w:szCs w:val="21"/>
              </w:rPr>
            </w:pPr>
            <w:r>
              <w:rPr>
                <w:rFonts w:ascii="宋体" w:hAnsi="宋体" w:cs="宋体" w:eastAsia="宋体" w:hint="default"/>
                <w:sz w:val="21"/>
                <w:szCs w:val="21"/>
              </w:rPr>
              <w:t>现金流量</w:t>
            </w:r>
          </w:p>
        </w:tc>
      </w:tr>
      <w:tr>
        <w:trPr>
          <w:trHeight w:val="278" w:hRule="exact"/>
        </w:trPr>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畅捷通</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206" w:right="0"/>
              <w:jc w:val="left"/>
              <w:rPr>
                <w:rFonts w:ascii="宋体" w:hAnsi="宋体" w:cs="宋体" w:eastAsia="宋体" w:hint="default"/>
                <w:sz w:val="18"/>
                <w:szCs w:val="18"/>
              </w:rPr>
            </w:pPr>
            <w:r>
              <w:rPr>
                <w:rFonts w:ascii="宋体"/>
                <w:sz w:val="18"/>
              </w:rPr>
              <w:t>506,172,208</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00"/>
              <w:jc w:val="right"/>
              <w:rPr>
                <w:rFonts w:ascii="宋体" w:hAnsi="宋体" w:cs="宋体" w:eastAsia="宋体" w:hint="default"/>
                <w:sz w:val="18"/>
                <w:szCs w:val="18"/>
              </w:rPr>
            </w:pPr>
            <w:r>
              <w:rPr>
                <w:rFonts w:ascii="宋体"/>
                <w:spacing w:val="-1"/>
                <w:sz w:val="18"/>
              </w:rPr>
              <w:t>222,837,008</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97"/>
              <w:jc w:val="right"/>
              <w:rPr>
                <w:rFonts w:ascii="宋体" w:hAnsi="宋体" w:cs="宋体" w:eastAsia="宋体" w:hint="default"/>
                <w:sz w:val="18"/>
                <w:szCs w:val="18"/>
              </w:rPr>
            </w:pPr>
            <w:r>
              <w:rPr>
                <w:rFonts w:ascii="宋体"/>
                <w:spacing w:val="-1"/>
                <w:sz w:val="18"/>
              </w:rPr>
              <w:t>222,486,737</w:t>
            </w:r>
          </w:p>
        </w:tc>
        <w:tc>
          <w:tcPr>
            <w:tcW w:w="123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31" w:right="0"/>
              <w:jc w:val="center"/>
              <w:rPr>
                <w:rFonts w:ascii="宋体" w:hAnsi="宋体" w:cs="宋体" w:eastAsia="宋体" w:hint="default"/>
                <w:sz w:val="18"/>
                <w:szCs w:val="18"/>
              </w:rPr>
            </w:pPr>
            <w:r>
              <w:rPr>
                <w:rFonts w:ascii="宋体"/>
                <w:sz w:val="18"/>
              </w:rPr>
              <w:t>182,955,893</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89" w:right="0"/>
              <w:jc w:val="left"/>
              <w:rPr>
                <w:rFonts w:ascii="宋体" w:hAnsi="宋体" w:cs="宋体" w:eastAsia="宋体" w:hint="default"/>
                <w:sz w:val="18"/>
                <w:szCs w:val="18"/>
              </w:rPr>
            </w:pPr>
            <w:r>
              <w:rPr>
                <w:rFonts w:ascii="宋体"/>
                <w:sz w:val="18"/>
              </w:rPr>
              <w:t>436,774,405</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01"/>
              <w:jc w:val="right"/>
              <w:rPr>
                <w:rFonts w:ascii="宋体" w:hAnsi="宋体" w:cs="宋体" w:eastAsia="宋体" w:hint="default"/>
                <w:sz w:val="18"/>
                <w:szCs w:val="18"/>
              </w:rPr>
            </w:pPr>
            <w:r>
              <w:rPr>
                <w:rFonts w:ascii="宋体"/>
                <w:spacing w:val="-1"/>
                <w:sz w:val="18"/>
              </w:rPr>
              <w:t>-129,206,348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03"/>
              <w:jc w:val="right"/>
              <w:rPr>
                <w:rFonts w:ascii="宋体" w:hAnsi="宋体" w:cs="宋体" w:eastAsia="宋体" w:hint="default"/>
                <w:sz w:val="18"/>
                <w:szCs w:val="18"/>
              </w:rPr>
            </w:pPr>
            <w:r>
              <w:rPr>
                <w:rFonts w:ascii="宋体"/>
                <w:spacing w:val="-1"/>
                <w:sz w:val="18"/>
              </w:rPr>
              <w:t>-128,459,229</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03"/>
              <w:jc w:val="right"/>
              <w:rPr>
                <w:rFonts w:ascii="宋体" w:hAnsi="宋体" w:cs="宋体" w:eastAsia="宋体" w:hint="default"/>
                <w:sz w:val="18"/>
                <w:szCs w:val="18"/>
              </w:rPr>
            </w:pPr>
            <w:r>
              <w:rPr>
                <w:rFonts w:ascii="宋体"/>
                <w:spacing w:val="-1"/>
                <w:sz w:val="18"/>
              </w:rPr>
              <w:t>17,215,424</w:t>
            </w:r>
          </w:p>
        </w:tc>
      </w:tr>
      <w:tr>
        <w:trPr>
          <w:trHeight w:val="547" w:hRule="exact"/>
        </w:trPr>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用友政</w:t>
            </w:r>
          </w:p>
          <w:p>
            <w:pPr>
              <w:pStyle w:val="TableParagraph"/>
              <w:spacing w:line="240" w:lineRule="auto" w:before="33"/>
              <w:ind w:left="103" w:right="0"/>
              <w:jc w:val="left"/>
              <w:rPr>
                <w:rFonts w:ascii="宋体" w:hAnsi="宋体" w:cs="宋体" w:eastAsia="宋体" w:hint="default"/>
                <w:sz w:val="18"/>
                <w:szCs w:val="18"/>
              </w:rPr>
            </w:pPr>
            <w:r>
              <w:rPr>
                <w:rFonts w:ascii="宋体" w:hAnsi="宋体" w:cs="宋体" w:eastAsia="宋体" w:hint="default"/>
                <w:sz w:val="18"/>
                <w:szCs w:val="18"/>
              </w:rPr>
              <w:t>务</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206" w:right="0"/>
              <w:jc w:val="left"/>
              <w:rPr>
                <w:rFonts w:ascii="宋体" w:hAnsi="宋体" w:cs="宋体" w:eastAsia="宋体" w:hint="default"/>
                <w:sz w:val="18"/>
                <w:szCs w:val="18"/>
              </w:rPr>
            </w:pPr>
            <w:r>
              <w:rPr>
                <w:rFonts w:ascii="宋体"/>
                <w:sz w:val="18"/>
              </w:rPr>
              <w:t>613,903,806</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00"/>
              <w:jc w:val="right"/>
              <w:rPr>
                <w:rFonts w:ascii="宋体" w:hAnsi="宋体" w:cs="宋体" w:eastAsia="宋体" w:hint="default"/>
                <w:sz w:val="18"/>
                <w:szCs w:val="18"/>
              </w:rPr>
            </w:pPr>
            <w:r>
              <w:rPr>
                <w:rFonts w:ascii="宋体"/>
                <w:spacing w:val="-1"/>
                <w:sz w:val="18"/>
              </w:rPr>
              <w:t>23,594,412</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98"/>
              <w:jc w:val="right"/>
              <w:rPr>
                <w:rFonts w:ascii="宋体" w:hAnsi="宋体" w:cs="宋体" w:eastAsia="宋体" w:hint="default"/>
                <w:sz w:val="18"/>
                <w:szCs w:val="18"/>
              </w:rPr>
            </w:pPr>
            <w:r>
              <w:rPr>
                <w:rFonts w:ascii="宋体"/>
                <w:spacing w:val="-1"/>
                <w:sz w:val="18"/>
              </w:rPr>
              <w:t>23,594,412</w:t>
            </w:r>
          </w:p>
        </w:tc>
        <w:tc>
          <w:tcPr>
            <w:tcW w:w="123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22" w:right="0"/>
              <w:jc w:val="center"/>
              <w:rPr>
                <w:rFonts w:ascii="宋体" w:hAnsi="宋体" w:cs="宋体" w:eastAsia="宋体" w:hint="default"/>
                <w:sz w:val="18"/>
                <w:szCs w:val="18"/>
              </w:rPr>
            </w:pPr>
            <w:r>
              <w:rPr>
                <w:rFonts w:ascii="宋体"/>
                <w:sz w:val="18"/>
              </w:rPr>
              <w:t>81,647,119</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89" w:right="0"/>
              <w:jc w:val="left"/>
              <w:rPr>
                <w:rFonts w:ascii="宋体" w:hAnsi="宋体" w:cs="宋体" w:eastAsia="宋体" w:hint="default"/>
                <w:sz w:val="18"/>
                <w:szCs w:val="18"/>
              </w:rPr>
            </w:pPr>
            <w:r>
              <w:rPr>
                <w:rFonts w:ascii="宋体"/>
                <w:sz w:val="18"/>
              </w:rPr>
              <w:t>526,665,067</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01"/>
              <w:jc w:val="right"/>
              <w:rPr>
                <w:rFonts w:ascii="宋体" w:hAnsi="宋体" w:cs="宋体" w:eastAsia="宋体" w:hint="default"/>
                <w:sz w:val="18"/>
                <w:szCs w:val="18"/>
              </w:rPr>
            </w:pPr>
            <w:r>
              <w:rPr>
                <w:rFonts w:ascii="宋体"/>
                <w:spacing w:val="-1"/>
                <w:sz w:val="18"/>
              </w:rPr>
              <w:t>53,169,925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03"/>
              <w:jc w:val="right"/>
              <w:rPr>
                <w:rFonts w:ascii="宋体" w:hAnsi="宋体" w:cs="宋体" w:eastAsia="宋体" w:hint="default"/>
                <w:sz w:val="18"/>
                <w:szCs w:val="18"/>
              </w:rPr>
            </w:pPr>
            <w:r>
              <w:rPr>
                <w:rFonts w:ascii="宋体"/>
                <w:spacing w:val="-1"/>
                <w:sz w:val="18"/>
              </w:rPr>
              <w:t>53,169,925</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03"/>
              <w:jc w:val="right"/>
              <w:rPr>
                <w:rFonts w:ascii="宋体" w:hAnsi="宋体" w:cs="宋体" w:eastAsia="宋体" w:hint="default"/>
                <w:sz w:val="18"/>
                <w:szCs w:val="18"/>
              </w:rPr>
            </w:pPr>
            <w:r>
              <w:rPr>
                <w:rFonts w:ascii="宋体"/>
                <w:spacing w:val="-1"/>
                <w:sz w:val="18"/>
              </w:rPr>
              <w:t>188,669,257</w:t>
            </w:r>
          </w:p>
        </w:tc>
      </w:tr>
      <w:tr>
        <w:trPr>
          <w:trHeight w:val="547" w:hRule="exact"/>
        </w:trPr>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用友汽</w:t>
            </w:r>
          </w:p>
          <w:p>
            <w:pPr>
              <w:pStyle w:val="TableParagraph"/>
              <w:spacing w:line="240" w:lineRule="auto" w:before="33"/>
              <w:ind w:left="103" w:right="0"/>
              <w:jc w:val="left"/>
              <w:rPr>
                <w:rFonts w:ascii="宋体" w:hAnsi="宋体" w:cs="宋体" w:eastAsia="宋体" w:hint="default"/>
                <w:sz w:val="18"/>
                <w:szCs w:val="18"/>
              </w:rPr>
            </w:pPr>
            <w:r>
              <w:rPr>
                <w:rFonts w:ascii="宋体" w:hAnsi="宋体" w:cs="宋体" w:eastAsia="宋体" w:hint="default"/>
                <w:sz w:val="18"/>
                <w:szCs w:val="18"/>
              </w:rPr>
              <w:t>车</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206" w:right="0"/>
              <w:jc w:val="left"/>
              <w:rPr>
                <w:rFonts w:ascii="宋体" w:hAnsi="宋体" w:cs="宋体" w:eastAsia="宋体" w:hint="default"/>
                <w:sz w:val="18"/>
                <w:szCs w:val="18"/>
              </w:rPr>
            </w:pPr>
            <w:r>
              <w:rPr>
                <w:rFonts w:ascii="宋体"/>
                <w:sz w:val="18"/>
              </w:rPr>
              <w:t>374,041,786</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00"/>
              <w:jc w:val="right"/>
              <w:rPr>
                <w:rFonts w:ascii="宋体" w:hAnsi="宋体" w:cs="宋体" w:eastAsia="宋体" w:hint="default"/>
                <w:sz w:val="18"/>
                <w:szCs w:val="18"/>
              </w:rPr>
            </w:pPr>
            <w:r>
              <w:rPr>
                <w:rFonts w:ascii="宋体"/>
                <w:spacing w:val="-1"/>
                <w:sz w:val="18"/>
              </w:rPr>
              <w:t>80,357,165</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98"/>
              <w:jc w:val="right"/>
              <w:rPr>
                <w:rFonts w:ascii="宋体" w:hAnsi="宋体" w:cs="宋体" w:eastAsia="宋体" w:hint="default"/>
                <w:sz w:val="18"/>
                <w:szCs w:val="18"/>
              </w:rPr>
            </w:pPr>
            <w:r>
              <w:rPr>
                <w:rFonts w:ascii="宋体"/>
                <w:spacing w:val="-1"/>
                <w:sz w:val="18"/>
              </w:rPr>
              <w:t>80,357,165</w:t>
            </w:r>
          </w:p>
        </w:tc>
        <w:tc>
          <w:tcPr>
            <w:tcW w:w="123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22" w:right="0"/>
              <w:jc w:val="center"/>
              <w:rPr>
                <w:rFonts w:ascii="宋体" w:hAnsi="宋体" w:cs="宋体" w:eastAsia="宋体" w:hint="default"/>
                <w:sz w:val="18"/>
                <w:szCs w:val="18"/>
              </w:rPr>
            </w:pPr>
            <w:r>
              <w:rPr>
                <w:rFonts w:ascii="宋体"/>
                <w:sz w:val="18"/>
              </w:rPr>
              <w:t>93,981,462</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89" w:right="0"/>
              <w:jc w:val="left"/>
              <w:rPr>
                <w:rFonts w:ascii="宋体" w:hAnsi="宋体" w:cs="宋体" w:eastAsia="宋体" w:hint="default"/>
                <w:sz w:val="18"/>
                <w:szCs w:val="18"/>
              </w:rPr>
            </w:pPr>
            <w:r>
              <w:rPr>
                <w:rFonts w:ascii="宋体"/>
                <w:sz w:val="18"/>
              </w:rPr>
              <w:t>311,941,487</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01"/>
              <w:jc w:val="right"/>
              <w:rPr>
                <w:rFonts w:ascii="宋体" w:hAnsi="宋体" w:cs="宋体" w:eastAsia="宋体" w:hint="default"/>
                <w:sz w:val="18"/>
                <w:szCs w:val="18"/>
              </w:rPr>
            </w:pPr>
            <w:r>
              <w:rPr>
                <w:rFonts w:ascii="宋体"/>
                <w:spacing w:val="-1"/>
                <w:sz w:val="18"/>
              </w:rPr>
              <w:t>67,899,152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03"/>
              <w:jc w:val="right"/>
              <w:rPr>
                <w:rFonts w:ascii="宋体" w:hAnsi="宋体" w:cs="宋体" w:eastAsia="宋体" w:hint="default"/>
                <w:sz w:val="18"/>
                <w:szCs w:val="18"/>
              </w:rPr>
            </w:pPr>
            <w:r>
              <w:rPr>
                <w:rFonts w:ascii="宋体"/>
                <w:spacing w:val="-1"/>
                <w:sz w:val="18"/>
              </w:rPr>
              <w:t>67,899,152</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03"/>
              <w:jc w:val="right"/>
              <w:rPr>
                <w:rFonts w:ascii="宋体" w:hAnsi="宋体" w:cs="宋体" w:eastAsia="宋体" w:hint="default"/>
                <w:sz w:val="18"/>
                <w:szCs w:val="18"/>
              </w:rPr>
            </w:pPr>
            <w:r>
              <w:rPr>
                <w:rFonts w:ascii="宋体"/>
                <w:spacing w:val="-1"/>
                <w:sz w:val="18"/>
              </w:rPr>
              <w:t>53,150,717</w:t>
            </w:r>
          </w:p>
        </w:tc>
      </w:tr>
      <w:tr>
        <w:trPr>
          <w:trHeight w:val="545" w:hRule="exact"/>
        </w:trPr>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用友金</w:t>
            </w:r>
          </w:p>
          <w:p>
            <w:pPr>
              <w:pStyle w:val="TableParagraph"/>
              <w:spacing w:line="240" w:lineRule="auto" w:before="34"/>
              <w:ind w:left="103" w:right="0"/>
              <w:jc w:val="left"/>
              <w:rPr>
                <w:rFonts w:ascii="宋体" w:hAnsi="宋体" w:cs="宋体" w:eastAsia="宋体" w:hint="default"/>
                <w:sz w:val="18"/>
                <w:szCs w:val="18"/>
              </w:rPr>
            </w:pPr>
            <w:r>
              <w:rPr>
                <w:rFonts w:ascii="宋体" w:hAnsi="宋体" w:cs="宋体" w:eastAsia="宋体" w:hint="default"/>
                <w:sz w:val="18"/>
                <w:szCs w:val="18"/>
              </w:rPr>
              <w:t>融</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206" w:right="0"/>
              <w:jc w:val="left"/>
              <w:rPr>
                <w:rFonts w:ascii="宋体" w:hAnsi="宋体" w:cs="宋体" w:eastAsia="宋体" w:hint="default"/>
                <w:sz w:val="18"/>
                <w:szCs w:val="18"/>
              </w:rPr>
            </w:pPr>
            <w:r>
              <w:rPr>
                <w:rFonts w:ascii="宋体"/>
                <w:sz w:val="18"/>
              </w:rPr>
              <w:t>333,100,122</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00"/>
              <w:jc w:val="right"/>
              <w:rPr>
                <w:rFonts w:ascii="宋体" w:hAnsi="宋体" w:cs="宋体" w:eastAsia="宋体" w:hint="default"/>
                <w:sz w:val="18"/>
                <w:szCs w:val="18"/>
              </w:rPr>
            </w:pPr>
            <w:r>
              <w:rPr>
                <w:rFonts w:ascii="宋体"/>
                <w:spacing w:val="-1"/>
                <w:sz w:val="18"/>
              </w:rPr>
              <w:t>20,838,732</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98"/>
              <w:jc w:val="right"/>
              <w:rPr>
                <w:rFonts w:ascii="宋体" w:hAnsi="宋体" w:cs="宋体" w:eastAsia="宋体" w:hint="default"/>
                <w:sz w:val="18"/>
                <w:szCs w:val="18"/>
              </w:rPr>
            </w:pPr>
            <w:r>
              <w:rPr>
                <w:rFonts w:ascii="宋体"/>
                <w:spacing w:val="-1"/>
                <w:sz w:val="18"/>
              </w:rPr>
              <w:t>20,838,732</w:t>
            </w:r>
          </w:p>
        </w:tc>
        <w:tc>
          <w:tcPr>
            <w:tcW w:w="123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31" w:right="0"/>
              <w:jc w:val="center"/>
              <w:rPr>
                <w:rFonts w:ascii="宋体" w:hAnsi="宋体" w:cs="宋体" w:eastAsia="宋体" w:hint="default"/>
                <w:sz w:val="18"/>
                <w:szCs w:val="18"/>
              </w:rPr>
            </w:pPr>
            <w:r>
              <w:rPr>
                <w:rFonts w:ascii="宋体"/>
                <w:sz w:val="18"/>
              </w:rPr>
              <w:t>-47,683,677</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89" w:right="0"/>
              <w:jc w:val="left"/>
              <w:rPr>
                <w:rFonts w:ascii="宋体" w:hAnsi="宋体" w:cs="宋体" w:eastAsia="宋体" w:hint="default"/>
                <w:sz w:val="18"/>
                <w:szCs w:val="18"/>
              </w:rPr>
            </w:pPr>
            <w:r>
              <w:rPr>
                <w:rFonts w:ascii="宋体"/>
                <w:sz w:val="18"/>
              </w:rPr>
              <w:t>372,679,020</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01"/>
              <w:jc w:val="right"/>
              <w:rPr>
                <w:rFonts w:ascii="宋体" w:hAnsi="宋体" w:cs="宋体" w:eastAsia="宋体" w:hint="default"/>
                <w:sz w:val="18"/>
                <w:szCs w:val="18"/>
              </w:rPr>
            </w:pPr>
            <w:r>
              <w:rPr>
                <w:rFonts w:ascii="宋体"/>
                <w:spacing w:val="-1"/>
                <w:sz w:val="18"/>
              </w:rPr>
              <w:t>61,141,197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03"/>
              <w:jc w:val="right"/>
              <w:rPr>
                <w:rFonts w:ascii="宋体" w:hAnsi="宋体" w:cs="宋体" w:eastAsia="宋体" w:hint="default"/>
                <w:sz w:val="18"/>
                <w:szCs w:val="18"/>
              </w:rPr>
            </w:pPr>
            <w:r>
              <w:rPr>
                <w:rFonts w:ascii="宋体"/>
                <w:spacing w:val="-1"/>
                <w:sz w:val="18"/>
              </w:rPr>
              <w:t>61,141,197</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03"/>
              <w:jc w:val="right"/>
              <w:rPr>
                <w:rFonts w:ascii="宋体" w:hAnsi="宋体" w:cs="宋体" w:eastAsia="宋体" w:hint="default"/>
                <w:sz w:val="18"/>
                <w:szCs w:val="18"/>
              </w:rPr>
            </w:pPr>
            <w:r>
              <w:rPr>
                <w:rFonts w:ascii="宋体"/>
                <w:spacing w:val="-1"/>
                <w:sz w:val="18"/>
              </w:rPr>
              <w:t>94,425,654</w:t>
            </w:r>
          </w:p>
        </w:tc>
      </w:tr>
      <w:tr>
        <w:trPr>
          <w:trHeight w:val="550" w:hRule="exact"/>
        </w:trPr>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新道科</w:t>
            </w:r>
          </w:p>
          <w:p>
            <w:pPr>
              <w:pStyle w:val="TableParagraph"/>
              <w:spacing w:line="240" w:lineRule="auto" w:before="33"/>
              <w:ind w:left="103" w:right="0"/>
              <w:jc w:val="left"/>
              <w:rPr>
                <w:rFonts w:ascii="宋体" w:hAnsi="宋体" w:cs="宋体" w:eastAsia="宋体" w:hint="default"/>
                <w:sz w:val="18"/>
                <w:szCs w:val="18"/>
              </w:rPr>
            </w:pPr>
            <w:r>
              <w:rPr>
                <w:rFonts w:ascii="宋体" w:hAnsi="宋体" w:cs="宋体" w:eastAsia="宋体" w:hint="default"/>
                <w:sz w:val="18"/>
                <w:szCs w:val="18"/>
              </w:rPr>
              <w:t>技</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06" w:right="0"/>
              <w:jc w:val="left"/>
              <w:rPr>
                <w:rFonts w:ascii="宋体" w:hAnsi="宋体" w:cs="宋体" w:eastAsia="宋体" w:hint="default"/>
                <w:sz w:val="18"/>
                <w:szCs w:val="18"/>
              </w:rPr>
            </w:pPr>
            <w:r>
              <w:rPr>
                <w:rFonts w:ascii="宋体"/>
                <w:sz w:val="18"/>
              </w:rPr>
              <w:t>247,407,450</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83,151,844</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83,151,844</w:t>
            </w:r>
          </w:p>
        </w:tc>
        <w:tc>
          <w:tcPr>
            <w:tcW w:w="123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1" w:right="0"/>
              <w:jc w:val="center"/>
              <w:rPr>
                <w:rFonts w:ascii="宋体" w:hAnsi="宋体" w:cs="宋体" w:eastAsia="宋体" w:hint="default"/>
                <w:sz w:val="18"/>
                <w:szCs w:val="18"/>
              </w:rPr>
            </w:pPr>
            <w:r>
              <w:rPr>
                <w:rFonts w:ascii="宋体"/>
                <w:sz w:val="18"/>
              </w:rPr>
              <w:t>6,134,180</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89" w:right="0"/>
              <w:jc w:val="left"/>
              <w:rPr>
                <w:rFonts w:ascii="宋体" w:hAnsi="宋体" w:cs="宋体" w:eastAsia="宋体" w:hint="default"/>
                <w:sz w:val="18"/>
                <w:szCs w:val="18"/>
              </w:rPr>
            </w:pPr>
            <w:r>
              <w:rPr>
                <w:rFonts w:ascii="宋体"/>
                <w:sz w:val="18"/>
              </w:rPr>
              <w:t>278,875,489</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71,877,307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71,877,307</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96,320,164</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0"/>
          <w:szCs w:val="20"/>
        </w:rPr>
      </w:pPr>
    </w:p>
    <w:p>
      <w:pPr>
        <w:pStyle w:val="Heading3"/>
        <w:tabs>
          <w:tab w:pos="2281" w:val="left" w:leader="none"/>
        </w:tabs>
        <w:spacing w:line="240" w:lineRule="auto" w:before="36"/>
        <w:ind w:left="1638" w:right="0"/>
        <w:jc w:val="left"/>
        <w:rPr>
          <w:b w:val="0"/>
          <w:bCs w:val="0"/>
        </w:rPr>
      </w:pPr>
      <w:r>
        <w:rPr>
          <w:rFonts w:ascii="宋体" w:hAnsi="宋体" w:cs="宋体" w:eastAsia="宋体" w:hint="default"/>
          <w:w w:val="95"/>
        </w:rPr>
        <w:t>(4).</w:t>
        <w:tab/>
      </w:r>
      <w:r>
        <w:rPr/>
        <w:t>使用企业集团资产和清偿企业集团债务的重大限制：</w:t>
      </w:r>
      <w:r>
        <w:rPr>
          <w:b w:val="0"/>
          <w:bCs w:val="0"/>
        </w:rPr>
      </w:r>
    </w:p>
    <w:p>
      <w:pPr>
        <w:pStyle w:val="BodyText"/>
        <w:spacing w:line="240" w:lineRule="auto" w:before="58"/>
        <w:ind w:left="1638" w:right="0"/>
        <w:jc w:val="left"/>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tabs>
          <w:tab w:pos="2281" w:val="left" w:leader="none"/>
        </w:tabs>
        <w:spacing w:line="240" w:lineRule="auto"/>
        <w:ind w:left="1638" w:right="0"/>
        <w:jc w:val="left"/>
        <w:rPr>
          <w:b w:val="0"/>
          <w:bCs w:val="0"/>
        </w:rPr>
      </w:pPr>
      <w:r>
        <w:rPr>
          <w:rFonts w:ascii="宋体" w:hAnsi="宋体" w:cs="宋体" w:eastAsia="宋体" w:hint="default"/>
          <w:w w:val="95"/>
        </w:rPr>
        <w:t>(5).</w:t>
        <w:tab/>
      </w:r>
      <w:r>
        <w:rPr/>
        <w:t>向纳入合并财务报表范围的结构化主体提供的财务支持或其他支持：</w:t>
      </w:r>
      <w:r>
        <w:rPr>
          <w:b w:val="0"/>
          <w:bCs w:val="0"/>
        </w:rPr>
      </w:r>
    </w:p>
    <w:p>
      <w:pPr>
        <w:pStyle w:val="BodyText"/>
        <w:tabs>
          <w:tab w:pos="2480" w:val="left" w:leader="none"/>
        </w:tabs>
        <w:spacing w:line="240" w:lineRule="auto" w:before="56"/>
        <w:ind w:left="1638" w:right="0"/>
        <w:jc w:val="left"/>
      </w:pPr>
      <w:r>
        <w:rPr>
          <w:spacing w:val="-1"/>
        </w:rPr>
        <w:t>□适用</w:t>
        <w:tab/>
      </w:r>
      <w:r>
        <w:rPr>
          <w:spacing w:val="-2"/>
        </w:rPr>
        <w:t>√不适用</w:t>
      </w:r>
    </w:p>
    <w:p>
      <w:pPr>
        <w:spacing w:line="240" w:lineRule="auto" w:before="9"/>
        <w:rPr>
          <w:rFonts w:ascii="宋体" w:hAnsi="宋体" w:cs="宋体" w:eastAsia="宋体" w:hint="default"/>
          <w:sz w:val="20"/>
          <w:szCs w:val="20"/>
        </w:rPr>
      </w:pPr>
    </w:p>
    <w:p>
      <w:pPr>
        <w:pStyle w:val="BodyText"/>
        <w:spacing w:line="274" w:lineRule="exact"/>
        <w:ind w:left="1638" w:right="0"/>
        <w:jc w:val="left"/>
      </w:pPr>
      <w:r>
        <w:rPr/>
        <w:t>其他说明：</w:t>
      </w:r>
    </w:p>
    <w:p>
      <w:pPr>
        <w:pStyle w:val="BodyText"/>
        <w:spacing w:line="274" w:lineRule="exact"/>
        <w:ind w:left="1638" w:right="0"/>
        <w:jc w:val="left"/>
      </w:pPr>
      <w:r>
        <w:rPr/>
        <w:t>□适用</w:t>
      </w:r>
      <w:r>
        <w:rPr>
          <w:spacing w:val="-1"/>
        </w:rPr>
        <w:t> </w:t>
      </w:r>
      <w:r>
        <w:rPr/>
        <w:t>√不适用</w:t>
      </w:r>
    </w:p>
    <w:p>
      <w:pPr>
        <w:spacing w:after="0" w:line="274" w:lineRule="exact"/>
        <w:jc w:val="left"/>
        <w:sectPr>
          <w:type w:val="continuous"/>
          <w:pgSz w:w="11910" w:h="16840"/>
          <w:pgMar w:top="1320" w:bottom="1380" w:left="160" w:right="40"/>
        </w:sectPr>
      </w:pPr>
    </w:p>
    <w:p>
      <w:pPr>
        <w:spacing w:line="240" w:lineRule="auto" w:before="2"/>
        <w:rPr>
          <w:rFonts w:ascii="宋体" w:hAnsi="宋体" w:cs="宋体" w:eastAsia="宋体" w:hint="default"/>
          <w:sz w:val="9"/>
          <w:szCs w:val="9"/>
        </w:rPr>
      </w:pPr>
    </w:p>
    <w:p>
      <w:pPr>
        <w:pStyle w:val="Heading3"/>
        <w:spacing w:line="240" w:lineRule="auto" w:before="36"/>
        <w:ind w:right="99"/>
        <w:jc w:val="left"/>
        <w:rPr>
          <w:b w:val="0"/>
          <w:bCs w:val="0"/>
        </w:rPr>
      </w:pPr>
      <w:r>
        <w:rPr>
          <w:rFonts w:ascii="宋体" w:hAnsi="宋体" w:cs="宋体" w:eastAsia="宋体" w:hint="default"/>
        </w:rPr>
        <w:t>2</w:t>
      </w:r>
      <w:r>
        <w:rPr/>
        <w:t>、</w:t>
      </w:r>
      <w:r>
        <w:rPr>
          <w:spacing w:val="-5"/>
        </w:rPr>
        <w:t> </w:t>
      </w:r>
      <w:r>
        <w:rPr/>
        <w:t>在子公司的所有者权益份额发生变化且仍控制子公司的交易</w:t>
      </w:r>
      <w:r>
        <w:rPr>
          <w:b w:val="0"/>
          <w:bCs w:val="0"/>
        </w:rPr>
      </w:r>
    </w:p>
    <w:p>
      <w:pPr>
        <w:spacing w:line="290" w:lineRule="auto" w:before="58"/>
        <w:ind w:left="218" w:right="4408"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2"/>
          <w:sz w:val="21"/>
          <w:szCs w:val="21"/>
        </w:rPr>
        <w:t> </w:t>
      </w:r>
      <w:r>
        <w:rPr>
          <w:rFonts w:ascii="宋体" w:hAnsi="宋体" w:cs="宋体" w:eastAsia="宋体" w:hint="default"/>
          <w:sz w:val="21"/>
          <w:szCs w:val="21"/>
        </w:rPr>
        <w:t>□不适用</w:t>
      </w:r>
      <w:r>
        <w:rPr>
          <w:rFonts w:ascii="宋体" w:hAnsi="宋体" w:cs="宋体" w:eastAsia="宋体" w:hint="default"/>
          <w:w w:val="100"/>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在子公司所有者权益份额的变化情况的说明：</w:t>
      </w:r>
      <w:r>
        <w:rPr>
          <w:rFonts w:ascii="宋体" w:hAnsi="宋体" w:cs="宋体" w:eastAsia="宋体" w:hint="default"/>
          <w:sz w:val="21"/>
          <w:szCs w:val="21"/>
        </w:rPr>
      </w:r>
    </w:p>
    <w:p>
      <w:pPr>
        <w:pStyle w:val="BodyText"/>
        <w:tabs>
          <w:tab w:pos="1060" w:val="left" w:leader="none"/>
        </w:tabs>
        <w:spacing w:line="272" w:lineRule="exact" w:before="42"/>
        <w:ind w:right="7383"/>
        <w:jc w:val="left"/>
      </w:pPr>
      <w:r>
        <w:rPr>
          <w:spacing w:val="-1"/>
        </w:rPr>
        <w:t>√适用</w:t>
        <w:tab/>
      </w:r>
      <w:r>
        <w:rPr>
          <w:spacing w:val="-2"/>
        </w:rPr>
        <w:t>□不适用</w:t>
      </w:r>
      <w:r>
        <w:rPr>
          <w:spacing w:val="-99"/>
        </w:rPr>
        <w:t> </w:t>
      </w:r>
      <w:r>
        <w:rPr>
          <w:spacing w:val="-99"/>
        </w:rPr>
      </w:r>
      <w:r>
        <w:rPr/>
        <w:t>详见附注九、</w:t>
      </w:r>
      <w:r>
        <w:rPr>
          <w:rFonts w:ascii="宋体" w:hAnsi="宋体" w:cs="宋体" w:eastAsia="宋体" w:hint="default"/>
        </w:rPr>
        <w:t>1</w:t>
      </w:r>
      <w:r>
        <w:rPr/>
        <w:t>。</w:t>
      </w:r>
    </w:p>
    <w:p>
      <w:pPr>
        <w:spacing w:line="240" w:lineRule="auto" w:before="7"/>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57" w:footer="1195" w:top="1320" w:bottom="1380" w:left="1580" w:right="1040"/>
        </w:sectPr>
      </w:pPr>
    </w:p>
    <w:p>
      <w:pPr>
        <w:pStyle w:val="Heading3"/>
        <w:spacing w:line="240" w:lineRule="auto" w:before="36"/>
        <w:ind w:right="0"/>
        <w:jc w:val="left"/>
        <w:rPr>
          <w:rFonts w:ascii="宋体" w:hAnsi="宋体" w:cs="宋体" w:eastAsia="宋体" w:hint="default"/>
          <w:b w:val="0"/>
          <w:bCs w:val="0"/>
        </w:rPr>
      </w:pPr>
      <w:r>
        <w:rPr>
          <w:rFonts w:ascii="宋体" w:hAnsi="宋体" w:cs="宋体" w:eastAsia="宋体" w:hint="default"/>
          <w:spacing w:val="-1"/>
        </w:rPr>
        <w:t>(2).</w:t>
      </w:r>
      <w:r>
        <w:rPr>
          <w:spacing w:val="-1"/>
        </w:rPr>
        <w:t>交易对于少数股东权益及归属于母公司所有者权益的影响</w:t>
      </w:r>
      <w:r>
        <w:rPr>
          <w:rFonts w:ascii="宋体" w:hAnsi="宋体" w:cs="宋体" w:eastAsia="宋体" w:hint="default"/>
          <w:b w:val="0"/>
          <w:bCs w:val="0"/>
          <w:spacing w:val="-1"/>
        </w:rPr>
        <w:t>：</w:t>
      </w:r>
    </w:p>
    <w:p>
      <w:pPr>
        <w:pStyle w:val="BodyText"/>
        <w:tabs>
          <w:tab w:pos="1060" w:val="left" w:leader="none"/>
        </w:tabs>
        <w:spacing w:line="240" w:lineRule="auto" w:before="58"/>
        <w:ind w:right="0"/>
        <w:jc w:val="left"/>
      </w:pPr>
      <w:r>
        <w:rPr>
          <w:spacing w:val="-1"/>
        </w:rPr>
        <w:t>√适用</w:t>
        <w:tab/>
      </w:r>
      <w:r>
        <w:rPr>
          <w:spacing w:val="-2"/>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tabs>
          <w:tab w:pos="1164" w:val="left" w:leader="none"/>
        </w:tabs>
        <w:spacing w:line="240" w:lineRule="auto"/>
        <w:ind w:right="0"/>
        <w:jc w:val="left"/>
      </w:pPr>
      <w:r>
        <w:rPr>
          <w:spacing w:val="-1"/>
        </w:rPr>
        <w:t>单位</w:t>
      </w:r>
      <w:r>
        <w:rPr>
          <w:rFonts w:ascii="宋体" w:hAnsi="宋体" w:cs="宋体" w:eastAsia="宋体" w:hint="default"/>
          <w:spacing w:val="-1"/>
        </w:rPr>
        <w:t>:</w:t>
      </w:r>
      <w:r>
        <w:rPr>
          <w:spacing w:val="-1"/>
        </w:rPr>
        <w:t>元</w:t>
        <w:tab/>
        <w:t>币种</w:t>
      </w:r>
      <w:r>
        <w:rPr>
          <w:rFonts w:ascii="宋体" w:hAnsi="宋体" w:cs="宋体" w:eastAsia="宋体" w:hint="default"/>
          <w:spacing w:val="-1"/>
        </w:rPr>
        <w:t>:</w:t>
      </w:r>
      <w:r>
        <w:rPr>
          <w:spacing w:val="-1"/>
        </w:rPr>
        <w:t>人民币</w:t>
      </w:r>
    </w:p>
    <w:p>
      <w:pPr>
        <w:spacing w:after="0" w:line="240" w:lineRule="auto"/>
        <w:jc w:val="left"/>
        <w:sectPr>
          <w:type w:val="continuous"/>
          <w:pgSz w:w="11910" w:h="16840"/>
          <w:pgMar w:top="1320" w:bottom="1380" w:left="1580" w:right="1040"/>
          <w:cols w:num="2" w:equalWidth="0">
            <w:col w:w="6126" w:space="607"/>
            <w:col w:w="2557"/>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4503"/>
        <w:gridCol w:w="4547"/>
      </w:tblGrid>
      <w:tr>
        <w:trPr>
          <w:trHeight w:val="281" w:hRule="exact"/>
        </w:trPr>
        <w:tc>
          <w:tcPr>
            <w:tcW w:w="4503" w:type="dxa"/>
            <w:tcBorders>
              <w:top w:val="single" w:sz="4" w:space="0" w:color="000000"/>
              <w:left w:val="single" w:sz="4" w:space="0" w:color="000000"/>
              <w:bottom w:val="single" w:sz="4" w:space="0" w:color="000000"/>
              <w:right w:val="single" w:sz="4" w:space="0" w:color="000000"/>
            </w:tcBorders>
          </w:tcPr>
          <w:p>
            <w:pPr/>
          </w:p>
        </w:tc>
        <w:tc>
          <w:tcPr>
            <w:tcW w:w="454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50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购买成本</w:t>
            </w:r>
            <w:r>
              <w:rPr>
                <w:rFonts w:ascii="宋体" w:hAnsi="宋体" w:cs="宋体" w:eastAsia="宋体" w:hint="default"/>
                <w:sz w:val="21"/>
                <w:szCs w:val="21"/>
              </w:rPr>
              <w:t>/</w:t>
            </w:r>
            <w:r>
              <w:rPr>
                <w:rFonts w:ascii="宋体" w:hAnsi="宋体" w:cs="宋体" w:eastAsia="宋体" w:hint="default"/>
                <w:sz w:val="21"/>
                <w:szCs w:val="21"/>
              </w:rPr>
              <w:t>处置对价</w:t>
            </w:r>
          </w:p>
        </w:tc>
        <w:tc>
          <w:tcPr>
            <w:tcW w:w="4547"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5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现金</w:t>
            </w:r>
          </w:p>
        </w:tc>
        <w:tc>
          <w:tcPr>
            <w:tcW w:w="45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35,736,290</w:t>
            </w:r>
          </w:p>
        </w:tc>
      </w:tr>
      <w:tr>
        <w:trPr>
          <w:trHeight w:val="281" w:hRule="exact"/>
        </w:trPr>
        <w:tc>
          <w:tcPr>
            <w:tcW w:w="45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非现金资产的公允价值</w:t>
            </w:r>
          </w:p>
        </w:tc>
        <w:tc>
          <w:tcPr>
            <w:tcW w:w="454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503" w:type="dxa"/>
            <w:tcBorders>
              <w:top w:val="single" w:sz="4" w:space="0" w:color="000000"/>
              <w:left w:val="single" w:sz="4" w:space="0" w:color="000000"/>
              <w:bottom w:val="single" w:sz="4" w:space="0" w:color="000000"/>
              <w:right w:val="single" w:sz="4" w:space="0" w:color="000000"/>
            </w:tcBorders>
          </w:tcPr>
          <w:p>
            <w:pPr/>
          </w:p>
        </w:tc>
        <w:tc>
          <w:tcPr>
            <w:tcW w:w="454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5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购买成本</w:t>
            </w:r>
            <w:r>
              <w:rPr>
                <w:rFonts w:ascii="宋体" w:hAnsi="宋体" w:cs="宋体" w:eastAsia="宋体" w:hint="default"/>
                <w:sz w:val="21"/>
                <w:szCs w:val="21"/>
              </w:rPr>
              <w:t>/</w:t>
            </w:r>
            <w:r>
              <w:rPr>
                <w:rFonts w:ascii="宋体" w:hAnsi="宋体" w:cs="宋体" w:eastAsia="宋体" w:hint="default"/>
                <w:sz w:val="21"/>
                <w:szCs w:val="21"/>
              </w:rPr>
              <w:t>处置对价合计</w:t>
            </w:r>
          </w:p>
        </w:tc>
        <w:tc>
          <w:tcPr>
            <w:tcW w:w="45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35,736,290</w:t>
            </w:r>
          </w:p>
        </w:tc>
      </w:tr>
      <w:tr>
        <w:trPr>
          <w:trHeight w:val="554" w:hRule="exact"/>
        </w:trPr>
        <w:tc>
          <w:tcPr>
            <w:tcW w:w="4503"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减：按取得</w:t>
            </w:r>
            <w:r>
              <w:rPr>
                <w:rFonts w:ascii="宋体" w:hAnsi="宋体" w:cs="宋体" w:eastAsia="宋体" w:hint="default"/>
                <w:spacing w:val="-3"/>
                <w:sz w:val="21"/>
                <w:szCs w:val="21"/>
              </w:rPr>
              <w:t>/</w:t>
            </w:r>
            <w:r>
              <w:rPr>
                <w:rFonts w:ascii="宋体" w:hAnsi="宋体" w:cs="宋体" w:eastAsia="宋体" w:hint="default"/>
                <w:spacing w:val="-3"/>
                <w:sz w:val="21"/>
                <w:szCs w:val="21"/>
              </w:rPr>
              <w:t>处置的股权比例计算的子公司净资</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产份额</w:t>
            </w:r>
          </w:p>
        </w:tc>
        <w:tc>
          <w:tcPr>
            <w:tcW w:w="45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30,733,525</w:t>
            </w:r>
          </w:p>
        </w:tc>
      </w:tr>
      <w:tr>
        <w:trPr>
          <w:trHeight w:val="281" w:hRule="exact"/>
        </w:trPr>
        <w:tc>
          <w:tcPr>
            <w:tcW w:w="45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差额</w:t>
            </w:r>
          </w:p>
        </w:tc>
        <w:tc>
          <w:tcPr>
            <w:tcW w:w="45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5,002,765</w:t>
            </w:r>
          </w:p>
        </w:tc>
      </w:tr>
      <w:tr>
        <w:trPr>
          <w:trHeight w:val="283" w:hRule="exact"/>
        </w:trPr>
        <w:tc>
          <w:tcPr>
            <w:tcW w:w="45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其中：调整资本公积</w:t>
            </w:r>
          </w:p>
        </w:tc>
        <w:tc>
          <w:tcPr>
            <w:tcW w:w="45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5,002,765</w:t>
            </w:r>
          </w:p>
        </w:tc>
      </w:tr>
      <w:tr>
        <w:trPr>
          <w:trHeight w:val="283" w:hRule="exact"/>
        </w:trPr>
        <w:tc>
          <w:tcPr>
            <w:tcW w:w="45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调整盈余公积</w:t>
            </w:r>
          </w:p>
        </w:tc>
        <w:tc>
          <w:tcPr>
            <w:tcW w:w="4547"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45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调整未分配利润</w:t>
            </w:r>
          </w:p>
        </w:tc>
        <w:tc>
          <w:tcPr>
            <w:tcW w:w="4547"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7"/>
        <w:rPr>
          <w:rFonts w:ascii="宋体" w:hAnsi="宋体" w:cs="宋体" w:eastAsia="宋体" w:hint="default"/>
          <w:sz w:val="15"/>
          <w:szCs w:val="15"/>
        </w:rPr>
      </w:pPr>
    </w:p>
    <w:p>
      <w:pPr>
        <w:pStyle w:val="BodyText"/>
        <w:spacing w:line="273" w:lineRule="exact" w:before="36"/>
        <w:ind w:right="99"/>
        <w:jc w:val="left"/>
      </w:pPr>
      <w:r>
        <w:rPr/>
        <w:t>其他说明</w:t>
      </w:r>
    </w:p>
    <w:p>
      <w:pPr>
        <w:pStyle w:val="BodyText"/>
        <w:spacing w:line="273" w:lineRule="exact"/>
        <w:ind w:right="99"/>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pStyle w:val="Heading3"/>
        <w:spacing w:line="240" w:lineRule="auto"/>
        <w:ind w:right="99"/>
        <w:jc w:val="left"/>
        <w:rPr>
          <w:b w:val="0"/>
          <w:bCs w:val="0"/>
        </w:rPr>
      </w:pPr>
      <w:r>
        <w:rPr>
          <w:rFonts w:ascii="宋体" w:hAnsi="宋体" w:cs="宋体" w:eastAsia="宋体" w:hint="default"/>
        </w:rPr>
        <w:t>3</w:t>
      </w:r>
      <w:r>
        <w:rPr/>
        <w:t>、</w:t>
      </w:r>
      <w:r>
        <w:rPr>
          <w:spacing w:val="-4"/>
        </w:rPr>
        <w:t> </w:t>
      </w:r>
      <w:r>
        <w:rPr/>
        <w:t>在合营企业或联营企业中的权益</w:t>
      </w:r>
      <w:r>
        <w:rPr>
          <w:b w:val="0"/>
          <w:bCs w:val="0"/>
        </w:rPr>
      </w:r>
    </w:p>
    <w:p>
      <w:pPr>
        <w:pStyle w:val="BodyText"/>
        <w:spacing w:line="240" w:lineRule="auto" w:before="56"/>
        <w:ind w:right="99"/>
        <w:jc w:val="left"/>
      </w:pPr>
      <w:r>
        <w:rPr/>
        <w:t>√适用</w:t>
      </w:r>
      <w:r>
        <w:rPr>
          <w:spacing w:val="-1"/>
        </w:rPr>
        <w:t> </w:t>
      </w:r>
      <w:r>
        <w:rPr/>
        <w:t>□不适用</w:t>
      </w:r>
    </w:p>
    <w:p>
      <w:pPr>
        <w:pStyle w:val="Heading3"/>
        <w:tabs>
          <w:tab w:pos="849" w:val="left" w:leader="none"/>
        </w:tabs>
        <w:spacing w:line="240" w:lineRule="auto" w:before="58"/>
        <w:ind w:right="99"/>
        <w:jc w:val="left"/>
        <w:rPr>
          <w:b w:val="0"/>
          <w:bCs w:val="0"/>
        </w:rPr>
      </w:pPr>
      <w:r>
        <w:rPr>
          <w:rFonts w:ascii="宋体" w:hAnsi="宋体" w:cs="宋体" w:eastAsia="宋体" w:hint="default"/>
          <w:w w:val="95"/>
        </w:rPr>
        <w:t>(1).</w:t>
        <w:tab/>
      </w:r>
      <w:r>
        <w:rPr/>
        <w:t>重要的合营企业或联营企业</w:t>
      </w:r>
      <w:r>
        <w:rPr>
          <w:b w:val="0"/>
          <w:bCs w:val="0"/>
        </w:rPr>
      </w:r>
    </w:p>
    <w:p>
      <w:pPr>
        <w:pStyle w:val="BodyText"/>
        <w:tabs>
          <w:tab w:pos="1060" w:val="left" w:leader="none"/>
        </w:tabs>
        <w:spacing w:line="240" w:lineRule="auto" w:before="56"/>
        <w:ind w:right="99"/>
        <w:jc w:val="left"/>
      </w:pPr>
      <w:r>
        <w:rPr>
          <w:spacing w:val="-1"/>
        </w:rPr>
        <w:t>□适用</w:t>
        <w:tab/>
      </w:r>
      <w:r>
        <w:rPr>
          <w:spacing w:val="-2"/>
        </w:rPr>
        <w:t>√不适用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pStyle w:val="Heading3"/>
        <w:tabs>
          <w:tab w:pos="849" w:val="left" w:leader="none"/>
        </w:tabs>
        <w:spacing w:line="240" w:lineRule="auto"/>
        <w:ind w:right="99"/>
        <w:jc w:val="left"/>
        <w:rPr>
          <w:b w:val="0"/>
          <w:bCs w:val="0"/>
        </w:rPr>
      </w:pPr>
      <w:r>
        <w:rPr>
          <w:rFonts w:ascii="宋体" w:hAnsi="宋体" w:cs="宋体" w:eastAsia="宋体" w:hint="default"/>
          <w:w w:val="95"/>
        </w:rPr>
        <w:t>(2).</w:t>
        <w:tab/>
      </w:r>
      <w:r>
        <w:rPr/>
        <w:t>重要合营企业的主要财务信息</w:t>
      </w:r>
      <w:r>
        <w:rPr>
          <w:b w:val="0"/>
          <w:bCs w:val="0"/>
        </w:rPr>
      </w:r>
    </w:p>
    <w:p>
      <w:pPr>
        <w:pStyle w:val="BodyText"/>
        <w:tabs>
          <w:tab w:pos="1060" w:val="left" w:leader="none"/>
        </w:tabs>
        <w:spacing w:line="240" w:lineRule="auto" w:before="57"/>
        <w:ind w:right="99"/>
        <w:jc w:val="left"/>
      </w:pPr>
      <w:r>
        <w:rPr>
          <w:spacing w:val="-1"/>
        </w:rPr>
        <w:t>□适用</w:t>
        <w:tab/>
      </w:r>
      <w:r>
        <w:rPr>
          <w:spacing w:val="-2"/>
        </w:rPr>
        <w:t>√不适用</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320" w:bottom="1380" w:left="1580" w:right="1040"/>
        </w:sectPr>
      </w:pPr>
    </w:p>
    <w:p>
      <w:pPr>
        <w:pStyle w:val="Heading3"/>
        <w:tabs>
          <w:tab w:pos="849" w:val="left" w:leader="none"/>
        </w:tabs>
        <w:spacing w:line="240" w:lineRule="auto" w:before="36"/>
        <w:ind w:right="-7"/>
        <w:jc w:val="left"/>
        <w:rPr>
          <w:b w:val="0"/>
          <w:bCs w:val="0"/>
        </w:rPr>
      </w:pPr>
      <w:r>
        <w:rPr>
          <w:rFonts w:ascii="宋体" w:hAnsi="宋体" w:cs="宋体" w:eastAsia="宋体" w:hint="default"/>
          <w:w w:val="95"/>
        </w:rPr>
        <w:t>(3).</w:t>
        <w:tab/>
      </w:r>
      <w:r>
        <w:rPr>
          <w:spacing w:val="-1"/>
        </w:rPr>
        <w:t>重要联营企业的主要财务信息</w:t>
      </w:r>
      <w:r>
        <w:rPr>
          <w:b w:val="0"/>
          <w:bCs w:val="0"/>
          <w:spacing w:val="-1"/>
        </w:rPr>
      </w:r>
    </w:p>
    <w:p>
      <w:pPr>
        <w:pStyle w:val="BodyText"/>
        <w:tabs>
          <w:tab w:pos="1060" w:val="left" w:leader="none"/>
        </w:tabs>
        <w:spacing w:line="240" w:lineRule="auto" w:before="56"/>
        <w:ind w:right="-7"/>
        <w:jc w:val="left"/>
      </w:pPr>
      <w:r>
        <w:rPr>
          <w:spacing w:val="-1"/>
        </w:rPr>
        <w:t>√适用</w:t>
        <w:tab/>
      </w:r>
      <w:r>
        <w:rPr>
          <w:spacing w:val="-2"/>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3591" w:space="3142"/>
            <w:col w:w="2557"/>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914"/>
        <w:gridCol w:w="1582"/>
        <w:gridCol w:w="1520"/>
        <w:gridCol w:w="1517"/>
        <w:gridCol w:w="1517"/>
      </w:tblGrid>
      <w:tr>
        <w:trPr>
          <w:trHeight w:val="286" w:hRule="exact"/>
        </w:trPr>
        <w:tc>
          <w:tcPr>
            <w:tcW w:w="2914" w:type="dxa"/>
            <w:vMerge w:val="restart"/>
            <w:tcBorders>
              <w:top w:val="single" w:sz="4" w:space="0" w:color="000000"/>
              <w:left w:val="single" w:sz="4" w:space="0" w:color="000000"/>
              <w:right w:val="single" w:sz="6" w:space="0" w:color="000000"/>
            </w:tcBorders>
          </w:tcPr>
          <w:p>
            <w:pPr/>
          </w:p>
        </w:tc>
        <w:tc>
          <w:tcPr>
            <w:tcW w:w="3101" w:type="dxa"/>
            <w:gridSpan w:val="2"/>
            <w:tcBorders>
              <w:top w:val="single" w:sz="4" w:space="0" w:color="000000"/>
              <w:left w:val="single" w:sz="6" w:space="0" w:color="000000"/>
              <w:bottom w:val="single" w:sz="6" w:space="0" w:color="000000"/>
              <w:right w:val="single" w:sz="6" w:space="0" w:color="000000"/>
            </w:tcBorders>
          </w:tcPr>
          <w:p>
            <w:pPr>
              <w:pStyle w:val="TableParagraph"/>
              <w:spacing w:line="241" w:lineRule="exact"/>
              <w:ind w:left="544"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w:t>
            </w:r>
            <w:r>
              <w:rPr>
                <w:rFonts w:ascii="宋体" w:hAnsi="宋体" w:cs="宋体" w:eastAsia="宋体" w:hint="default"/>
                <w:sz w:val="21"/>
                <w:szCs w:val="21"/>
              </w:rPr>
              <w:t>本期发生额</w:t>
            </w:r>
          </w:p>
        </w:tc>
        <w:tc>
          <w:tcPr>
            <w:tcW w:w="3034" w:type="dxa"/>
            <w:gridSpan w:val="2"/>
            <w:tcBorders>
              <w:top w:val="single" w:sz="4" w:space="0" w:color="000000"/>
              <w:left w:val="single" w:sz="6" w:space="0" w:color="000000"/>
              <w:bottom w:val="single" w:sz="6" w:space="0" w:color="000000"/>
              <w:right w:val="single" w:sz="6" w:space="0" w:color="000000"/>
            </w:tcBorders>
          </w:tcPr>
          <w:p>
            <w:pPr>
              <w:pStyle w:val="TableParagraph"/>
              <w:spacing w:line="241" w:lineRule="exact"/>
              <w:ind w:left="513"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w:t>
            </w:r>
            <w:r>
              <w:rPr>
                <w:rFonts w:ascii="宋体" w:hAnsi="宋体" w:cs="宋体" w:eastAsia="宋体" w:hint="default"/>
                <w:sz w:val="21"/>
                <w:szCs w:val="21"/>
              </w:rPr>
              <w:t>上期发生额</w:t>
            </w:r>
          </w:p>
        </w:tc>
      </w:tr>
      <w:tr>
        <w:trPr>
          <w:trHeight w:val="286" w:hRule="exact"/>
        </w:trPr>
        <w:tc>
          <w:tcPr>
            <w:tcW w:w="2914" w:type="dxa"/>
            <w:vMerge/>
            <w:tcBorders>
              <w:left w:val="single" w:sz="4" w:space="0" w:color="000000"/>
              <w:bottom w:val="single" w:sz="6" w:space="0" w:color="000000"/>
              <w:right w:val="single" w:sz="6" w:space="0" w:color="000000"/>
            </w:tcBorders>
          </w:tcPr>
          <w:p>
            <w:pP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中关村银行</w:t>
            </w:r>
          </w:p>
        </w:tc>
        <w:tc>
          <w:tcPr>
            <w:tcW w:w="152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25" w:right="0"/>
              <w:jc w:val="left"/>
              <w:rPr>
                <w:rFonts w:ascii="宋体" w:hAnsi="宋体" w:cs="宋体" w:eastAsia="宋体" w:hint="default"/>
                <w:sz w:val="21"/>
                <w:szCs w:val="21"/>
              </w:rPr>
            </w:pPr>
            <w:r>
              <w:rPr>
                <w:rFonts w:ascii="宋体" w:hAnsi="宋体" w:cs="宋体" w:eastAsia="宋体" w:hint="default"/>
                <w:sz w:val="21"/>
                <w:szCs w:val="21"/>
              </w:rPr>
              <w:t>中关村银行</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25" w:right="0"/>
              <w:jc w:val="left"/>
              <w:rPr>
                <w:rFonts w:ascii="宋体" w:hAnsi="宋体" w:cs="宋体" w:eastAsia="宋体" w:hint="default"/>
                <w:sz w:val="21"/>
                <w:szCs w:val="21"/>
              </w:rPr>
            </w:pPr>
            <w:r>
              <w:rPr>
                <w:rFonts w:ascii="宋体" w:hAnsi="宋体" w:cs="宋体" w:eastAsia="宋体" w:hint="default"/>
                <w:sz w:val="21"/>
                <w:szCs w:val="21"/>
              </w:rPr>
              <w:t>中关村银行</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25" w:right="0"/>
              <w:jc w:val="left"/>
              <w:rPr>
                <w:rFonts w:ascii="宋体" w:hAnsi="宋体" w:cs="宋体" w:eastAsia="宋体" w:hint="default"/>
                <w:sz w:val="21"/>
                <w:szCs w:val="21"/>
              </w:rPr>
            </w:pPr>
            <w:r>
              <w:rPr>
                <w:rFonts w:ascii="宋体" w:hAnsi="宋体" w:cs="宋体" w:eastAsia="宋体" w:hint="default"/>
                <w:sz w:val="21"/>
                <w:szCs w:val="21"/>
              </w:rPr>
              <w:t>中关村银行</w:t>
            </w:r>
          </w:p>
        </w:tc>
      </w:tr>
      <w:tr>
        <w:trPr>
          <w:trHeight w:val="288" w:hRule="exact"/>
        </w:trPr>
        <w:tc>
          <w:tcPr>
            <w:tcW w:w="2914" w:type="dxa"/>
            <w:tcBorders>
              <w:top w:val="single" w:sz="6" w:space="0" w:color="000000"/>
              <w:left w:val="single" w:sz="4" w:space="0" w:color="000000"/>
              <w:bottom w:val="single" w:sz="6" w:space="0" w:color="000000"/>
              <w:right w:val="single" w:sz="6"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流动资产</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sz w:val="21"/>
              </w:rPr>
              <w:t>9,098,090,360</w:t>
            </w:r>
          </w:p>
        </w:tc>
        <w:tc>
          <w:tcPr>
            <w:tcW w:w="1520"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914"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非流动资产</w:t>
            </w:r>
          </w:p>
        </w:tc>
        <w:tc>
          <w:tcPr>
            <w:tcW w:w="1582" w:type="dxa"/>
            <w:tcBorders>
              <w:top w:val="single" w:sz="6" w:space="0" w:color="000000"/>
              <w:left w:val="single" w:sz="6" w:space="0" w:color="000000"/>
              <w:bottom w:val="single" w:sz="6" w:space="0" w:color="000000"/>
              <w:right w:val="single" w:sz="6" w:space="0" w:color="000000"/>
            </w:tcBorders>
          </w:tcPr>
          <w:p>
            <w:pPr/>
          </w:p>
        </w:tc>
        <w:tc>
          <w:tcPr>
            <w:tcW w:w="1520"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914"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资产合计</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9,098,090,360</w:t>
            </w:r>
          </w:p>
        </w:tc>
        <w:tc>
          <w:tcPr>
            <w:tcW w:w="1520"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2914" w:type="dxa"/>
            <w:tcBorders>
              <w:top w:val="single" w:sz="6" w:space="0" w:color="000000"/>
              <w:left w:val="single" w:sz="4" w:space="0" w:color="000000"/>
              <w:bottom w:val="single" w:sz="6" w:space="0" w:color="000000"/>
              <w:right w:val="single" w:sz="6" w:space="0" w:color="000000"/>
            </w:tcBorders>
          </w:tcPr>
          <w:p>
            <w:pPr/>
          </w:p>
        </w:tc>
        <w:tc>
          <w:tcPr>
            <w:tcW w:w="1582" w:type="dxa"/>
            <w:tcBorders>
              <w:top w:val="single" w:sz="6" w:space="0" w:color="000000"/>
              <w:left w:val="single" w:sz="6" w:space="0" w:color="000000"/>
              <w:bottom w:val="single" w:sz="6" w:space="0" w:color="000000"/>
              <w:right w:val="single" w:sz="6" w:space="0" w:color="000000"/>
            </w:tcBorders>
          </w:tcPr>
          <w:p>
            <w:pPr/>
          </w:p>
        </w:tc>
        <w:tc>
          <w:tcPr>
            <w:tcW w:w="1520"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914" w:type="dxa"/>
            <w:tcBorders>
              <w:top w:val="single" w:sz="6" w:space="0" w:color="000000"/>
              <w:left w:val="single" w:sz="4" w:space="0" w:color="000000"/>
              <w:bottom w:val="single" w:sz="6" w:space="0" w:color="000000"/>
              <w:right w:val="single" w:sz="6"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流动负债</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sz w:val="21"/>
              </w:rPr>
              <w:t>5,091,725,600</w:t>
            </w:r>
          </w:p>
        </w:tc>
        <w:tc>
          <w:tcPr>
            <w:tcW w:w="1520"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914"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非流动负债</w:t>
            </w:r>
          </w:p>
        </w:tc>
        <w:tc>
          <w:tcPr>
            <w:tcW w:w="1582" w:type="dxa"/>
            <w:tcBorders>
              <w:top w:val="single" w:sz="6" w:space="0" w:color="000000"/>
              <w:left w:val="single" w:sz="6" w:space="0" w:color="000000"/>
              <w:bottom w:val="single" w:sz="4" w:space="0" w:color="000000"/>
              <w:right w:val="single" w:sz="6" w:space="0" w:color="000000"/>
            </w:tcBorders>
          </w:tcPr>
          <w:p>
            <w:pPr/>
          </w:p>
        </w:tc>
        <w:tc>
          <w:tcPr>
            <w:tcW w:w="1520" w:type="dxa"/>
            <w:tcBorders>
              <w:top w:val="single" w:sz="6" w:space="0" w:color="000000"/>
              <w:left w:val="single" w:sz="6" w:space="0" w:color="000000"/>
              <w:bottom w:val="single" w:sz="4"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bl>
    <w:p>
      <w:pPr>
        <w:spacing w:after="0"/>
        <w:sectPr>
          <w:type w:val="continuous"/>
          <w:pgSz w:w="11910" w:h="16840"/>
          <w:pgMar w:top="1320" w:bottom="1380" w:left="1580" w:right="1040"/>
        </w:sectPr>
      </w:pPr>
    </w:p>
    <w:p>
      <w:pPr>
        <w:spacing w:line="240" w:lineRule="auto" w:before="6"/>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2914"/>
        <w:gridCol w:w="1582"/>
        <w:gridCol w:w="1520"/>
        <w:gridCol w:w="1517"/>
        <w:gridCol w:w="1517"/>
      </w:tblGrid>
      <w:tr>
        <w:trPr>
          <w:trHeight w:val="288" w:hRule="exact"/>
        </w:trPr>
        <w:tc>
          <w:tcPr>
            <w:tcW w:w="2914" w:type="dxa"/>
            <w:tcBorders>
              <w:top w:val="single" w:sz="6" w:space="0" w:color="000000"/>
              <w:left w:val="single" w:sz="4" w:space="0" w:color="000000"/>
              <w:bottom w:val="single" w:sz="6" w:space="0" w:color="000000"/>
              <w:right w:val="single" w:sz="6"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负债合计</w:t>
            </w:r>
          </w:p>
        </w:tc>
        <w:tc>
          <w:tcPr>
            <w:tcW w:w="1582" w:type="dxa"/>
            <w:tcBorders>
              <w:top w:val="single" w:sz="4" w:space="0" w:color="000000"/>
              <w:left w:val="single" w:sz="6" w:space="0" w:color="000000"/>
              <w:bottom w:val="single" w:sz="6" w:space="0" w:color="000000"/>
              <w:right w:val="single" w:sz="6" w:space="0" w:color="000000"/>
            </w:tcBorders>
          </w:tcPr>
          <w:p>
            <w:pPr>
              <w:pStyle w:val="TableParagraph"/>
              <w:spacing w:line="246" w:lineRule="exact"/>
              <w:ind w:right="96"/>
              <w:jc w:val="right"/>
              <w:rPr>
                <w:rFonts w:ascii="宋体" w:hAnsi="宋体" w:cs="宋体" w:eastAsia="宋体" w:hint="default"/>
                <w:sz w:val="21"/>
                <w:szCs w:val="21"/>
              </w:rPr>
            </w:pPr>
            <w:r>
              <w:rPr>
                <w:rFonts w:ascii="宋体"/>
                <w:spacing w:val="-1"/>
                <w:sz w:val="21"/>
              </w:rPr>
              <w:t>5,091,725,600</w:t>
            </w:r>
          </w:p>
        </w:tc>
        <w:tc>
          <w:tcPr>
            <w:tcW w:w="1520" w:type="dxa"/>
            <w:tcBorders>
              <w:top w:val="single" w:sz="4"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914" w:type="dxa"/>
            <w:tcBorders>
              <w:top w:val="single" w:sz="6" w:space="0" w:color="000000"/>
              <w:left w:val="single" w:sz="4" w:space="0" w:color="000000"/>
              <w:bottom w:val="single" w:sz="6" w:space="0" w:color="000000"/>
              <w:right w:val="single" w:sz="6" w:space="0" w:color="000000"/>
            </w:tcBorders>
          </w:tcPr>
          <w:p>
            <w:pPr/>
          </w:p>
        </w:tc>
        <w:tc>
          <w:tcPr>
            <w:tcW w:w="1582" w:type="dxa"/>
            <w:tcBorders>
              <w:top w:val="single" w:sz="6" w:space="0" w:color="000000"/>
              <w:left w:val="single" w:sz="6" w:space="0" w:color="000000"/>
              <w:bottom w:val="single" w:sz="6" w:space="0" w:color="000000"/>
              <w:right w:val="single" w:sz="6" w:space="0" w:color="000000"/>
            </w:tcBorders>
          </w:tcPr>
          <w:p>
            <w:pPr/>
          </w:p>
        </w:tc>
        <w:tc>
          <w:tcPr>
            <w:tcW w:w="1520"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914"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582" w:type="dxa"/>
            <w:tcBorders>
              <w:top w:val="single" w:sz="6" w:space="0" w:color="000000"/>
              <w:left w:val="single" w:sz="6" w:space="0" w:color="000000"/>
              <w:bottom w:val="single" w:sz="6" w:space="0" w:color="000000"/>
              <w:right w:val="single" w:sz="6" w:space="0" w:color="000000"/>
            </w:tcBorders>
          </w:tcPr>
          <w:p>
            <w:pPr/>
          </w:p>
        </w:tc>
        <w:tc>
          <w:tcPr>
            <w:tcW w:w="1520"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2914"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归属于母公司股东权益</w:t>
            </w:r>
          </w:p>
        </w:tc>
        <w:tc>
          <w:tcPr>
            <w:tcW w:w="1582" w:type="dxa"/>
            <w:tcBorders>
              <w:top w:val="single" w:sz="6" w:space="0" w:color="000000"/>
              <w:left w:val="single" w:sz="6" w:space="0" w:color="000000"/>
              <w:bottom w:val="single" w:sz="6" w:space="0" w:color="000000"/>
              <w:right w:val="single" w:sz="6" w:space="0" w:color="000000"/>
            </w:tcBorders>
          </w:tcPr>
          <w:p>
            <w:pPr/>
          </w:p>
        </w:tc>
        <w:tc>
          <w:tcPr>
            <w:tcW w:w="1520"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914" w:type="dxa"/>
            <w:tcBorders>
              <w:top w:val="single" w:sz="6" w:space="0" w:color="000000"/>
              <w:left w:val="single" w:sz="4" w:space="0" w:color="000000"/>
              <w:bottom w:val="single" w:sz="6" w:space="0" w:color="000000"/>
              <w:right w:val="single" w:sz="6" w:space="0" w:color="000000"/>
            </w:tcBorders>
          </w:tcPr>
          <w:p>
            <w:pPr/>
          </w:p>
        </w:tc>
        <w:tc>
          <w:tcPr>
            <w:tcW w:w="1582" w:type="dxa"/>
            <w:tcBorders>
              <w:top w:val="single" w:sz="6" w:space="0" w:color="000000"/>
              <w:left w:val="single" w:sz="6" w:space="0" w:color="000000"/>
              <w:bottom w:val="single" w:sz="6" w:space="0" w:color="000000"/>
              <w:right w:val="single" w:sz="6" w:space="0" w:color="000000"/>
            </w:tcBorders>
          </w:tcPr>
          <w:p>
            <w:pPr/>
          </w:p>
        </w:tc>
        <w:tc>
          <w:tcPr>
            <w:tcW w:w="1520"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914" w:type="dxa"/>
            <w:tcBorders>
              <w:top w:val="single" w:sz="6" w:space="0" w:color="000000"/>
              <w:left w:val="single" w:sz="4" w:space="0" w:color="000000"/>
              <w:bottom w:val="single" w:sz="6" w:space="0" w:color="000000"/>
              <w:right w:val="single" w:sz="6"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按持股比例计算的净资产份</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额</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1,193,896,699</w:t>
            </w:r>
          </w:p>
        </w:tc>
        <w:tc>
          <w:tcPr>
            <w:tcW w:w="1520"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914" w:type="dxa"/>
            <w:tcBorders>
              <w:top w:val="single" w:sz="6" w:space="0" w:color="000000"/>
              <w:left w:val="single" w:sz="4" w:space="0" w:color="000000"/>
              <w:bottom w:val="single" w:sz="6" w:space="0" w:color="000000"/>
              <w:right w:val="single" w:sz="6"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调整事项</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-545,729</w:t>
            </w:r>
          </w:p>
        </w:tc>
        <w:tc>
          <w:tcPr>
            <w:tcW w:w="1520"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914"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商誉</w:t>
            </w:r>
          </w:p>
        </w:tc>
        <w:tc>
          <w:tcPr>
            <w:tcW w:w="1582" w:type="dxa"/>
            <w:tcBorders>
              <w:top w:val="single" w:sz="6" w:space="0" w:color="000000"/>
              <w:left w:val="single" w:sz="6" w:space="0" w:color="000000"/>
              <w:bottom w:val="single" w:sz="6" w:space="0" w:color="000000"/>
              <w:right w:val="single" w:sz="6" w:space="0" w:color="000000"/>
            </w:tcBorders>
          </w:tcPr>
          <w:p>
            <w:pPr/>
          </w:p>
        </w:tc>
        <w:tc>
          <w:tcPr>
            <w:tcW w:w="1520"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2914"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内部交易未实现利润</w:t>
            </w:r>
          </w:p>
        </w:tc>
        <w:tc>
          <w:tcPr>
            <w:tcW w:w="1582" w:type="dxa"/>
            <w:tcBorders>
              <w:top w:val="single" w:sz="6" w:space="0" w:color="000000"/>
              <w:left w:val="single" w:sz="6" w:space="0" w:color="000000"/>
              <w:bottom w:val="single" w:sz="6" w:space="0" w:color="000000"/>
              <w:right w:val="single" w:sz="6" w:space="0" w:color="000000"/>
            </w:tcBorders>
          </w:tcPr>
          <w:p>
            <w:pPr/>
          </w:p>
        </w:tc>
        <w:tc>
          <w:tcPr>
            <w:tcW w:w="1520"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914" w:type="dxa"/>
            <w:tcBorders>
              <w:top w:val="single" w:sz="6" w:space="0" w:color="000000"/>
              <w:left w:val="single" w:sz="4" w:space="0" w:color="000000"/>
              <w:bottom w:val="single" w:sz="6" w:space="0" w:color="000000"/>
              <w:right w:val="single" w:sz="6"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其他</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-545,729</w:t>
            </w:r>
          </w:p>
        </w:tc>
        <w:tc>
          <w:tcPr>
            <w:tcW w:w="1520"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914"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对联营企业权益投资的账面</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价值</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1,193,350,970</w:t>
            </w:r>
          </w:p>
        </w:tc>
        <w:tc>
          <w:tcPr>
            <w:tcW w:w="1520"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562" w:hRule="exact"/>
        </w:trPr>
        <w:tc>
          <w:tcPr>
            <w:tcW w:w="2914"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存在公开报价的联营企业权</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益投资的公允价值</w:t>
            </w:r>
          </w:p>
        </w:tc>
        <w:tc>
          <w:tcPr>
            <w:tcW w:w="1582" w:type="dxa"/>
            <w:tcBorders>
              <w:top w:val="single" w:sz="6" w:space="0" w:color="000000"/>
              <w:left w:val="single" w:sz="6" w:space="0" w:color="000000"/>
              <w:bottom w:val="single" w:sz="6" w:space="0" w:color="000000"/>
              <w:right w:val="single" w:sz="6" w:space="0" w:color="000000"/>
            </w:tcBorders>
          </w:tcPr>
          <w:p>
            <w:pPr/>
          </w:p>
        </w:tc>
        <w:tc>
          <w:tcPr>
            <w:tcW w:w="1520"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2914" w:type="dxa"/>
            <w:tcBorders>
              <w:top w:val="single" w:sz="6" w:space="0" w:color="000000"/>
              <w:left w:val="single" w:sz="4" w:space="0" w:color="000000"/>
              <w:bottom w:val="single" w:sz="6" w:space="0" w:color="000000"/>
              <w:right w:val="single" w:sz="6" w:space="0" w:color="000000"/>
            </w:tcBorders>
          </w:tcPr>
          <w:p>
            <w:pPr/>
          </w:p>
        </w:tc>
        <w:tc>
          <w:tcPr>
            <w:tcW w:w="1582" w:type="dxa"/>
            <w:tcBorders>
              <w:top w:val="single" w:sz="6" w:space="0" w:color="000000"/>
              <w:left w:val="single" w:sz="6" w:space="0" w:color="000000"/>
              <w:bottom w:val="single" w:sz="6" w:space="0" w:color="000000"/>
              <w:right w:val="single" w:sz="6" w:space="0" w:color="000000"/>
            </w:tcBorders>
          </w:tcPr>
          <w:p>
            <w:pPr/>
          </w:p>
        </w:tc>
        <w:tc>
          <w:tcPr>
            <w:tcW w:w="1520"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914" w:type="dxa"/>
            <w:tcBorders>
              <w:top w:val="single" w:sz="6" w:space="0" w:color="000000"/>
              <w:left w:val="single" w:sz="4" w:space="0" w:color="000000"/>
              <w:bottom w:val="single" w:sz="6" w:space="0" w:color="000000"/>
              <w:right w:val="single" w:sz="6"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132,091,846</w:t>
            </w:r>
          </w:p>
        </w:tc>
        <w:tc>
          <w:tcPr>
            <w:tcW w:w="1520"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914"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6,364,760</w:t>
            </w:r>
          </w:p>
        </w:tc>
        <w:tc>
          <w:tcPr>
            <w:tcW w:w="1520"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2914"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终止经营的净利润</w:t>
            </w:r>
          </w:p>
        </w:tc>
        <w:tc>
          <w:tcPr>
            <w:tcW w:w="1582" w:type="dxa"/>
            <w:tcBorders>
              <w:top w:val="single" w:sz="6" w:space="0" w:color="000000"/>
              <w:left w:val="single" w:sz="6" w:space="0" w:color="000000"/>
              <w:bottom w:val="single" w:sz="6" w:space="0" w:color="000000"/>
              <w:right w:val="single" w:sz="6" w:space="0" w:color="000000"/>
            </w:tcBorders>
          </w:tcPr>
          <w:p>
            <w:pPr/>
          </w:p>
        </w:tc>
        <w:tc>
          <w:tcPr>
            <w:tcW w:w="1520"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914" w:type="dxa"/>
            <w:tcBorders>
              <w:top w:val="single" w:sz="6" w:space="0" w:color="000000"/>
              <w:left w:val="single" w:sz="4" w:space="0" w:color="000000"/>
              <w:bottom w:val="single" w:sz="6" w:space="0" w:color="000000"/>
              <w:right w:val="single" w:sz="6"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其他综合收益</w:t>
            </w:r>
          </w:p>
        </w:tc>
        <w:tc>
          <w:tcPr>
            <w:tcW w:w="1582" w:type="dxa"/>
            <w:tcBorders>
              <w:top w:val="single" w:sz="6" w:space="0" w:color="000000"/>
              <w:left w:val="single" w:sz="6" w:space="0" w:color="000000"/>
              <w:bottom w:val="single" w:sz="6" w:space="0" w:color="000000"/>
              <w:right w:val="single" w:sz="6" w:space="0" w:color="000000"/>
            </w:tcBorders>
          </w:tcPr>
          <w:p>
            <w:pPr/>
          </w:p>
        </w:tc>
        <w:tc>
          <w:tcPr>
            <w:tcW w:w="1520"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914"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综合收益总额</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6,364,760</w:t>
            </w:r>
          </w:p>
        </w:tc>
        <w:tc>
          <w:tcPr>
            <w:tcW w:w="1520"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914" w:type="dxa"/>
            <w:tcBorders>
              <w:top w:val="single" w:sz="6" w:space="0" w:color="000000"/>
              <w:left w:val="single" w:sz="4" w:space="0" w:color="000000"/>
              <w:bottom w:val="single" w:sz="6" w:space="0" w:color="000000"/>
              <w:right w:val="single" w:sz="6" w:space="0" w:color="000000"/>
            </w:tcBorders>
          </w:tcPr>
          <w:p>
            <w:pPr/>
          </w:p>
        </w:tc>
        <w:tc>
          <w:tcPr>
            <w:tcW w:w="1582" w:type="dxa"/>
            <w:tcBorders>
              <w:top w:val="single" w:sz="6" w:space="0" w:color="000000"/>
              <w:left w:val="single" w:sz="6" w:space="0" w:color="000000"/>
              <w:bottom w:val="single" w:sz="6" w:space="0" w:color="000000"/>
              <w:right w:val="single" w:sz="6" w:space="0" w:color="000000"/>
            </w:tcBorders>
          </w:tcPr>
          <w:p>
            <w:pPr/>
          </w:p>
        </w:tc>
        <w:tc>
          <w:tcPr>
            <w:tcW w:w="1520"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c>
          <w:tcPr>
            <w:tcW w:w="1517" w:type="dxa"/>
            <w:tcBorders>
              <w:top w:val="single" w:sz="6" w:space="0" w:color="000000"/>
              <w:left w:val="single" w:sz="6" w:space="0" w:color="000000"/>
              <w:bottom w:val="single" w:sz="6" w:space="0" w:color="000000"/>
              <w:right w:val="single" w:sz="6" w:space="0" w:color="000000"/>
            </w:tcBorders>
          </w:tcPr>
          <w:p>
            <w:pPr/>
          </w:p>
        </w:tc>
      </w:tr>
      <w:tr>
        <w:trPr>
          <w:trHeight w:val="557" w:hRule="exact"/>
        </w:trPr>
        <w:tc>
          <w:tcPr>
            <w:tcW w:w="2914" w:type="dxa"/>
            <w:tcBorders>
              <w:top w:val="single" w:sz="6" w:space="0" w:color="000000"/>
              <w:left w:val="single" w:sz="4" w:space="0" w:color="000000"/>
              <w:bottom w:val="single" w:sz="4" w:space="0" w:color="000000"/>
              <w:right w:val="single" w:sz="6"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本年度收到的来自联营企业</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的股利</w:t>
            </w:r>
          </w:p>
        </w:tc>
        <w:tc>
          <w:tcPr>
            <w:tcW w:w="1582" w:type="dxa"/>
            <w:tcBorders>
              <w:top w:val="single" w:sz="6" w:space="0" w:color="000000"/>
              <w:left w:val="single" w:sz="6" w:space="0" w:color="000000"/>
              <w:bottom w:val="single" w:sz="4" w:space="0" w:color="000000"/>
              <w:right w:val="single" w:sz="6" w:space="0" w:color="000000"/>
            </w:tcBorders>
          </w:tcPr>
          <w:p>
            <w:pPr/>
          </w:p>
        </w:tc>
        <w:tc>
          <w:tcPr>
            <w:tcW w:w="1520" w:type="dxa"/>
            <w:tcBorders>
              <w:top w:val="single" w:sz="6" w:space="0" w:color="000000"/>
              <w:left w:val="single" w:sz="6" w:space="0" w:color="000000"/>
              <w:bottom w:val="single" w:sz="4" w:space="0" w:color="000000"/>
              <w:right w:val="single" w:sz="6" w:space="0" w:color="000000"/>
            </w:tcBorders>
          </w:tcPr>
          <w:p>
            <w:pPr/>
          </w:p>
        </w:tc>
        <w:tc>
          <w:tcPr>
            <w:tcW w:w="1517" w:type="dxa"/>
            <w:tcBorders>
              <w:top w:val="single" w:sz="6" w:space="0" w:color="000000"/>
              <w:left w:val="single" w:sz="6" w:space="0" w:color="000000"/>
              <w:bottom w:val="single" w:sz="4" w:space="0" w:color="000000"/>
              <w:right w:val="single" w:sz="6" w:space="0" w:color="000000"/>
            </w:tcBorders>
          </w:tcPr>
          <w:p>
            <w:pPr/>
          </w:p>
        </w:tc>
        <w:tc>
          <w:tcPr>
            <w:tcW w:w="1517" w:type="dxa"/>
            <w:tcBorders>
              <w:top w:val="single" w:sz="6" w:space="0" w:color="000000"/>
              <w:left w:val="single" w:sz="6" w:space="0" w:color="000000"/>
              <w:bottom w:val="single" w:sz="4" w:space="0" w:color="000000"/>
              <w:right w:val="single" w:sz="6" w:space="0" w:color="000000"/>
            </w:tcBorders>
          </w:tcPr>
          <w:p>
            <w:pPr/>
          </w:p>
        </w:tc>
      </w:tr>
    </w:tbl>
    <w:p>
      <w:pPr>
        <w:spacing w:line="240" w:lineRule="auto" w:before="5"/>
        <w:rPr>
          <w:rFonts w:ascii="宋体" w:hAnsi="宋体" w:cs="宋体" w:eastAsia="宋体" w:hint="default"/>
          <w:sz w:val="15"/>
          <w:szCs w:val="15"/>
        </w:rPr>
      </w:pPr>
    </w:p>
    <w:p>
      <w:pPr>
        <w:pStyle w:val="BodyText"/>
        <w:spacing w:line="240" w:lineRule="auto" w:before="36"/>
        <w:ind w:right="99"/>
        <w:jc w:val="left"/>
      </w:pPr>
      <w:r>
        <w:rPr/>
        <w:t>其他说明</w:t>
      </w:r>
      <w:r>
        <w:rPr>
          <w:w w:val="100"/>
        </w:rPr>
        <w:t> </w:t>
      </w:r>
      <w:r>
        <w:rPr/>
        <w:t>本集团的重要联营企业中关村银行，采用权益法核算，该投资对本集团活动具有战略性。</w:t>
      </w:r>
    </w:p>
    <w:p>
      <w:pPr>
        <w:spacing w:line="240" w:lineRule="auto" w:before="10"/>
        <w:rPr>
          <w:rFonts w:ascii="宋体" w:hAnsi="宋体" w:cs="宋体" w:eastAsia="宋体" w:hint="default"/>
          <w:sz w:val="22"/>
          <w:szCs w:val="22"/>
        </w:rPr>
      </w:pPr>
    </w:p>
    <w:p>
      <w:pPr>
        <w:pStyle w:val="BodyText"/>
        <w:spacing w:line="272" w:lineRule="exact"/>
        <w:ind w:right="99"/>
        <w:jc w:val="left"/>
      </w:pPr>
      <w:r>
        <w:rPr>
          <w:spacing w:val="-2"/>
        </w:rPr>
        <w:t>上表列示了中关村银行的财务信息，这些财务信息调整了所有会计政策差异，且调整至本财务报</w:t>
      </w:r>
      <w:r>
        <w:rPr>
          <w:spacing w:val="-26"/>
        </w:rPr>
        <w:t> </w:t>
      </w:r>
      <w:r>
        <w:rPr>
          <w:spacing w:val="-26"/>
        </w:rPr>
      </w:r>
      <w:r>
        <w:rPr/>
        <w:t>表账面金额。</w:t>
      </w:r>
    </w:p>
    <w:p>
      <w:pPr>
        <w:spacing w:line="240" w:lineRule="auto" w:before="7"/>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57" w:footer="1195" w:top="1320" w:bottom="1380" w:left="1580" w:right="1040"/>
        </w:sectPr>
      </w:pPr>
    </w:p>
    <w:p>
      <w:pPr>
        <w:pStyle w:val="Heading3"/>
        <w:tabs>
          <w:tab w:pos="849" w:val="left" w:leader="none"/>
        </w:tabs>
        <w:spacing w:line="240" w:lineRule="auto" w:before="36"/>
        <w:ind w:right="0"/>
        <w:jc w:val="left"/>
        <w:rPr>
          <w:b w:val="0"/>
          <w:bCs w:val="0"/>
        </w:rPr>
      </w:pPr>
      <w:r>
        <w:rPr>
          <w:rFonts w:ascii="宋体" w:hAnsi="宋体" w:cs="宋体" w:eastAsia="宋体" w:hint="default"/>
          <w:w w:val="95"/>
        </w:rPr>
        <w:t>(4).</w:t>
        <w:tab/>
      </w:r>
      <w:r>
        <w:rPr>
          <w:spacing w:val="-1"/>
        </w:rPr>
        <w:t>不重要的合营企业和联营企业的汇总财务信息</w:t>
      </w:r>
      <w:r>
        <w:rPr>
          <w:b w:val="0"/>
          <w:bCs w:val="0"/>
          <w:spacing w:val="-1"/>
        </w:rPr>
      </w:r>
    </w:p>
    <w:p>
      <w:pPr>
        <w:pStyle w:val="BodyText"/>
        <w:tabs>
          <w:tab w:pos="1060" w:val="left" w:leader="none"/>
        </w:tabs>
        <w:spacing w:line="240" w:lineRule="auto" w:before="58"/>
        <w:ind w:right="0"/>
        <w:jc w:val="left"/>
      </w:pPr>
      <w:r>
        <w:rPr>
          <w:spacing w:val="-1"/>
        </w:rPr>
        <w:t>√适用</w:t>
        <w:tab/>
      </w:r>
      <w:r>
        <w:rPr>
          <w:spacing w:val="-2"/>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5069" w:space="1664"/>
            <w:col w:w="2557"/>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905"/>
        <w:gridCol w:w="3070"/>
        <w:gridCol w:w="3075"/>
      </w:tblGrid>
      <w:tr>
        <w:trPr>
          <w:trHeight w:val="281" w:hRule="exact"/>
        </w:trPr>
        <w:tc>
          <w:tcPr>
            <w:tcW w:w="2905" w:type="dxa"/>
            <w:tcBorders>
              <w:top w:val="single" w:sz="4" w:space="0" w:color="000000"/>
              <w:left w:val="single" w:sz="4" w:space="0" w:color="000000"/>
              <w:bottom w:val="single" w:sz="4" w:space="0" w:color="000000"/>
              <w:right w:val="single" w:sz="4" w:space="0" w:color="000000"/>
            </w:tcBorders>
          </w:tcPr>
          <w:p>
            <w:pPr/>
          </w:p>
        </w:tc>
        <w:tc>
          <w:tcPr>
            <w:tcW w:w="3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30"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w:t>
            </w:r>
            <w:r>
              <w:rPr>
                <w:rFonts w:ascii="宋体" w:hAnsi="宋体" w:cs="宋体" w:eastAsia="宋体" w:hint="default"/>
                <w:sz w:val="21"/>
                <w:szCs w:val="21"/>
              </w:rPr>
              <w:t>本期发生额</w:t>
            </w:r>
          </w:p>
        </w:tc>
        <w:tc>
          <w:tcPr>
            <w:tcW w:w="30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35"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w:t>
            </w:r>
            <w:r>
              <w:rPr>
                <w:rFonts w:ascii="宋体" w:hAnsi="宋体" w:cs="宋体" w:eastAsia="宋体" w:hint="default"/>
                <w:sz w:val="21"/>
                <w:szCs w:val="21"/>
              </w:rPr>
              <w:t>上期发生额</w:t>
            </w:r>
          </w:p>
        </w:tc>
      </w:tr>
      <w:tr>
        <w:trPr>
          <w:trHeight w:val="283" w:hRule="exact"/>
        </w:trPr>
        <w:tc>
          <w:tcPr>
            <w:tcW w:w="29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合营企业：</w:t>
            </w:r>
          </w:p>
        </w:tc>
        <w:tc>
          <w:tcPr>
            <w:tcW w:w="3070" w:type="dxa"/>
            <w:tcBorders>
              <w:top w:val="single" w:sz="4" w:space="0" w:color="000000"/>
              <w:left w:val="single" w:sz="4" w:space="0" w:color="000000"/>
              <w:bottom w:val="single" w:sz="4" w:space="0" w:color="000000"/>
              <w:right w:val="single" w:sz="4" w:space="0" w:color="000000"/>
            </w:tcBorders>
          </w:tcPr>
          <w:p>
            <w:pPr/>
          </w:p>
        </w:tc>
        <w:tc>
          <w:tcPr>
            <w:tcW w:w="307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905" w:type="dxa"/>
            <w:tcBorders>
              <w:top w:val="single" w:sz="4" w:space="0" w:color="000000"/>
              <w:left w:val="single" w:sz="4" w:space="0" w:color="000000"/>
              <w:bottom w:val="single" w:sz="4" w:space="0" w:color="000000"/>
              <w:right w:val="single" w:sz="4" w:space="0" w:color="000000"/>
            </w:tcBorders>
          </w:tcPr>
          <w:p>
            <w:pPr/>
          </w:p>
        </w:tc>
        <w:tc>
          <w:tcPr>
            <w:tcW w:w="3070" w:type="dxa"/>
            <w:tcBorders>
              <w:top w:val="single" w:sz="4" w:space="0" w:color="000000"/>
              <w:left w:val="single" w:sz="4" w:space="0" w:color="000000"/>
              <w:bottom w:val="single" w:sz="4" w:space="0" w:color="000000"/>
              <w:right w:val="single" w:sz="4" w:space="0" w:color="000000"/>
            </w:tcBorders>
          </w:tcPr>
          <w:p>
            <w:pPr/>
          </w:p>
        </w:tc>
        <w:tc>
          <w:tcPr>
            <w:tcW w:w="3075"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9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投资账面价值合计</w:t>
            </w:r>
          </w:p>
        </w:tc>
        <w:tc>
          <w:tcPr>
            <w:tcW w:w="3070" w:type="dxa"/>
            <w:tcBorders>
              <w:top w:val="single" w:sz="4" w:space="0" w:color="000000"/>
              <w:left w:val="single" w:sz="4" w:space="0" w:color="000000"/>
              <w:bottom w:val="single" w:sz="4" w:space="0" w:color="000000"/>
              <w:right w:val="single" w:sz="4" w:space="0" w:color="000000"/>
            </w:tcBorders>
          </w:tcPr>
          <w:p>
            <w:pPr/>
          </w:p>
        </w:tc>
        <w:tc>
          <w:tcPr>
            <w:tcW w:w="3075"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9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下列各项按持股比例计算的</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合计数</w:t>
            </w:r>
          </w:p>
        </w:tc>
        <w:tc>
          <w:tcPr>
            <w:tcW w:w="3070" w:type="dxa"/>
            <w:tcBorders>
              <w:top w:val="single" w:sz="4" w:space="0" w:color="000000"/>
              <w:left w:val="single" w:sz="4" w:space="0" w:color="000000"/>
              <w:bottom w:val="single" w:sz="4" w:space="0" w:color="000000"/>
              <w:right w:val="single" w:sz="4" w:space="0" w:color="000000"/>
            </w:tcBorders>
          </w:tcPr>
          <w:p>
            <w:pPr/>
          </w:p>
        </w:tc>
        <w:tc>
          <w:tcPr>
            <w:tcW w:w="307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9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净利润</w:t>
            </w:r>
          </w:p>
        </w:tc>
        <w:tc>
          <w:tcPr>
            <w:tcW w:w="3070" w:type="dxa"/>
            <w:tcBorders>
              <w:top w:val="single" w:sz="4" w:space="0" w:color="000000"/>
              <w:left w:val="single" w:sz="4" w:space="0" w:color="000000"/>
              <w:bottom w:val="single" w:sz="4" w:space="0" w:color="000000"/>
              <w:right w:val="single" w:sz="4" w:space="0" w:color="000000"/>
            </w:tcBorders>
          </w:tcPr>
          <w:p>
            <w:pPr/>
          </w:p>
        </w:tc>
        <w:tc>
          <w:tcPr>
            <w:tcW w:w="307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9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其他综合收益</w:t>
            </w:r>
          </w:p>
        </w:tc>
        <w:tc>
          <w:tcPr>
            <w:tcW w:w="3070" w:type="dxa"/>
            <w:tcBorders>
              <w:top w:val="single" w:sz="4" w:space="0" w:color="000000"/>
              <w:left w:val="single" w:sz="4" w:space="0" w:color="000000"/>
              <w:bottom w:val="single" w:sz="4" w:space="0" w:color="000000"/>
              <w:right w:val="single" w:sz="4" w:space="0" w:color="000000"/>
            </w:tcBorders>
          </w:tcPr>
          <w:p>
            <w:pPr/>
          </w:p>
        </w:tc>
        <w:tc>
          <w:tcPr>
            <w:tcW w:w="3075"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9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综合收益总额</w:t>
            </w:r>
          </w:p>
        </w:tc>
        <w:tc>
          <w:tcPr>
            <w:tcW w:w="3070" w:type="dxa"/>
            <w:tcBorders>
              <w:top w:val="single" w:sz="4" w:space="0" w:color="000000"/>
              <w:left w:val="single" w:sz="4" w:space="0" w:color="000000"/>
              <w:bottom w:val="single" w:sz="4" w:space="0" w:color="000000"/>
              <w:right w:val="single" w:sz="4" w:space="0" w:color="000000"/>
            </w:tcBorders>
          </w:tcPr>
          <w:p>
            <w:pPr/>
          </w:p>
        </w:tc>
        <w:tc>
          <w:tcPr>
            <w:tcW w:w="307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905" w:type="dxa"/>
            <w:tcBorders>
              <w:top w:val="single" w:sz="4" w:space="0" w:color="000000"/>
              <w:left w:val="single" w:sz="4" w:space="0" w:color="000000"/>
              <w:bottom w:val="single" w:sz="4" w:space="0" w:color="000000"/>
              <w:right w:val="single" w:sz="4" w:space="0" w:color="000000"/>
            </w:tcBorders>
          </w:tcPr>
          <w:p>
            <w:pPr/>
          </w:p>
        </w:tc>
        <w:tc>
          <w:tcPr>
            <w:tcW w:w="3070" w:type="dxa"/>
            <w:tcBorders>
              <w:top w:val="single" w:sz="4" w:space="0" w:color="000000"/>
              <w:left w:val="single" w:sz="4" w:space="0" w:color="000000"/>
              <w:bottom w:val="single" w:sz="4" w:space="0" w:color="000000"/>
              <w:right w:val="single" w:sz="4" w:space="0" w:color="000000"/>
            </w:tcBorders>
          </w:tcPr>
          <w:p>
            <w:pPr/>
          </w:p>
        </w:tc>
        <w:tc>
          <w:tcPr>
            <w:tcW w:w="307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9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联营企业：</w:t>
            </w:r>
          </w:p>
        </w:tc>
        <w:tc>
          <w:tcPr>
            <w:tcW w:w="3070" w:type="dxa"/>
            <w:tcBorders>
              <w:top w:val="single" w:sz="4" w:space="0" w:color="000000"/>
              <w:left w:val="single" w:sz="4" w:space="0" w:color="000000"/>
              <w:bottom w:val="single" w:sz="4" w:space="0" w:color="000000"/>
              <w:right w:val="single" w:sz="4" w:space="0" w:color="000000"/>
            </w:tcBorders>
          </w:tcPr>
          <w:p>
            <w:pPr/>
          </w:p>
        </w:tc>
        <w:tc>
          <w:tcPr>
            <w:tcW w:w="3075"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905" w:type="dxa"/>
            <w:tcBorders>
              <w:top w:val="single" w:sz="4" w:space="0" w:color="000000"/>
              <w:left w:val="single" w:sz="4" w:space="0" w:color="000000"/>
              <w:bottom w:val="single" w:sz="4" w:space="0" w:color="000000"/>
              <w:right w:val="single" w:sz="4" w:space="0" w:color="000000"/>
            </w:tcBorders>
          </w:tcPr>
          <w:p>
            <w:pPr/>
          </w:p>
        </w:tc>
        <w:tc>
          <w:tcPr>
            <w:tcW w:w="3070" w:type="dxa"/>
            <w:tcBorders>
              <w:top w:val="single" w:sz="4" w:space="0" w:color="000000"/>
              <w:left w:val="single" w:sz="4" w:space="0" w:color="000000"/>
              <w:bottom w:val="single" w:sz="4" w:space="0" w:color="000000"/>
              <w:right w:val="single" w:sz="4" w:space="0" w:color="000000"/>
            </w:tcBorders>
          </w:tcPr>
          <w:p>
            <w:pPr/>
          </w:p>
        </w:tc>
        <w:tc>
          <w:tcPr>
            <w:tcW w:w="3075"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2905"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投资账面价值合计</w:t>
            </w:r>
          </w:p>
        </w:tc>
        <w:tc>
          <w:tcPr>
            <w:tcW w:w="3070"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802" w:right="0"/>
              <w:jc w:val="left"/>
              <w:rPr>
                <w:rFonts w:ascii="宋体" w:hAnsi="宋体" w:cs="宋体" w:eastAsia="宋体" w:hint="default"/>
                <w:sz w:val="21"/>
                <w:szCs w:val="21"/>
              </w:rPr>
            </w:pPr>
            <w:r>
              <w:rPr>
                <w:rFonts w:ascii="宋体"/>
                <w:sz w:val="21"/>
              </w:rPr>
              <w:t>448,414,686</w:t>
            </w:r>
          </w:p>
        </w:tc>
        <w:tc>
          <w:tcPr>
            <w:tcW w:w="3075"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807" w:right="0"/>
              <w:jc w:val="left"/>
              <w:rPr>
                <w:rFonts w:ascii="宋体" w:hAnsi="宋体" w:cs="宋体" w:eastAsia="宋体" w:hint="default"/>
                <w:sz w:val="21"/>
                <w:szCs w:val="21"/>
              </w:rPr>
            </w:pPr>
            <w:r>
              <w:rPr>
                <w:rFonts w:ascii="宋体"/>
                <w:sz w:val="21"/>
              </w:rPr>
              <w:t>200,331,888</w:t>
            </w:r>
          </w:p>
        </w:tc>
      </w:tr>
      <w:tr>
        <w:trPr>
          <w:trHeight w:val="283" w:hRule="exact"/>
        </w:trPr>
        <w:tc>
          <w:tcPr>
            <w:tcW w:w="29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下列各项按持股比例计算的</w:t>
            </w:r>
          </w:p>
        </w:tc>
        <w:tc>
          <w:tcPr>
            <w:tcW w:w="3070" w:type="dxa"/>
            <w:tcBorders>
              <w:top w:val="single" w:sz="4" w:space="0" w:color="000000"/>
              <w:left w:val="single" w:sz="4" w:space="0" w:color="000000"/>
              <w:bottom w:val="single" w:sz="4" w:space="0" w:color="000000"/>
              <w:right w:val="single" w:sz="4" w:space="0" w:color="000000"/>
            </w:tcBorders>
          </w:tcPr>
          <w:p>
            <w:pPr/>
          </w:p>
        </w:tc>
        <w:tc>
          <w:tcPr>
            <w:tcW w:w="3075"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320" w:bottom="1380" w:left="1580" w:right="1040"/>
        </w:sectPr>
      </w:pPr>
    </w:p>
    <w:p>
      <w:pPr>
        <w:spacing w:line="240" w:lineRule="auto" w:before="6"/>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2905"/>
        <w:gridCol w:w="3070"/>
        <w:gridCol w:w="3075"/>
      </w:tblGrid>
      <w:tr>
        <w:trPr>
          <w:trHeight w:val="284" w:hRule="exact"/>
        </w:trPr>
        <w:tc>
          <w:tcPr>
            <w:tcW w:w="2905"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合计数</w:t>
            </w:r>
          </w:p>
        </w:tc>
        <w:tc>
          <w:tcPr>
            <w:tcW w:w="3070" w:type="dxa"/>
            <w:tcBorders>
              <w:top w:val="single" w:sz="4" w:space="0" w:color="000000"/>
              <w:left w:val="single" w:sz="4" w:space="0" w:color="000000"/>
              <w:bottom w:val="single" w:sz="4" w:space="0" w:color="000000"/>
              <w:right w:val="single" w:sz="4" w:space="0" w:color="000000"/>
            </w:tcBorders>
          </w:tcPr>
          <w:p>
            <w:pPr/>
          </w:p>
        </w:tc>
        <w:tc>
          <w:tcPr>
            <w:tcW w:w="307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9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净利润</w:t>
            </w:r>
          </w:p>
        </w:tc>
        <w:tc>
          <w:tcPr>
            <w:tcW w:w="3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-15,747,698</w:t>
            </w:r>
          </w:p>
        </w:tc>
        <w:tc>
          <w:tcPr>
            <w:tcW w:w="30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4,827,064</w:t>
            </w:r>
          </w:p>
        </w:tc>
      </w:tr>
      <w:tr>
        <w:trPr>
          <w:trHeight w:val="281" w:hRule="exact"/>
        </w:trPr>
        <w:tc>
          <w:tcPr>
            <w:tcW w:w="29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其他综合收益</w:t>
            </w:r>
          </w:p>
        </w:tc>
        <w:tc>
          <w:tcPr>
            <w:tcW w:w="3070" w:type="dxa"/>
            <w:tcBorders>
              <w:top w:val="single" w:sz="4" w:space="0" w:color="000000"/>
              <w:left w:val="single" w:sz="4" w:space="0" w:color="000000"/>
              <w:bottom w:val="single" w:sz="4" w:space="0" w:color="000000"/>
              <w:right w:val="single" w:sz="4" w:space="0" w:color="000000"/>
            </w:tcBorders>
          </w:tcPr>
          <w:p>
            <w:pPr/>
          </w:p>
        </w:tc>
        <w:tc>
          <w:tcPr>
            <w:tcW w:w="307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9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综合收益总额</w:t>
            </w:r>
          </w:p>
        </w:tc>
        <w:tc>
          <w:tcPr>
            <w:tcW w:w="30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-15,747,698</w:t>
            </w:r>
          </w:p>
        </w:tc>
        <w:tc>
          <w:tcPr>
            <w:tcW w:w="307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4,827,064</w:t>
            </w:r>
          </w:p>
        </w:tc>
      </w:tr>
    </w:tbl>
    <w:p>
      <w:pPr>
        <w:pStyle w:val="BodyText"/>
        <w:spacing w:line="240" w:lineRule="exact"/>
        <w:ind w:right="0"/>
        <w:jc w:val="both"/>
      </w:pPr>
      <w:r>
        <w:rPr/>
        <w:t>其他说明</w:t>
      </w:r>
    </w:p>
    <w:p>
      <w:pPr>
        <w:pStyle w:val="BodyText"/>
        <w:spacing w:line="237" w:lineRule="auto" w:before="2"/>
        <w:ind w:right="230"/>
        <w:jc w:val="both"/>
      </w:pPr>
      <w:r>
        <w:rPr>
          <w:spacing w:val="-2"/>
        </w:rPr>
        <w:t>本集团对民太安公估、中企永联、上海长伴、随锐科技、易云股份、执行力网络、众享比特、热</w:t>
      </w:r>
      <w:r>
        <w:rPr>
          <w:spacing w:val="-25"/>
        </w:rPr>
        <w:t> </w:t>
      </w:r>
      <w:r>
        <w:rPr>
          <w:spacing w:val="-25"/>
        </w:rPr>
      </w:r>
      <w:r>
        <w:rPr>
          <w:spacing w:val="-2"/>
        </w:rPr>
        <w:t>茶电子、中驰车福、传奇极客、深圳华傲、爱肌肤、慧友云商、易特创思、必胜课教育、智启蓝</w:t>
      </w:r>
      <w:r>
        <w:rPr>
          <w:spacing w:val="-25"/>
        </w:rPr>
        <w:t> </w:t>
      </w:r>
      <w:r>
        <w:rPr>
          <w:spacing w:val="-25"/>
        </w:rPr>
      </w:r>
      <w:r>
        <w:rPr/>
        <w:t>墨</w:t>
      </w:r>
      <w:r>
        <w:rPr>
          <w:spacing w:val="-43"/>
        </w:rPr>
        <w:t> </w:t>
      </w:r>
      <w:r>
        <w:rPr>
          <w:rFonts w:ascii="宋体" w:hAnsi="宋体" w:cs="宋体" w:eastAsia="宋体" w:hint="default"/>
        </w:rPr>
        <w:t>16</w:t>
      </w:r>
      <w:r>
        <w:rPr>
          <w:rFonts w:ascii="宋体" w:hAnsi="宋体" w:cs="宋体" w:eastAsia="宋体" w:hint="default"/>
          <w:spacing w:val="-46"/>
        </w:rPr>
        <w:t> </w:t>
      </w:r>
      <w:r>
        <w:rPr/>
        <w:t>家企业持有表决权比例均低于</w:t>
      </w:r>
      <w:r>
        <w:rPr>
          <w:spacing w:val="-43"/>
        </w:rPr>
        <w:t> </w:t>
      </w:r>
      <w:r>
        <w:rPr>
          <w:rFonts w:ascii="宋体" w:hAnsi="宋体" w:cs="宋体" w:eastAsia="宋体" w:hint="default"/>
          <w:spacing w:val="-3"/>
        </w:rPr>
        <w:t>20%</w:t>
      </w:r>
      <w:r>
        <w:rPr>
          <w:spacing w:val="-3"/>
        </w:rPr>
        <w:t>，但在上述企业中均拥有董事会席位，能够对其生产经营</w:t>
      </w:r>
      <w:r>
        <w:rPr>
          <w:spacing w:val="-101"/>
        </w:rPr>
        <w:t> </w:t>
      </w:r>
      <w:r>
        <w:rPr>
          <w:spacing w:val="-101"/>
        </w:rPr>
      </w:r>
      <w:r>
        <w:rPr/>
        <w:t>活动产生重大影响。</w:t>
      </w:r>
    </w:p>
    <w:p>
      <w:pPr>
        <w:spacing w:line="240" w:lineRule="auto" w:before="3"/>
        <w:rPr>
          <w:rFonts w:ascii="宋体" w:hAnsi="宋体" w:cs="宋体" w:eastAsia="宋体" w:hint="default"/>
          <w:sz w:val="25"/>
          <w:szCs w:val="25"/>
        </w:rPr>
      </w:pPr>
    </w:p>
    <w:p>
      <w:pPr>
        <w:pStyle w:val="Heading3"/>
        <w:spacing w:line="240" w:lineRule="auto"/>
        <w:ind w:right="0"/>
        <w:jc w:val="both"/>
        <w:rPr>
          <w:b w:val="0"/>
          <w:bCs w:val="0"/>
        </w:rPr>
      </w:pPr>
      <w:r>
        <w:rPr>
          <w:rFonts w:ascii="宋体" w:hAnsi="宋体" w:cs="宋体" w:eastAsia="宋体" w:hint="default"/>
        </w:rPr>
        <w:t>(5).</w:t>
      </w:r>
      <w:r>
        <w:rPr>
          <w:rFonts w:ascii="宋体" w:hAnsi="宋体" w:cs="宋体" w:eastAsia="宋体" w:hint="default"/>
          <w:spacing w:val="101"/>
        </w:rPr>
        <w:t> </w:t>
      </w:r>
      <w:r>
        <w:rPr/>
        <w:t>合营企业或联营企业向本公司转移资金的能力存在重大限制的说明：</w:t>
      </w:r>
      <w:r>
        <w:rPr>
          <w:b w:val="0"/>
          <w:bCs w:val="0"/>
        </w:rPr>
      </w:r>
    </w:p>
    <w:p>
      <w:pPr>
        <w:pStyle w:val="BodyText"/>
        <w:spacing w:line="240" w:lineRule="auto" w:before="57"/>
        <w:ind w:right="0"/>
        <w:jc w:val="both"/>
      </w:pPr>
      <w:r>
        <w:rPr/>
        <w:t>□适用</w:t>
      </w:r>
      <w:r>
        <w:rPr>
          <w:spacing w:val="104"/>
        </w:rPr>
        <w:t> </w:t>
      </w:r>
      <w:r>
        <w:rPr/>
        <w:t>√不适用</w:t>
      </w:r>
    </w:p>
    <w:p>
      <w:pPr>
        <w:spacing w:line="240" w:lineRule="auto" w:before="3"/>
        <w:rPr>
          <w:rFonts w:ascii="宋体" w:hAnsi="宋体" w:cs="宋体" w:eastAsia="宋体" w:hint="default"/>
          <w:sz w:val="25"/>
          <w:szCs w:val="25"/>
        </w:rPr>
      </w:pPr>
    </w:p>
    <w:p>
      <w:pPr>
        <w:pStyle w:val="Heading3"/>
        <w:spacing w:line="240" w:lineRule="auto"/>
        <w:ind w:right="0"/>
        <w:jc w:val="both"/>
        <w:rPr>
          <w:b w:val="0"/>
          <w:bCs w:val="0"/>
        </w:rPr>
      </w:pPr>
      <w:r>
        <w:rPr>
          <w:rFonts w:ascii="宋体" w:hAnsi="宋体" w:cs="宋体" w:eastAsia="宋体" w:hint="default"/>
        </w:rPr>
        <w:t>(6).</w:t>
      </w:r>
      <w:r>
        <w:rPr>
          <w:rFonts w:ascii="宋体" w:hAnsi="宋体" w:cs="宋体" w:eastAsia="宋体" w:hint="default"/>
          <w:spacing w:val="102"/>
        </w:rPr>
        <w:t> </w:t>
      </w:r>
      <w:r>
        <w:rPr/>
        <w:t>合营企业或联营企业发生的超额亏损</w:t>
      </w:r>
      <w:r>
        <w:rPr>
          <w:b w:val="0"/>
          <w:bCs w:val="0"/>
        </w:rPr>
      </w:r>
    </w:p>
    <w:p>
      <w:pPr>
        <w:pStyle w:val="BodyText"/>
        <w:spacing w:line="240" w:lineRule="auto" w:before="58"/>
        <w:ind w:right="0"/>
        <w:jc w:val="both"/>
      </w:pPr>
      <w:r>
        <w:rPr/>
        <w:t>□适用</w:t>
      </w:r>
      <w:r>
        <w:rPr>
          <w:spacing w:val="104"/>
        </w:rPr>
        <w:t> </w:t>
      </w:r>
      <w:r>
        <w:rPr/>
        <w:t>√不适用</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5"/>
          <w:szCs w:val="25"/>
        </w:rPr>
      </w:pPr>
    </w:p>
    <w:p>
      <w:pPr>
        <w:pStyle w:val="Heading3"/>
        <w:spacing w:line="240" w:lineRule="auto"/>
        <w:ind w:right="0"/>
        <w:jc w:val="both"/>
        <w:rPr>
          <w:b w:val="0"/>
          <w:bCs w:val="0"/>
        </w:rPr>
      </w:pPr>
      <w:r>
        <w:rPr>
          <w:rFonts w:ascii="宋体" w:hAnsi="宋体" w:cs="宋体" w:eastAsia="宋体" w:hint="default"/>
        </w:rPr>
        <w:t>(7).</w:t>
      </w:r>
      <w:r>
        <w:rPr>
          <w:rFonts w:ascii="宋体" w:hAnsi="宋体" w:cs="宋体" w:eastAsia="宋体" w:hint="default"/>
          <w:spacing w:val="101"/>
        </w:rPr>
        <w:t> </w:t>
      </w:r>
      <w:r>
        <w:rPr/>
        <w:t>与合营企业投资相关的未确认承诺</w:t>
      </w:r>
      <w:r>
        <w:rPr>
          <w:b w:val="0"/>
          <w:bCs w:val="0"/>
        </w:rPr>
      </w:r>
    </w:p>
    <w:p>
      <w:pPr>
        <w:pStyle w:val="BodyText"/>
        <w:spacing w:line="240" w:lineRule="auto" w:before="58"/>
        <w:ind w:right="0"/>
        <w:jc w:val="both"/>
      </w:pPr>
      <w:r>
        <w:rPr/>
        <w:t>□适用</w:t>
      </w:r>
      <w:r>
        <w:rPr>
          <w:spacing w:val="104"/>
        </w:rPr>
        <w:t> </w:t>
      </w:r>
      <w:r>
        <w:rPr/>
        <w:t>√不适用</w:t>
      </w:r>
    </w:p>
    <w:p>
      <w:pPr>
        <w:spacing w:line="240" w:lineRule="auto" w:before="3"/>
        <w:rPr>
          <w:rFonts w:ascii="宋体" w:hAnsi="宋体" w:cs="宋体" w:eastAsia="宋体" w:hint="default"/>
          <w:sz w:val="25"/>
          <w:szCs w:val="25"/>
        </w:rPr>
      </w:pPr>
    </w:p>
    <w:p>
      <w:pPr>
        <w:pStyle w:val="Heading3"/>
        <w:spacing w:line="240" w:lineRule="auto"/>
        <w:ind w:right="0"/>
        <w:jc w:val="both"/>
        <w:rPr>
          <w:b w:val="0"/>
          <w:bCs w:val="0"/>
        </w:rPr>
      </w:pPr>
      <w:r>
        <w:rPr>
          <w:rFonts w:ascii="宋体" w:hAnsi="宋体" w:cs="宋体" w:eastAsia="宋体" w:hint="default"/>
        </w:rPr>
        <w:t>(8).</w:t>
      </w:r>
      <w:r>
        <w:rPr>
          <w:rFonts w:ascii="宋体" w:hAnsi="宋体" w:cs="宋体" w:eastAsia="宋体" w:hint="default"/>
          <w:spacing w:val="103"/>
        </w:rPr>
        <w:t> </w:t>
      </w:r>
      <w:r>
        <w:rPr/>
        <w:t>与合营企业或联营企业投资相关的或有负债</w:t>
      </w:r>
      <w:r>
        <w:rPr>
          <w:b w:val="0"/>
          <w:bCs w:val="0"/>
        </w:rPr>
      </w:r>
    </w:p>
    <w:p>
      <w:pPr>
        <w:pStyle w:val="BodyText"/>
        <w:spacing w:line="240" w:lineRule="auto" w:before="56"/>
        <w:ind w:right="0"/>
        <w:jc w:val="both"/>
      </w:pPr>
      <w:r>
        <w:rPr/>
        <w:t>□适用</w:t>
      </w:r>
      <w:r>
        <w:rPr>
          <w:spacing w:val="104"/>
        </w:rPr>
        <w:t> </w:t>
      </w:r>
      <w:r>
        <w:rPr/>
        <w:t>√不适用</w:t>
      </w:r>
    </w:p>
    <w:p>
      <w:pPr>
        <w:spacing w:line="240" w:lineRule="auto" w:before="3"/>
        <w:rPr>
          <w:rFonts w:ascii="宋体" w:hAnsi="宋体" w:cs="宋体" w:eastAsia="宋体" w:hint="default"/>
          <w:sz w:val="25"/>
          <w:szCs w:val="25"/>
        </w:rPr>
      </w:pPr>
    </w:p>
    <w:p>
      <w:pPr>
        <w:pStyle w:val="Heading3"/>
        <w:spacing w:line="240" w:lineRule="auto"/>
        <w:ind w:right="0"/>
        <w:jc w:val="both"/>
        <w:rPr>
          <w:b w:val="0"/>
          <w:bCs w:val="0"/>
        </w:rPr>
      </w:pPr>
      <w:r>
        <w:rPr>
          <w:rFonts w:ascii="宋体" w:hAnsi="宋体" w:cs="宋体" w:eastAsia="宋体" w:hint="default"/>
        </w:rPr>
        <w:t>4</w:t>
      </w:r>
      <w:r>
        <w:rPr/>
        <w:t>、</w:t>
      </w:r>
      <w:r>
        <w:rPr>
          <w:spacing w:val="-1"/>
        </w:rPr>
        <w:t> </w:t>
      </w:r>
      <w:r>
        <w:rPr/>
        <w:t>重要的共同经营</w:t>
      </w:r>
      <w:r>
        <w:rPr>
          <w:b w:val="0"/>
          <w:bCs w:val="0"/>
        </w:rPr>
      </w:r>
    </w:p>
    <w:p>
      <w:pPr>
        <w:pStyle w:val="BodyText"/>
        <w:spacing w:line="240" w:lineRule="auto" w:before="58"/>
        <w:ind w:right="0"/>
        <w:jc w:val="both"/>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5"/>
          <w:szCs w:val="25"/>
        </w:rPr>
      </w:pPr>
    </w:p>
    <w:p>
      <w:pPr>
        <w:spacing w:line="290" w:lineRule="auto" w:before="0"/>
        <w:ind w:left="218" w:right="3991" w:firstLine="0"/>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w:t>
      </w:r>
      <w:r>
        <w:rPr>
          <w:rFonts w:ascii="宋体" w:hAnsi="宋体" w:cs="宋体" w:eastAsia="宋体" w:hint="default"/>
          <w:b/>
          <w:bCs/>
          <w:spacing w:val="-4"/>
          <w:sz w:val="21"/>
          <w:szCs w:val="21"/>
        </w:rPr>
        <w:t> </w:t>
      </w:r>
      <w:r>
        <w:rPr>
          <w:rFonts w:ascii="宋体" w:hAnsi="宋体" w:cs="宋体" w:eastAsia="宋体" w:hint="default"/>
          <w:b/>
          <w:bCs/>
          <w:sz w:val="21"/>
          <w:szCs w:val="21"/>
        </w:rPr>
        <w:t>在未纳入合并财务报表范围的结构化主体中的权益</w:t>
      </w:r>
      <w:r>
        <w:rPr>
          <w:rFonts w:ascii="宋体" w:hAnsi="宋体" w:cs="宋体" w:eastAsia="宋体" w:hint="default"/>
          <w:b/>
          <w:bCs/>
          <w:w w:val="100"/>
          <w:sz w:val="21"/>
          <w:szCs w:val="21"/>
        </w:rPr>
        <w:t> </w:t>
      </w:r>
      <w:r>
        <w:rPr>
          <w:rFonts w:ascii="宋体" w:hAnsi="宋体" w:cs="宋体" w:eastAsia="宋体" w:hint="default"/>
          <w:sz w:val="21"/>
          <w:szCs w:val="21"/>
        </w:rPr>
        <w:t>未纳入合并财务报表范围的结构化主体的相关说明：</w:t>
      </w:r>
    </w:p>
    <w:p>
      <w:pPr>
        <w:pStyle w:val="BodyText"/>
        <w:spacing w:line="227" w:lineRule="exact"/>
        <w:ind w:right="0"/>
        <w:jc w:val="both"/>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right="0"/>
        <w:jc w:val="both"/>
        <w:rPr>
          <w:b w:val="0"/>
          <w:bCs w:val="0"/>
        </w:rPr>
      </w:pPr>
      <w:r>
        <w:rPr>
          <w:rFonts w:ascii="宋体" w:hAnsi="宋体" w:cs="宋体" w:eastAsia="宋体" w:hint="default"/>
        </w:rPr>
        <w:t>6</w:t>
      </w:r>
      <w:r>
        <w:rPr/>
        <w:t>、</w:t>
      </w:r>
      <w:r>
        <w:rPr>
          <w:spacing w:val="-3"/>
        </w:rPr>
        <w:t> </w:t>
      </w:r>
      <w:r>
        <w:rPr/>
        <w:t>其他</w:t>
      </w:r>
      <w:r>
        <w:rPr>
          <w:b w:val="0"/>
          <w:bCs w:val="0"/>
        </w:rPr>
      </w:r>
    </w:p>
    <w:p>
      <w:pPr>
        <w:pStyle w:val="BodyText"/>
        <w:spacing w:line="240" w:lineRule="auto" w:before="58"/>
        <w:ind w:right="0"/>
        <w:jc w:val="both"/>
      </w:pPr>
      <w:r>
        <w:rPr/>
        <w:t>□适用</w:t>
      </w:r>
      <w:r>
        <w:rPr>
          <w:spacing w:val="104"/>
        </w:rPr>
        <w:t> </w:t>
      </w:r>
      <w:r>
        <w:rPr/>
        <w:t>√不适用</w:t>
      </w:r>
    </w:p>
    <w:p>
      <w:pPr>
        <w:spacing w:line="240" w:lineRule="auto" w:before="1"/>
        <w:rPr>
          <w:rFonts w:ascii="宋体" w:hAnsi="宋体" w:cs="宋体" w:eastAsia="宋体" w:hint="default"/>
          <w:sz w:val="25"/>
          <w:szCs w:val="25"/>
        </w:rPr>
      </w:pPr>
    </w:p>
    <w:p>
      <w:pPr>
        <w:pStyle w:val="Heading3"/>
        <w:spacing w:line="240" w:lineRule="auto"/>
        <w:ind w:right="0"/>
        <w:jc w:val="both"/>
        <w:rPr>
          <w:b w:val="0"/>
          <w:bCs w:val="0"/>
        </w:rPr>
      </w:pPr>
      <w:r>
        <w:rPr/>
        <w:t>十、与金融工具相关的风险</w:t>
      </w:r>
      <w:r>
        <w:rPr>
          <w:b w:val="0"/>
          <w:bCs w:val="0"/>
        </w:rPr>
      </w:r>
    </w:p>
    <w:p>
      <w:pPr>
        <w:pStyle w:val="BodyText"/>
        <w:spacing w:line="253" w:lineRule="exact" w:before="58"/>
        <w:ind w:right="0"/>
        <w:jc w:val="both"/>
      </w:pPr>
      <w:r>
        <w:rPr/>
        <w:t>√适用</w:t>
      </w:r>
      <w:r>
        <w:rPr>
          <w:spacing w:val="-1"/>
        </w:rPr>
        <w:t> </w:t>
      </w:r>
      <w:r>
        <w:rPr/>
        <w:t>□不适用</w:t>
      </w:r>
    </w:p>
    <w:p>
      <w:pPr>
        <w:pStyle w:val="BodyText"/>
        <w:spacing w:line="253" w:lineRule="exact"/>
        <w:ind w:left="861" w:right="99"/>
        <w:jc w:val="left"/>
      </w:pPr>
      <w:r>
        <w:rPr/>
        <w:t>资产负债表日的各类金融工具的账面价值如下：</w:t>
      </w:r>
    </w:p>
    <w:p>
      <w:pPr>
        <w:spacing w:line="240" w:lineRule="auto" w:before="13"/>
        <w:rPr>
          <w:rFonts w:ascii="宋体" w:hAnsi="宋体" w:cs="宋体" w:eastAsia="宋体" w:hint="default"/>
          <w:sz w:val="16"/>
          <w:szCs w:val="16"/>
        </w:rPr>
      </w:pPr>
    </w:p>
    <w:p>
      <w:pPr>
        <w:pStyle w:val="BodyText"/>
        <w:spacing w:line="422" w:lineRule="auto"/>
        <w:ind w:left="930" w:right="7537" w:hanging="41"/>
        <w:jc w:val="left"/>
      </w:pPr>
      <w:r>
        <w:rPr/>
        <w:t>金融资产</w:t>
      </w:r>
      <w:r>
        <w:rPr>
          <w:w w:val="100"/>
        </w:rPr>
        <w:t> </w:t>
      </w:r>
      <w:r>
        <w:rPr>
          <w:rFonts w:ascii="宋体" w:hAnsi="宋体" w:cs="宋体" w:eastAsia="宋体" w:hint="default"/>
        </w:rPr>
        <w:t>2017</w:t>
      </w:r>
      <w:r>
        <w:rPr/>
        <w:t>年</w:t>
      </w:r>
    </w:p>
    <w:p>
      <w:pPr>
        <w:spacing w:line="240" w:lineRule="auto" w:before="8"/>
        <w:rPr>
          <w:rFonts w:ascii="宋体" w:hAnsi="宋体" w:cs="宋体" w:eastAsia="宋体" w:hint="default"/>
          <w:sz w:val="9"/>
          <w:szCs w:val="9"/>
        </w:rPr>
      </w:pPr>
    </w:p>
    <w:tbl>
      <w:tblPr>
        <w:tblW w:w="0" w:type="auto"/>
        <w:jc w:val="left"/>
        <w:tblInd w:w="646" w:type="dxa"/>
        <w:tblLayout w:type="fixed"/>
        <w:tblCellMar>
          <w:top w:w="0" w:type="dxa"/>
          <w:left w:w="0" w:type="dxa"/>
          <w:bottom w:w="0" w:type="dxa"/>
          <w:right w:w="0" w:type="dxa"/>
        </w:tblCellMar>
        <w:tblLook w:val="01E0"/>
      </w:tblPr>
      <w:tblGrid>
        <w:gridCol w:w="2668"/>
        <w:gridCol w:w="3364"/>
        <w:gridCol w:w="2253"/>
      </w:tblGrid>
      <w:tr>
        <w:trPr>
          <w:trHeight w:val="370" w:hRule="exact"/>
        </w:trPr>
        <w:tc>
          <w:tcPr>
            <w:tcW w:w="2668" w:type="dxa"/>
            <w:tcBorders>
              <w:top w:val="nil" w:sz="6" w:space="0" w:color="auto"/>
              <w:left w:val="nil" w:sz="6" w:space="0" w:color="auto"/>
              <w:bottom w:val="nil" w:sz="6" w:space="0" w:color="auto"/>
              <w:right w:val="nil" w:sz="6" w:space="0" w:color="auto"/>
            </w:tcBorders>
          </w:tcPr>
          <w:p>
            <w:pPr/>
          </w:p>
        </w:tc>
        <w:tc>
          <w:tcPr>
            <w:tcW w:w="3364" w:type="dxa"/>
            <w:tcBorders>
              <w:top w:val="nil" w:sz="6" w:space="0" w:color="auto"/>
              <w:left w:val="nil" w:sz="6" w:space="0" w:color="auto"/>
              <w:bottom w:val="nil" w:sz="6" w:space="0" w:color="auto"/>
              <w:right w:val="nil" w:sz="6" w:space="0" w:color="auto"/>
            </w:tcBorders>
          </w:tcPr>
          <w:p>
            <w:pPr>
              <w:pStyle w:val="TableParagraph"/>
              <w:spacing w:line="211" w:lineRule="exact"/>
              <w:ind w:right="368"/>
              <w:jc w:val="right"/>
              <w:rPr>
                <w:rFonts w:ascii="宋体" w:hAnsi="宋体" w:cs="宋体" w:eastAsia="宋体" w:hint="default"/>
                <w:sz w:val="21"/>
                <w:szCs w:val="21"/>
              </w:rPr>
            </w:pPr>
            <w:r>
              <w:rPr>
                <w:rFonts w:ascii="宋体" w:hAnsi="宋体" w:cs="宋体" w:eastAsia="宋体" w:hint="default"/>
                <w:spacing w:val="-1"/>
                <w:sz w:val="21"/>
                <w:szCs w:val="21"/>
              </w:rPr>
              <w:t>贷款和应收款项</w:t>
            </w:r>
          </w:p>
        </w:tc>
        <w:tc>
          <w:tcPr>
            <w:tcW w:w="2253" w:type="dxa"/>
            <w:tcBorders>
              <w:top w:val="nil" w:sz="6" w:space="0" w:color="auto"/>
              <w:left w:val="nil" w:sz="6" w:space="0" w:color="auto"/>
              <w:bottom w:val="nil" w:sz="6" w:space="0" w:color="auto"/>
              <w:right w:val="nil" w:sz="6" w:space="0" w:color="auto"/>
            </w:tcBorders>
          </w:tcPr>
          <w:p>
            <w:pPr>
              <w:pStyle w:val="TableParagraph"/>
              <w:spacing w:line="211" w:lineRule="exact"/>
              <w:ind w:right="198"/>
              <w:jc w:val="right"/>
              <w:rPr>
                <w:rFonts w:ascii="宋体" w:hAnsi="宋体" w:cs="宋体" w:eastAsia="宋体" w:hint="default"/>
                <w:sz w:val="21"/>
                <w:szCs w:val="21"/>
              </w:rPr>
            </w:pPr>
            <w:r>
              <w:rPr>
                <w:rFonts w:ascii="宋体" w:hAnsi="宋体" w:cs="宋体" w:eastAsia="宋体" w:hint="default"/>
                <w:spacing w:val="-2"/>
                <w:sz w:val="21"/>
                <w:szCs w:val="21"/>
              </w:rPr>
              <w:t>可供出售金融资产</w:t>
            </w:r>
          </w:p>
        </w:tc>
      </w:tr>
      <w:tr>
        <w:trPr>
          <w:trHeight w:val="394" w:hRule="exact"/>
        </w:trPr>
        <w:tc>
          <w:tcPr>
            <w:tcW w:w="2668" w:type="dxa"/>
            <w:tcBorders>
              <w:top w:val="nil" w:sz="6" w:space="0" w:color="auto"/>
              <w:left w:val="nil" w:sz="6" w:space="0" w:color="auto"/>
              <w:bottom w:val="nil" w:sz="6" w:space="0" w:color="auto"/>
              <w:right w:val="nil" w:sz="6" w:space="0" w:color="auto"/>
            </w:tcBorders>
          </w:tcPr>
          <w:p>
            <w:pPr>
              <w:pStyle w:val="TableParagraph"/>
              <w:spacing w:line="240" w:lineRule="auto" w:before="94"/>
              <w:ind w:left="200"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3364"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68"/>
              <w:jc w:val="right"/>
              <w:rPr>
                <w:rFonts w:ascii="宋体" w:hAnsi="宋体" w:cs="宋体" w:eastAsia="宋体" w:hint="default"/>
                <w:sz w:val="21"/>
                <w:szCs w:val="21"/>
              </w:rPr>
            </w:pPr>
            <w:r>
              <w:rPr>
                <w:rFonts w:ascii="宋体"/>
                <w:spacing w:val="-1"/>
                <w:sz w:val="21"/>
              </w:rPr>
              <w:t>4,022,148,465</w:t>
            </w:r>
          </w:p>
        </w:tc>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200"/>
              <w:jc w:val="right"/>
              <w:rPr>
                <w:rFonts w:ascii="宋体" w:hAnsi="宋体" w:cs="宋体" w:eastAsia="宋体" w:hint="default"/>
                <w:sz w:val="21"/>
                <w:szCs w:val="21"/>
              </w:rPr>
            </w:pPr>
            <w:r>
              <w:rPr>
                <w:rFonts w:ascii="宋体"/>
                <w:w w:val="100"/>
                <w:sz w:val="21"/>
              </w:rPr>
              <w:t>-</w:t>
            </w:r>
          </w:p>
        </w:tc>
      </w:tr>
      <w:tr>
        <w:trPr>
          <w:trHeight w:val="259" w:hRule="exact"/>
        </w:trPr>
        <w:tc>
          <w:tcPr>
            <w:tcW w:w="2668" w:type="dxa"/>
            <w:tcBorders>
              <w:top w:val="nil" w:sz="6" w:space="0" w:color="auto"/>
              <w:left w:val="nil" w:sz="6" w:space="0" w:color="auto"/>
              <w:bottom w:val="nil" w:sz="6" w:space="0" w:color="auto"/>
              <w:right w:val="nil" w:sz="6" w:space="0" w:color="auto"/>
            </w:tcBorders>
          </w:tcPr>
          <w:p>
            <w:pPr>
              <w:pStyle w:val="TableParagraph"/>
              <w:spacing w:line="235" w:lineRule="exact"/>
              <w:ind w:left="200"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3364" w:type="dxa"/>
            <w:tcBorders>
              <w:top w:val="nil" w:sz="6" w:space="0" w:color="auto"/>
              <w:left w:val="nil" w:sz="6" w:space="0" w:color="auto"/>
              <w:bottom w:val="nil" w:sz="6" w:space="0" w:color="auto"/>
              <w:right w:val="nil" w:sz="6" w:space="0" w:color="auto"/>
            </w:tcBorders>
          </w:tcPr>
          <w:p>
            <w:pPr>
              <w:pStyle w:val="TableParagraph"/>
              <w:spacing w:line="235" w:lineRule="exact"/>
              <w:ind w:right="368"/>
              <w:jc w:val="right"/>
              <w:rPr>
                <w:rFonts w:ascii="宋体" w:hAnsi="宋体" w:cs="宋体" w:eastAsia="宋体" w:hint="default"/>
                <w:sz w:val="21"/>
                <w:szCs w:val="21"/>
              </w:rPr>
            </w:pPr>
            <w:r>
              <w:rPr>
                <w:rFonts w:ascii="宋体"/>
                <w:spacing w:val="-1"/>
                <w:sz w:val="21"/>
              </w:rPr>
              <w:t>123,939,211</w:t>
            </w:r>
          </w:p>
        </w:tc>
        <w:tc>
          <w:tcPr>
            <w:tcW w:w="2253" w:type="dxa"/>
            <w:tcBorders>
              <w:top w:val="nil" w:sz="6" w:space="0" w:color="auto"/>
              <w:left w:val="nil" w:sz="6" w:space="0" w:color="auto"/>
              <w:bottom w:val="nil" w:sz="6" w:space="0" w:color="auto"/>
              <w:right w:val="nil" w:sz="6" w:space="0" w:color="auto"/>
            </w:tcBorders>
          </w:tcPr>
          <w:p>
            <w:pPr>
              <w:pStyle w:val="TableParagraph"/>
              <w:spacing w:line="235" w:lineRule="exact"/>
              <w:ind w:right="200"/>
              <w:jc w:val="right"/>
              <w:rPr>
                <w:rFonts w:ascii="宋体" w:hAnsi="宋体" w:cs="宋体" w:eastAsia="宋体" w:hint="default"/>
                <w:sz w:val="21"/>
                <w:szCs w:val="21"/>
              </w:rPr>
            </w:pPr>
            <w:r>
              <w:rPr>
                <w:rFonts w:ascii="宋体"/>
                <w:w w:val="100"/>
                <w:sz w:val="21"/>
              </w:rPr>
              <w:t>-</w:t>
            </w:r>
          </w:p>
        </w:tc>
      </w:tr>
      <w:tr>
        <w:trPr>
          <w:trHeight w:val="260" w:hRule="exact"/>
        </w:trPr>
        <w:tc>
          <w:tcPr>
            <w:tcW w:w="2668" w:type="dxa"/>
            <w:tcBorders>
              <w:top w:val="nil" w:sz="6" w:space="0" w:color="auto"/>
              <w:left w:val="nil" w:sz="6" w:space="0" w:color="auto"/>
              <w:bottom w:val="nil" w:sz="6" w:space="0" w:color="auto"/>
              <w:right w:val="nil" w:sz="6" w:space="0" w:color="auto"/>
            </w:tcBorders>
          </w:tcPr>
          <w:p>
            <w:pPr>
              <w:pStyle w:val="TableParagraph"/>
              <w:spacing w:line="235" w:lineRule="exact"/>
              <w:ind w:left="200"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3364" w:type="dxa"/>
            <w:tcBorders>
              <w:top w:val="nil" w:sz="6" w:space="0" w:color="auto"/>
              <w:left w:val="nil" w:sz="6" w:space="0" w:color="auto"/>
              <w:bottom w:val="nil" w:sz="6" w:space="0" w:color="auto"/>
              <w:right w:val="nil" w:sz="6" w:space="0" w:color="auto"/>
            </w:tcBorders>
          </w:tcPr>
          <w:p>
            <w:pPr>
              <w:pStyle w:val="TableParagraph"/>
              <w:spacing w:line="235" w:lineRule="exact"/>
              <w:ind w:right="368"/>
              <w:jc w:val="right"/>
              <w:rPr>
                <w:rFonts w:ascii="宋体" w:hAnsi="宋体" w:cs="宋体" w:eastAsia="宋体" w:hint="default"/>
                <w:sz w:val="21"/>
                <w:szCs w:val="21"/>
              </w:rPr>
            </w:pPr>
            <w:r>
              <w:rPr>
                <w:rFonts w:ascii="宋体"/>
                <w:spacing w:val="-1"/>
                <w:sz w:val="21"/>
              </w:rPr>
              <w:t>1,495,152,101</w:t>
            </w:r>
          </w:p>
        </w:tc>
        <w:tc>
          <w:tcPr>
            <w:tcW w:w="2253" w:type="dxa"/>
            <w:tcBorders>
              <w:top w:val="nil" w:sz="6" w:space="0" w:color="auto"/>
              <w:left w:val="nil" w:sz="6" w:space="0" w:color="auto"/>
              <w:bottom w:val="nil" w:sz="6" w:space="0" w:color="auto"/>
              <w:right w:val="nil" w:sz="6" w:space="0" w:color="auto"/>
            </w:tcBorders>
          </w:tcPr>
          <w:p>
            <w:pPr>
              <w:pStyle w:val="TableParagraph"/>
              <w:spacing w:line="235" w:lineRule="exact"/>
              <w:ind w:right="200"/>
              <w:jc w:val="right"/>
              <w:rPr>
                <w:rFonts w:ascii="宋体" w:hAnsi="宋体" w:cs="宋体" w:eastAsia="宋体" w:hint="default"/>
                <w:sz w:val="21"/>
                <w:szCs w:val="21"/>
              </w:rPr>
            </w:pPr>
            <w:r>
              <w:rPr>
                <w:rFonts w:ascii="宋体"/>
                <w:w w:val="100"/>
                <w:sz w:val="21"/>
              </w:rPr>
              <w:t>-</w:t>
            </w:r>
          </w:p>
        </w:tc>
      </w:tr>
      <w:tr>
        <w:trPr>
          <w:trHeight w:val="236" w:hRule="exact"/>
        </w:trPr>
        <w:tc>
          <w:tcPr>
            <w:tcW w:w="2668" w:type="dxa"/>
            <w:tcBorders>
              <w:top w:val="nil" w:sz="6" w:space="0" w:color="auto"/>
              <w:left w:val="nil" w:sz="6" w:space="0" w:color="auto"/>
              <w:bottom w:val="nil" w:sz="6" w:space="0" w:color="auto"/>
              <w:right w:val="nil" w:sz="6" w:space="0" w:color="auto"/>
            </w:tcBorders>
          </w:tcPr>
          <w:p>
            <w:pPr>
              <w:pStyle w:val="TableParagraph"/>
              <w:spacing w:line="236" w:lineRule="exact"/>
              <w:ind w:left="200"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3364" w:type="dxa"/>
            <w:tcBorders>
              <w:top w:val="nil" w:sz="6" w:space="0" w:color="auto"/>
              <w:left w:val="nil" w:sz="6" w:space="0" w:color="auto"/>
              <w:bottom w:val="nil" w:sz="6" w:space="0" w:color="auto"/>
              <w:right w:val="nil" w:sz="6" w:space="0" w:color="auto"/>
            </w:tcBorders>
          </w:tcPr>
          <w:p>
            <w:pPr>
              <w:pStyle w:val="TableParagraph"/>
              <w:spacing w:line="236" w:lineRule="exact"/>
              <w:ind w:right="368"/>
              <w:jc w:val="right"/>
              <w:rPr>
                <w:rFonts w:ascii="宋体" w:hAnsi="宋体" w:cs="宋体" w:eastAsia="宋体" w:hint="default"/>
                <w:sz w:val="21"/>
                <w:szCs w:val="21"/>
              </w:rPr>
            </w:pPr>
            <w:r>
              <w:rPr>
                <w:rFonts w:ascii="宋体"/>
                <w:spacing w:val="-1"/>
                <w:sz w:val="21"/>
              </w:rPr>
              <w:t>3,643,103</w:t>
            </w:r>
          </w:p>
        </w:tc>
        <w:tc>
          <w:tcPr>
            <w:tcW w:w="2253" w:type="dxa"/>
            <w:tcBorders>
              <w:top w:val="nil" w:sz="6" w:space="0" w:color="auto"/>
              <w:left w:val="nil" w:sz="6" w:space="0" w:color="auto"/>
              <w:bottom w:val="nil" w:sz="6" w:space="0" w:color="auto"/>
              <w:right w:val="nil" w:sz="6" w:space="0" w:color="auto"/>
            </w:tcBorders>
          </w:tcPr>
          <w:p>
            <w:pPr>
              <w:pStyle w:val="TableParagraph"/>
              <w:spacing w:line="236" w:lineRule="exact"/>
              <w:ind w:right="200"/>
              <w:jc w:val="right"/>
              <w:rPr>
                <w:rFonts w:ascii="宋体" w:hAnsi="宋体" w:cs="宋体" w:eastAsia="宋体" w:hint="default"/>
                <w:sz w:val="21"/>
                <w:szCs w:val="21"/>
              </w:rPr>
            </w:pPr>
            <w:r>
              <w:rPr>
                <w:rFonts w:ascii="宋体"/>
                <w:w w:val="100"/>
                <w:sz w:val="21"/>
              </w:rPr>
              <w:t>-</w:t>
            </w:r>
          </w:p>
        </w:tc>
      </w:tr>
    </w:tbl>
    <w:p>
      <w:pPr>
        <w:spacing w:after="0" w:line="236" w:lineRule="exact"/>
        <w:jc w:val="right"/>
        <w:rPr>
          <w:rFonts w:ascii="宋体" w:hAnsi="宋体" w:cs="宋体" w:eastAsia="宋体" w:hint="default"/>
          <w:sz w:val="21"/>
          <w:szCs w:val="21"/>
        </w:rPr>
        <w:sectPr>
          <w:pgSz w:w="11910" w:h="16840"/>
          <w:pgMar w:header="857" w:footer="1195" w:top="1320" w:bottom="1380" w:left="1580" w:right="1040"/>
        </w:sectPr>
      </w:pPr>
    </w:p>
    <w:p>
      <w:pPr>
        <w:spacing w:line="240" w:lineRule="auto" w:before="8"/>
        <w:rPr>
          <w:rFonts w:ascii="宋体" w:hAnsi="宋体" w:cs="宋体" w:eastAsia="宋体" w:hint="default"/>
          <w:sz w:val="2"/>
          <w:szCs w:val="2"/>
        </w:rPr>
      </w:pPr>
    </w:p>
    <w:tbl>
      <w:tblPr>
        <w:tblW w:w="0" w:type="auto"/>
        <w:jc w:val="left"/>
        <w:tblInd w:w="566" w:type="dxa"/>
        <w:tblLayout w:type="fixed"/>
        <w:tblCellMar>
          <w:top w:w="0" w:type="dxa"/>
          <w:left w:w="0" w:type="dxa"/>
          <w:bottom w:w="0" w:type="dxa"/>
          <w:right w:w="0" w:type="dxa"/>
        </w:tblCellMar>
        <w:tblLook w:val="01E0"/>
      </w:tblPr>
      <w:tblGrid>
        <w:gridCol w:w="3509"/>
        <w:gridCol w:w="2680"/>
        <w:gridCol w:w="2244"/>
      </w:tblGrid>
      <w:tr>
        <w:trPr>
          <w:trHeight w:val="443" w:hRule="exact"/>
        </w:trPr>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200"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2680"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526"/>
              <w:jc w:val="right"/>
              <w:rPr>
                <w:rFonts w:ascii="宋体" w:hAnsi="宋体" w:cs="宋体" w:eastAsia="宋体" w:hint="default"/>
                <w:sz w:val="21"/>
                <w:szCs w:val="21"/>
              </w:rPr>
            </w:pPr>
            <w:r>
              <w:rPr>
                <w:rFonts w:ascii="宋体"/>
                <w:spacing w:val="-1"/>
                <w:sz w:val="21"/>
              </w:rPr>
              <w:t>207,451,568</w:t>
            </w:r>
          </w:p>
        </w:tc>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348"/>
              <w:jc w:val="right"/>
              <w:rPr>
                <w:rFonts w:ascii="宋体" w:hAnsi="宋体" w:cs="宋体" w:eastAsia="宋体" w:hint="default"/>
                <w:sz w:val="21"/>
                <w:szCs w:val="21"/>
              </w:rPr>
            </w:pPr>
            <w:r>
              <w:rPr>
                <w:rFonts w:ascii="宋体"/>
                <w:w w:val="100"/>
                <w:sz w:val="21"/>
              </w:rPr>
              <w:t>-</w:t>
            </w:r>
          </w:p>
        </w:tc>
      </w:tr>
      <w:tr>
        <w:trPr>
          <w:trHeight w:val="269" w:hRule="exact"/>
        </w:trPr>
        <w:tc>
          <w:tcPr>
            <w:tcW w:w="3509" w:type="dxa"/>
            <w:tcBorders>
              <w:top w:val="nil" w:sz="6" w:space="0" w:color="auto"/>
              <w:left w:val="nil" w:sz="6" w:space="0" w:color="auto"/>
              <w:bottom w:val="nil" w:sz="6" w:space="0" w:color="auto"/>
              <w:right w:val="nil" w:sz="6" w:space="0" w:color="auto"/>
            </w:tcBorders>
          </w:tcPr>
          <w:p>
            <w:pPr>
              <w:pStyle w:val="TableParagraph"/>
              <w:spacing w:line="240" w:lineRule="exact"/>
              <w:ind w:left="200" w:right="0"/>
              <w:jc w:val="left"/>
              <w:rPr>
                <w:rFonts w:ascii="宋体" w:hAnsi="宋体" w:cs="宋体" w:eastAsia="宋体" w:hint="default"/>
                <w:sz w:val="21"/>
                <w:szCs w:val="21"/>
              </w:rPr>
            </w:pPr>
            <w:r>
              <w:rPr>
                <w:rFonts w:ascii="宋体" w:hAnsi="宋体" w:cs="宋体" w:eastAsia="宋体" w:hint="default"/>
                <w:sz w:val="21"/>
                <w:szCs w:val="21"/>
              </w:rPr>
              <w:t>其他流动资产</w:t>
            </w:r>
            <w:r>
              <w:rPr>
                <w:rFonts w:ascii="宋体" w:hAnsi="宋体" w:cs="宋体" w:eastAsia="宋体" w:hint="default"/>
                <w:sz w:val="21"/>
                <w:szCs w:val="21"/>
              </w:rPr>
              <w:t>(</w:t>
            </w:r>
            <w:r>
              <w:rPr>
                <w:rFonts w:ascii="宋体" w:hAnsi="宋体" w:cs="宋体" w:eastAsia="宋体" w:hint="default"/>
                <w:sz w:val="21"/>
                <w:szCs w:val="21"/>
              </w:rPr>
              <w:t>理财产品</w:t>
            </w:r>
            <w:r>
              <w:rPr>
                <w:rFonts w:ascii="宋体" w:hAnsi="宋体" w:cs="宋体" w:eastAsia="宋体" w:hint="default"/>
                <w:sz w:val="21"/>
                <w:szCs w:val="21"/>
              </w:rPr>
              <w:t>)</w:t>
            </w:r>
          </w:p>
        </w:tc>
        <w:tc>
          <w:tcPr>
            <w:tcW w:w="2680" w:type="dxa"/>
            <w:tcBorders>
              <w:top w:val="nil" w:sz="6" w:space="0" w:color="auto"/>
              <w:left w:val="nil" w:sz="6" w:space="0" w:color="auto"/>
              <w:bottom w:val="nil" w:sz="6" w:space="0" w:color="auto"/>
              <w:right w:val="nil" w:sz="6" w:space="0" w:color="auto"/>
            </w:tcBorders>
          </w:tcPr>
          <w:p>
            <w:pPr>
              <w:pStyle w:val="TableParagraph"/>
              <w:spacing w:line="240" w:lineRule="exact"/>
              <w:ind w:right="528"/>
              <w:jc w:val="right"/>
              <w:rPr>
                <w:rFonts w:ascii="宋体" w:hAnsi="宋体" w:cs="宋体" w:eastAsia="宋体" w:hint="default"/>
                <w:sz w:val="21"/>
                <w:szCs w:val="21"/>
              </w:rPr>
            </w:pPr>
            <w:r>
              <w:rPr>
                <w:rFonts w:ascii="宋体"/>
                <w:w w:val="100"/>
                <w:sz w:val="21"/>
              </w:rPr>
              <w:t>-</w:t>
            </w:r>
          </w:p>
        </w:tc>
        <w:tc>
          <w:tcPr>
            <w:tcW w:w="2244" w:type="dxa"/>
            <w:tcBorders>
              <w:top w:val="nil" w:sz="6" w:space="0" w:color="auto"/>
              <w:left w:val="nil" w:sz="6" w:space="0" w:color="auto"/>
              <w:bottom w:val="nil" w:sz="6" w:space="0" w:color="auto"/>
              <w:right w:val="nil" w:sz="6" w:space="0" w:color="auto"/>
            </w:tcBorders>
          </w:tcPr>
          <w:p>
            <w:pPr>
              <w:pStyle w:val="TableParagraph"/>
              <w:spacing w:line="240" w:lineRule="exact"/>
              <w:ind w:right="345"/>
              <w:jc w:val="right"/>
              <w:rPr>
                <w:rFonts w:ascii="宋体" w:hAnsi="宋体" w:cs="宋体" w:eastAsia="宋体" w:hint="default"/>
                <w:sz w:val="21"/>
                <w:szCs w:val="21"/>
              </w:rPr>
            </w:pPr>
            <w:r>
              <w:rPr>
                <w:rFonts w:ascii="宋体"/>
                <w:spacing w:val="-1"/>
                <w:sz w:val="21"/>
              </w:rPr>
              <w:t>1,156,585,624</w:t>
            </w:r>
          </w:p>
        </w:tc>
      </w:tr>
      <w:tr>
        <w:trPr>
          <w:trHeight w:val="398" w:hRule="exact"/>
        </w:trPr>
        <w:tc>
          <w:tcPr>
            <w:tcW w:w="3509" w:type="dxa"/>
            <w:tcBorders>
              <w:top w:val="nil" w:sz="6" w:space="0" w:color="auto"/>
              <w:left w:val="nil" w:sz="6" w:space="0" w:color="auto"/>
              <w:bottom w:val="nil" w:sz="6" w:space="0" w:color="auto"/>
              <w:right w:val="nil" w:sz="6" w:space="0" w:color="auto"/>
            </w:tcBorders>
          </w:tcPr>
          <w:p>
            <w:pPr>
              <w:pStyle w:val="TableParagraph"/>
              <w:spacing w:line="240" w:lineRule="exact"/>
              <w:ind w:left="200"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2680" w:type="dxa"/>
            <w:tcBorders>
              <w:top w:val="nil" w:sz="6" w:space="0" w:color="auto"/>
              <w:left w:val="nil" w:sz="6" w:space="0" w:color="auto"/>
              <w:bottom w:val="nil" w:sz="6" w:space="0" w:color="auto"/>
              <w:right w:val="nil" w:sz="6" w:space="0" w:color="auto"/>
            </w:tcBorders>
          </w:tcPr>
          <w:p>
            <w:pPr>
              <w:pStyle w:val="TableParagraph"/>
              <w:tabs>
                <w:tab w:pos="1262" w:val="left" w:leader="none"/>
              </w:tabs>
              <w:spacing w:line="240" w:lineRule="exact"/>
              <w:ind w:right="526"/>
              <w:jc w:val="right"/>
              <w:rPr>
                <w:rFonts w:ascii="宋体" w:hAnsi="宋体" w:cs="宋体" w:eastAsia="宋体" w:hint="default"/>
                <w:sz w:val="21"/>
                <w:szCs w:val="21"/>
              </w:rPr>
            </w:pPr>
            <w:r>
              <w:rPr>
                <w:rFonts w:ascii="宋体"/>
                <w:w w:val="100"/>
                <w:sz w:val="21"/>
              </w:rPr>
            </w:r>
            <w:r>
              <w:rPr>
                <w:rFonts w:ascii="宋体"/>
                <w:w w:val="100"/>
                <w:sz w:val="21"/>
                <w:u w:val="single" w:color="000000"/>
              </w:rPr>
              <w:t> </w:t>
            </w:r>
            <w:r>
              <w:rPr>
                <w:rFonts w:ascii="宋体"/>
                <w:sz w:val="21"/>
                <w:u w:val="single" w:color="000000"/>
              </w:rPr>
              <w:tab/>
              <w:t>-</w:t>
            </w:r>
            <w:r>
              <w:rPr>
                <w:rFonts w:ascii="宋体"/>
                <w:sz w:val="21"/>
              </w:rPr>
            </w:r>
          </w:p>
        </w:tc>
        <w:tc>
          <w:tcPr>
            <w:tcW w:w="2244" w:type="dxa"/>
            <w:tcBorders>
              <w:top w:val="nil" w:sz="6" w:space="0" w:color="auto"/>
              <w:left w:val="nil" w:sz="6" w:space="0" w:color="auto"/>
              <w:bottom w:val="nil" w:sz="6" w:space="0" w:color="auto"/>
              <w:right w:val="nil" w:sz="6" w:space="0" w:color="auto"/>
            </w:tcBorders>
          </w:tcPr>
          <w:p>
            <w:pPr>
              <w:pStyle w:val="TableParagraph"/>
              <w:spacing w:line="240" w:lineRule="exact"/>
              <w:ind w:right="345"/>
              <w:jc w:val="right"/>
              <w:rPr>
                <w:rFonts w:ascii="宋体" w:hAnsi="宋体" w:cs="宋体" w:eastAsia="宋体" w:hint="default"/>
                <w:sz w:val="21"/>
                <w:szCs w:val="21"/>
              </w:rPr>
            </w:pPr>
            <w:r>
              <w:rPr>
                <w:rFonts w:ascii="宋体"/>
                <w:w w:val="100"/>
                <w:sz w:val="21"/>
              </w:rPr>
            </w:r>
            <w:r>
              <w:rPr>
                <w:rFonts w:ascii="宋体"/>
                <w:w w:val="100"/>
                <w:sz w:val="21"/>
                <w:u w:val="single" w:color="000000"/>
              </w:rPr>
              <w:t> </w:t>
            </w:r>
            <w:r>
              <w:rPr>
                <w:rFonts w:ascii="宋体"/>
                <w:sz w:val="21"/>
                <w:u w:val="single" w:color="000000"/>
              </w:rPr>
              <w:t> </w:t>
            </w:r>
            <w:r>
              <w:rPr>
                <w:rFonts w:ascii="宋体"/>
                <w:spacing w:val="-1"/>
                <w:sz w:val="21"/>
                <w:u w:val="single" w:color="000000"/>
              </w:rPr>
              <w:t>764,088,138</w:t>
            </w:r>
            <w:r>
              <w:rPr>
                <w:rFonts w:ascii="宋体"/>
                <w:spacing w:val="-1"/>
                <w:sz w:val="21"/>
              </w:rPr>
            </w:r>
          </w:p>
        </w:tc>
      </w:tr>
      <w:tr>
        <w:trPr>
          <w:trHeight w:val="370" w:hRule="exact"/>
        </w:trPr>
        <w:tc>
          <w:tcPr>
            <w:tcW w:w="3509" w:type="dxa"/>
            <w:tcBorders>
              <w:top w:val="nil" w:sz="6" w:space="0" w:color="auto"/>
              <w:left w:val="nil" w:sz="6" w:space="0" w:color="auto"/>
              <w:bottom w:val="nil" w:sz="6" w:space="0" w:color="auto"/>
              <w:right w:val="nil" w:sz="6" w:space="0" w:color="auto"/>
            </w:tcBorders>
          </w:tcPr>
          <w:p>
            <w:pPr/>
          </w:p>
        </w:tc>
        <w:tc>
          <w:tcPr>
            <w:tcW w:w="2680"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526"/>
              <w:jc w:val="right"/>
              <w:rPr>
                <w:rFonts w:ascii="宋体" w:hAnsi="宋体" w:cs="宋体" w:eastAsia="宋体" w:hint="default"/>
                <w:sz w:val="21"/>
                <w:szCs w:val="21"/>
              </w:rPr>
            </w:pPr>
            <w:r>
              <w:rPr>
                <w:rFonts w:ascii="宋体"/>
                <w:w w:val="100"/>
                <w:sz w:val="21"/>
              </w:rPr>
            </w:r>
            <w:r>
              <w:rPr>
                <w:rFonts w:ascii="宋体"/>
                <w:spacing w:val="-1"/>
                <w:sz w:val="21"/>
                <w:u w:val="thick" w:color="000000"/>
              </w:rPr>
              <w:t>5,852,334,448</w:t>
            </w:r>
            <w:r>
              <w:rPr>
                <w:rFonts w:ascii="宋体"/>
                <w:spacing w:val="-1"/>
                <w:sz w:val="21"/>
              </w:rPr>
            </w:r>
          </w:p>
        </w:tc>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45"/>
              <w:jc w:val="right"/>
              <w:rPr>
                <w:rFonts w:ascii="宋体" w:hAnsi="宋体" w:cs="宋体" w:eastAsia="宋体" w:hint="default"/>
                <w:sz w:val="21"/>
                <w:szCs w:val="21"/>
              </w:rPr>
            </w:pPr>
            <w:r>
              <w:rPr>
                <w:rFonts w:ascii="宋体"/>
                <w:w w:val="100"/>
                <w:sz w:val="21"/>
              </w:rPr>
            </w:r>
            <w:r>
              <w:rPr>
                <w:rFonts w:ascii="宋体"/>
                <w:spacing w:val="-1"/>
                <w:sz w:val="21"/>
                <w:u w:val="single" w:color="000000"/>
              </w:rPr>
              <w:t>1,920,673,762</w:t>
            </w:r>
            <w:r>
              <w:rPr>
                <w:rFonts w:ascii="宋体"/>
                <w:spacing w:val="-1"/>
                <w:sz w:val="21"/>
              </w:rPr>
            </w:r>
          </w:p>
        </w:tc>
      </w:tr>
    </w:tbl>
    <w:p>
      <w:pPr>
        <w:spacing w:line="240" w:lineRule="auto" w:before="9"/>
        <w:rPr>
          <w:rFonts w:ascii="宋体" w:hAnsi="宋体" w:cs="宋体" w:eastAsia="宋体" w:hint="default"/>
          <w:sz w:val="15"/>
          <w:szCs w:val="15"/>
        </w:rPr>
      </w:pPr>
    </w:p>
    <w:p>
      <w:pPr>
        <w:pStyle w:val="BodyText"/>
        <w:spacing w:line="240" w:lineRule="auto" w:before="36"/>
        <w:ind w:left="850" w:right="0"/>
        <w:jc w:val="left"/>
      </w:pPr>
      <w:r>
        <w:rPr/>
        <w:pict>
          <v:group style="position:absolute;margin-left:88.463997pt;margin-top:-84.23632pt;width:444.55pt;height:.1pt;mso-position-horizontal-relative:page;mso-position-vertical-relative:paragraph;z-index:-1046440" coordorigin="1769,-1685" coordsize="8891,2">
            <v:shape style="position:absolute;left:1769;top:-1685;width:8891;height:2" coordorigin="1769,-1685" coordsize="8891,0" path="m1769,-1685l10660,-1685e" filled="false" stroked="true" strokeweight=".72pt" strokecolor="#000000">
              <v:path arrowok="t"/>
            </v:shape>
            <w10:wrap type="none"/>
          </v:group>
        </w:pict>
      </w:r>
      <w:r>
        <w:rPr>
          <w:rFonts w:ascii="宋体" w:hAnsi="宋体" w:cs="宋体" w:eastAsia="宋体" w:hint="default"/>
        </w:rPr>
        <w:t>2016</w:t>
      </w:r>
      <w:r>
        <w:rPr/>
        <w:t>年</w:t>
      </w:r>
    </w:p>
    <w:p>
      <w:pPr>
        <w:spacing w:line="240" w:lineRule="auto" w:before="11"/>
        <w:rPr>
          <w:rFonts w:ascii="宋体" w:hAnsi="宋体" w:cs="宋体" w:eastAsia="宋体" w:hint="default"/>
          <w:sz w:val="21"/>
          <w:szCs w:val="21"/>
        </w:rPr>
      </w:pPr>
    </w:p>
    <w:tbl>
      <w:tblPr>
        <w:tblW w:w="0" w:type="auto"/>
        <w:jc w:val="left"/>
        <w:tblInd w:w="566" w:type="dxa"/>
        <w:tblLayout w:type="fixed"/>
        <w:tblCellMar>
          <w:top w:w="0" w:type="dxa"/>
          <w:left w:w="0" w:type="dxa"/>
          <w:bottom w:w="0" w:type="dxa"/>
          <w:right w:w="0" w:type="dxa"/>
        </w:tblCellMar>
        <w:tblLook w:val="01E0"/>
      </w:tblPr>
      <w:tblGrid>
        <w:gridCol w:w="3404"/>
        <w:gridCol w:w="2628"/>
        <w:gridCol w:w="2254"/>
      </w:tblGrid>
      <w:tr>
        <w:trPr>
          <w:trHeight w:val="370" w:hRule="exact"/>
        </w:trPr>
        <w:tc>
          <w:tcPr>
            <w:tcW w:w="3404" w:type="dxa"/>
            <w:tcBorders>
              <w:top w:val="nil" w:sz="6" w:space="0" w:color="auto"/>
              <w:left w:val="nil" w:sz="6" w:space="0" w:color="auto"/>
              <w:bottom w:val="nil" w:sz="6" w:space="0" w:color="auto"/>
              <w:right w:val="nil" w:sz="6" w:space="0" w:color="auto"/>
            </w:tcBorders>
          </w:tcPr>
          <w:p>
            <w:pPr/>
          </w:p>
        </w:tc>
        <w:tc>
          <w:tcPr>
            <w:tcW w:w="2628" w:type="dxa"/>
            <w:tcBorders>
              <w:top w:val="nil" w:sz="6" w:space="0" w:color="auto"/>
              <w:left w:val="nil" w:sz="6" w:space="0" w:color="auto"/>
              <w:bottom w:val="nil" w:sz="6" w:space="0" w:color="auto"/>
              <w:right w:val="nil" w:sz="6" w:space="0" w:color="auto"/>
            </w:tcBorders>
          </w:tcPr>
          <w:p>
            <w:pPr>
              <w:pStyle w:val="TableParagraph"/>
              <w:spacing w:line="211" w:lineRule="exact"/>
              <w:ind w:right="368"/>
              <w:jc w:val="right"/>
              <w:rPr>
                <w:rFonts w:ascii="宋体" w:hAnsi="宋体" w:cs="宋体" w:eastAsia="宋体" w:hint="default"/>
                <w:sz w:val="21"/>
                <w:szCs w:val="21"/>
              </w:rPr>
            </w:pPr>
            <w:r>
              <w:rPr>
                <w:rFonts w:ascii="宋体" w:hAnsi="宋体" w:cs="宋体" w:eastAsia="宋体" w:hint="default"/>
                <w:spacing w:val="-1"/>
                <w:sz w:val="21"/>
                <w:szCs w:val="21"/>
              </w:rPr>
              <w:t>贷款和应收款项</w:t>
            </w:r>
          </w:p>
        </w:tc>
        <w:tc>
          <w:tcPr>
            <w:tcW w:w="2254" w:type="dxa"/>
            <w:tcBorders>
              <w:top w:val="nil" w:sz="6" w:space="0" w:color="auto"/>
              <w:left w:val="nil" w:sz="6" w:space="0" w:color="auto"/>
              <w:bottom w:val="nil" w:sz="6" w:space="0" w:color="auto"/>
              <w:right w:val="nil" w:sz="6" w:space="0" w:color="auto"/>
            </w:tcBorders>
          </w:tcPr>
          <w:p>
            <w:pPr>
              <w:pStyle w:val="TableParagraph"/>
              <w:spacing w:line="211" w:lineRule="exact"/>
              <w:ind w:right="198"/>
              <w:jc w:val="right"/>
              <w:rPr>
                <w:rFonts w:ascii="宋体" w:hAnsi="宋体" w:cs="宋体" w:eastAsia="宋体" w:hint="default"/>
                <w:sz w:val="21"/>
                <w:szCs w:val="21"/>
              </w:rPr>
            </w:pPr>
            <w:r>
              <w:rPr>
                <w:rFonts w:ascii="宋体" w:hAnsi="宋体" w:cs="宋体" w:eastAsia="宋体" w:hint="default"/>
                <w:spacing w:val="-2"/>
                <w:sz w:val="21"/>
                <w:szCs w:val="21"/>
              </w:rPr>
              <w:t>可供出售金融资产</w:t>
            </w:r>
          </w:p>
        </w:tc>
      </w:tr>
      <w:tr>
        <w:trPr>
          <w:trHeight w:val="394" w:hRule="exact"/>
        </w:trPr>
        <w:tc>
          <w:tcPr>
            <w:tcW w:w="3404" w:type="dxa"/>
            <w:tcBorders>
              <w:top w:val="nil" w:sz="6" w:space="0" w:color="auto"/>
              <w:left w:val="nil" w:sz="6" w:space="0" w:color="auto"/>
              <w:bottom w:val="nil" w:sz="6" w:space="0" w:color="auto"/>
              <w:right w:val="nil" w:sz="6" w:space="0" w:color="auto"/>
            </w:tcBorders>
          </w:tcPr>
          <w:p>
            <w:pPr>
              <w:pStyle w:val="TableParagraph"/>
              <w:spacing w:line="240" w:lineRule="auto" w:before="94"/>
              <w:ind w:left="200"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262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68"/>
              <w:jc w:val="right"/>
              <w:rPr>
                <w:rFonts w:ascii="宋体" w:hAnsi="宋体" w:cs="宋体" w:eastAsia="宋体" w:hint="default"/>
                <w:sz w:val="21"/>
                <w:szCs w:val="21"/>
              </w:rPr>
            </w:pPr>
            <w:r>
              <w:rPr>
                <w:rFonts w:ascii="宋体"/>
                <w:spacing w:val="-1"/>
                <w:sz w:val="21"/>
              </w:rPr>
              <w:t>4,545,989,288</w:t>
            </w:r>
          </w:p>
        </w:tc>
        <w:tc>
          <w:tcPr>
            <w:tcW w:w="2254"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200"/>
              <w:jc w:val="right"/>
              <w:rPr>
                <w:rFonts w:ascii="宋体" w:hAnsi="宋体" w:cs="宋体" w:eastAsia="宋体" w:hint="default"/>
                <w:sz w:val="21"/>
                <w:szCs w:val="21"/>
              </w:rPr>
            </w:pPr>
            <w:r>
              <w:rPr>
                <w:rFonts w:ascii="宋体"/>
                <w:w w:val="100"/>
                <w:sz w:val="21"/>
              </w:rPr>
              <w:t>-</w:t>
            </w:r>
          </w:p>
        </w:tc>
      </w:tr>
      <w:tr>
        <w:trPr>
          <w:trHeight w:val="259" w:hRule="exact"/>
        </w:trPr>
        <w:tc>
          <w:tcPr>
            <w:tcW w:w="3404" w:type="dxa"/>
            <w:tcBorders>
              <w:top w:val="nil" w:sz="6" w:space="0" w:color="auto"/>
              <w:left w:val="nil" w:sz="6" w:space="0" w:color="auto"/>
              <w:bottom w:val="nil" w:sz="6" w:space="0" w:color="auto"/>
              <w:right w:val="nil" w:sz="6" w:space="0" w:color="auto"/>
            </w:tcBorders>
          </w:tcPr>
          <w:p>
            <w:pPr>
              <w:pStyle w:val="TableParagraph"/>
              <w:spacing w:line="235" w:lineRule="exact"/>
              <w:ind w:left="200"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2628" w:type="dxa"/>
            <w:tcBorders>
              <w:top w:val="nil" w:sz="6" w:space="0" w:color="auto"/>
              <w:left w:val="nil" w:sz="6" w:space="0" w:color="auto"/>
              <w:bottom w:val="nil" w:sz="6" w:space="0" w:color="auto"/>
              <w:right w:val="nil" w:sz="6" w:space="0" w:color="auto"/>
            </w:tcBorders>
          </w:tcPr>
          <w:p>
            <w:pPr>
              <w:pStyle w:val="TableParagraph"/>
              <w:spacing w:line="235" w:lineRule="exact"/>
              <w:ind w:right="368"/>
              <w:jc w:val="right"/>
              <w:rPr>
                <w:rFonts w:ascii="宋体" w:hAnsi="宋体" w:cs="宋体" w:eastAsia="宋体" w:hint="default"/>
                <w:sz w:val="21"/>
                <w:szCs w:val="21"/>
              </w:rPr>
            </w:pPr>
            <w:r>
              <w:rPr>
                <w:rFonts w:ascii="宋体"/>
                <w:spacing w:val="-1"/>
                <w:sz w:val="21"/>
              </w:rPr>
              <w:t>71,473,083</w:t>
            </w:r>
          </w:p>
        </w:tc>
        <w:tc>
          <w:tcPr>
            <w:tcW w:w="2254" w:type="dxa"/>
            <w:tcBorders>
              <w:top w:val="nil" w:sz="6" w:space="0" w:color="auto"/>
              <w:left w:val="nil" w:sz="6" w:space="0" w:color="auto"/>
              <w:bottom w:val="nil" w:sz="6" w:space="0" w:color="auto"/>
              <w:right w:val="nil" w:sz="6" w:space="0" w:color="auto"/>
            </w:tcBorders>
          </w:tcPr>
          <w:p>
            <w:pPr>
              <w:pStyle w:val="TableParagraph"/>
              <w:spacing w:line="235" w:lineRule="exact"/>
              <w:ind w:right="200"/>
              <w:jc w:val="right"/>
              <w:rPr>
                <w:rFonts w:ascii="宋体" w:hAnsi="宋体" w:cs="宋体" w:eastAsia="宋体" w:hint="default"/>
                <w:sz w:val="21"/>
                <w:szCs w:val="21"/>
              </w:rPr>
            </w:pPr>
            <w:r>
              <w:rPr>
                <w:rFonts w:ascii="宋体"/>
                <w:w w:val="100"/>
                <w:sz w:val="21"/>
              </w:rPr>
              <w:t>-</w:t>
            </w:r>
          </w:p>
        </w:tc>
      </w:tr>
      <w:tr>
        <w:trPr>
          <w:trHeight w:val="261" w:hRule="exact"/>
        </w:trPr>
        <w:tc>
          <w:tcPr>
            <w:tcW w:w="3404" w:type="dxa"/>
            <w:tcBorders>
              <w:top w:val="nil" w:sz="6" w:space="0" w:color="auto"/>
              <w:left w:val="nil" w:sz="6" w:space="0" w:color="auto"/>
              <w:bottom w:val="nil" w:sz="6" w:space="0" w:color="auto"/>
              <w:right w:val="nil" w:sz="6" w:space="0" w:color="auto"/>
            </w:tcBorders>
          </w:tcPr>
          <w:p>
            <w:pPr>
              <w:pStyle w:val="TableParagraph"/>
              <w:spacing w:line="235" w:lineRule="exact"/>
              <w:ind w:left="200"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2628" w:type="dxa"/>
            <w:tcBorders>
              <w:top w:val="nil" w:sz="6" w:space="0" w:color="auto"/>
              <w:left w:val="nil" w:sz="6" w:space="0" w:color="auto"/>
              <w:bottom w:val="nil" w:sz="6" w:space="0" w:color="auto"/>
              <w:right w:val="nil" w:sz="6" w:space="0" w:color="auto"/>
            </w:tcBorders>
          </w:tcPr>
          <w:p>
            <w:pPr>
              <w:pStyle w:val="TableParagraph"/>
              <w:spacing w:line="235" w:lineRule="exact"/>
              <w:ind w:right="368"/>
              <w:jc w:val="right"/>
              <w:rPr>
                <w:rFonts w:ascii="宋体" w:hAnsi="宋体" w:cs="宋体" w:eastAsia="宋体" w:hint="default"/>
                <w:sz w:val="21"/>
                <w:szCs w:val="21"/>
              </w:rPr>
            </w:pPr>
            <w:r>
              <w:rPr>
                <w:rFonts w:ascii="宋体"/>
                <w:spacing w:val="-1"/>
                <w:sz w:val="21"/>
              </w:rPr>
              <w:t>1,608,862,312</w:t>
            </w:r>
          </w:p>
        </w:tc>
        <w:tc>
          <w:tcPr>
            <w:tcW w:w="2254" w:type="dxa"/>
            <w:tcBorders>
              <w:top w:val="nil" w:sz="6" w:space="0" w:color="auto"/>
              <w:left w:val="nil" w:sz="6" w:space="0" w:color="auto"/>
              <w:bottom w:val="nil" w:sz="6" w:space="0" w:color="auto"/>
              <w:right w:val="nil" w:sz="6" w:space="0" w:color="auto"/>
            </w:tcBorders>
          </w:tcPr>
          <w:p>
            <w:pPr>
              <w:pStyle w:val="TableParagraph"/>
              <w:spacing w:line="235" w:lineRule="exact"/>
              <w:ind w:right="200"/>
              <w:jc w:val="right"/>
              <w:rPr>
                <w:rFonts w:ascii="宋体" w:hAnsi="宋体" w:cs="宋体" w:eastAsia="宋体" w:hint="default"/>
                <w:sz w:val="21"/>
                <w:szCs w:val="21"/>
              </w:rPr>
            </w:pPr>
            <w:r>
              <w:rPr>
                <w:rFonts w:ascii="宋体"/>
                <w:w w:val="100"/>
                <w:sz w:val="21"/>
              </w:rPr>
              <w:t>-</w:t>
            </w:r>
          </w:p>
        </w:tc>
      </w:tr>
      <w:tr>
        <w:trPr>
          <w:trHeight w:val="261" w:hRule="exact"/>
        </w:trPr>
        <w:tc>
          <w:tcPr>
            <w:tcW w:w="3404" w:type="dxa"/>
            <w:tcBorders>
              <w:top w:val="nil" w:sz="6" w:space="0" w:color="auto"/>
              <w:left w:val="nil" w:sz="6" w:space="0" w:color="auto"/>
              <w:bottom w:val="nil" w:sz="6" w:space="0" w:color="auto"/>
              <w:right w:val="nil" w:sz="6" w:space="0" w:color="auto"/>
            </w:tcBorders>
          </w:tcPr>
          <w:p>
            <w:pPr>
              <w:pStyle w:val="TableParagraph"/>
              <w:spacing w:line="237" w:lineRule="exact"/>
              <w:ind w:left="200"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2628" w:type="dxa"/>
            <w:tcBorders>
              <w:top w:val="nil" w:sz="6" w:space="0" w:color="auto"/>
              <w:left w:val="nil" w:sz="6" w:space="0" w:color="auto"/>
              <w:bottom w:val="nil" w:sz="6" w:space="0" w:color="auto"/>
              <w:right w:val="nil" w:sz="6" w:space="0" w:color="auto"/>
            </w:tcBorders>
          </w:tcPr>
          <w:p>
            <w:pPr>
              <w:pStyle w:val="TableParagraph"/>
              <w:spacing w:line="237" w:lineRule="exact"/>
              <w:ind w:right="368"/>
              <w:jc w:val="right"/>
              <w:rPr>
                <w:rFonts w:ascii="宋体" w:hAnsi="宋体" w:cs="宋体" w:eastAsia="宋体" w:hint="default"/>
                <w:sz w:val="21"/>
                <w:szCs w:val="21"/>
              </w:rPr>
            </w:pPr>
            <w:r>
              <w:rPr>
                <w:rFonts w:ascii="宋体"/>
                <w:spacing w:val="-1"/>
                <w:sz w:val="21"/>
              </w:rPr>
              <w:t>8,067,682</w:t>
            </w:r>
          </w:p>
        </w:tc>
        <w:tc>
          <w:tcPr>
            <w:tcW w:w="2254" w:type="dxa"/>
            <w:tcBorders>
              <w:top w:val="nil" w:sz="6" w:space="0" w:color="auto"/>
              <w:left w:val="nil" w:sz="6" w:space="0" w:color="auto"/>
              <w:bottom w:val="nil" w:sz="6" w:space="0" w:color="auto"/>
              <w:right w:val="nil" w:sz="6" w:space="0" w:color="auto"/>
            </w:tcBorders>
          </w:tcPr>
          <w:p>
            <w:pPr>
              <w:pStyle w:val="TableParagraph"/>
              <w:spacing w:line="237" w:lineRule="exact"/>
              <w:ind w:right="200"/>
              <w:jc w:val="right"/>
              <w:rPr>
                <w:rFonts w:ascii="宋体" w:hAnsi="宋体" w:cs="宋体" w:eastAsia="宋体" w:hint="default"/>
                <w:sz w:val="21"/>
                <w:szCs w:val="21"/>
              </w:rPr>
            </w:pPr>
            <w:r>
              <w:rPr>
                <w:rFonts w:ascii="宋体"/>
                <w:w w:val="100"/>
                <w:sz w:val="21"/>
              </w:rPr>
              <w:t>-</w:t>
            </w:r>
          </w:p>
        </w:tc>
      </w:tr>
      <w:tr>
        <w:trPr>
          <w:trHeight w:val="259" w:hRule="exact"/>
        </w:trPr>
        <w:tc>
          <w:tcPr>
            <w:tcW w:w="3404" w:type="dxa"/>
            <w:tcBorders>
              <w:top w:val="nil" w:sz="6" w:space="0" w:color="auto"/>
              <w:left w:val="nil" w:sz="6" w:space="0" w:color="auto"/>
              <w:bottom w:val="nil" w:sz="6" w:space="0" w:color="auto"/>
              <w:right w:val="nil" w:sz="6" w:space="0" w:color="auto"/>
            </w:tcBorders>
          </w:tcPr>
          <w:p>
            <w:pPr>
              <w:pStyle w:val="TableParagraph"/>
              <w:spacing w:line="235" w:lineRule="exact"/>
              <w:ind w:left="200"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2628" w:type="dxa"/>
            <w:tcBorders>
              <w:top w:val="nil" w:sz="6" w:space="0" w:color="auto"/>
              <w:left w:val="nil" w:sz="6" w:space="0" w:color="auto"/>
              <w:bottom w:val="nil" w:sz="6" w:space="0" w:color="auto"/>
              <w:right w:val="nil" w:sz="6" w:space="0" w:color="auto"/>
            </w:tcBorders>
          </w:tcPr>
          <w:p>
            <w:pPr>
              <w:pStyle w:val="TableParagraph"/>
              <w:spacing w:line="235" w:lineRule="exact"/>
              <w:ind w:right="368"/>
              <w:jc w:val="right"/>
              <w:rPr>
                <w:rFonts w:ascii="宋体" w:hAnsi="宋体" w:cs="宋体" w:eastAsia="宋体" w:hint="default"/>
                <w:sz w:val="21"/>
                <w:szCs w:val="21"/>
              </w:rPr>
            </w:pPr>
            <w:r>
              <w:rPr>
                <w:rFonts w:ascii="宋体"/>
                <w:spacing w:val="-1"/>
                <w:sz w:val="21"/>
              </w:rPr>
              <w:t>131,457,956</w:t>
            </w:r>
          </w:p>
        </w:tc>
        <w:tc>
          <w:tcPr>
            <w:tcW w:w="2254" w:type="dxa"/>
            <w:tcBorders>
              <w:top w:val="nil" w:sz="6" w:space="0" w:color="auto"/>
              <w:left w:val="nil" w:sz="6" w:space="0" w:color="auto"/>
              <w:bottom w:val="nil" w:sz="6" w:space="0" w:color="auto"/>
              <w:right w:val="nil" w:sz="6" w:space="0" w:color="auto"/>
            </w:tcBorders>
          </w:tcPr>
          <w:p>
            <w:pPr>
              <w:pStyle w:val="TableParagraph"/>
              <w:spacing w:line="235" w:lineRule="exact"/>
              <w:ind w:right="200"/>
              <w:jc w:val="right"/>
              <w:rPr>
                <w:rFonts w:ascii="宋体" w:hAnsi="宋体" w:cs="宋体" w:eastAsia="宋体" w:hint="default"/>
                <w:sz w:val="21"/>
                <w:szCs w:val="21"/>
              </w:rPr>
            </w:pPr>
            <w:r>
              <w:rPr>
                <w:rFonts w:ascii="宋体"/>
                <w:w w:val="100"/>
                <w:sz w:val="21"/>
              </w:rPr>
              <w:t>-</w:t>
            </w:r>
          </w:p>
        </w:tc>
      </w:tr>
      <w:tr>
        <w:trPr>
          <w:trHeight w:val="269" w:hRule="exact"/>
        </w:trPr>
        <w:tc>
          <w:tcPr>
            <w:tcW w:w="3404" w:type="dxa"/>
            <w:tcBorders>
              <w:top w:val="nil" w:sz="6" w:space="0" w:color="auto"/>
              <w:left w:val="nil" w:sz="6" w:space="0" w:color="auto"/>
              <w:bottom w:val="nil" w:sz="6" w:space="0" w:color="auto"/>
              <w:right w:val="nil" w:sz="6" w:space="0" w:color="auto"/>
            </w:tcBorders>
          </w:tcPr>
          <w:p>
            <w:pPr>
              <w:pStyle w:val="TableParagraph"/>
              <w:spacing w:line="235" w:lineRule="exact"/>
              <w:ind w:left="200" w:right="0"/>
              <w:jc w:val="left"/>
              <w:rPr>
                <w:rFonts w:ascii="宋体" w:hAnsi="宋体" w:cs="宋体" w:eastAsia="宋体" w:hint="default"/>
                <w:sz w:val="21"/>
                <w:szCs w:val="21"/>
              </w:rPr>
            </w:pPr>
            <w:r>
              <w:rPr>
                <w:rFonts w:ascii="宋体" w:hAnsi="宋体" w:cs="宋体" w:eastAsia="宋体" w:hint="default"/>
                <w:sz w:val="21"/>
                <w:szCs w:val="21"/>
              </w:rPr>
              <w:t>其他流动资产</w:t>
            </w:r>
            <w:r>
              <w:rPr>
                <w:rFonts w:ascii="宋体" w:hAnsi="宋体" w:cs="宋体" w:eastAsia="宋体" w:hint="default"/>
                <w:sz w:val="21"/>
                <w:szCs w:val="21"/>
              </w:rPr>
              <w:t>(</w:t>
            </w:r>
            <w:r>
              <w:rPr>
                <w:rFonts w:ascii="宋体" w:hAnsi="宋体" w:cs="宋体" w:eastAsia="宋体" w:hint="default"/>
                <w:sz w:val="21"/>
                <w:szCs w:val="21"/>
              </w:rPr>
              <w:t>理财产品</w:t>
            </w:r>
            <w:r>
              <w:rPr>
                <w:rFonts w:ascii="宋体" w:hAnsi="宋体" w:cs="宋体" w:eastAsia="宋体" w:hint="default"/>
                <w:sz w:val="21"/>
                <w:szCs w:val="21"/>
              </w:rPr>
              <w:t>)</w:t>
            </w:r>
          </w:p>
        </w:tc>
        <w:tc>
          <w:tcPr>
            <w:tcW w:w="2628" w:type="dxa"/>
            <w:tcBorders>
              <w:top w:val="nil" w:sz="6" w:space="0" w:color="auto"/>
              <w:left w:val="nil" w:sz="6" w:space="0" w:color="auto"/>
              <w:bottom w:val="nil" w:sz="6" w:space="0" w:color="auto"/>
              <w:right w:val="nil" w:sz="6" w:space="0" w:color="auto"/>
            </w:tcBorders>
          </w:tcPr>
          <w:p>
            <w:pPr>
              <w:pStyle w:val="TableParagraph"/>
              <w:spacing w:line="245" w:lineRule="exact"/>
              <w:ind w:right="371"/>
              <w:jc w:val="right"/>
              <w:rPr>
                <w:rFonts w:ascii="宋体" w:hAnsi="宋体" w:cs="宋体" w:eastAsia="宋体" w:hint="default"/>
                <w:sz w:val="21"/>
                <w:szCs w:val="21"/>
              </w:rPr>
            </w:pPr>
            <w:r>
              <w:rPr>
                <w:rFonts w:ascii="宋体"/>
                <w:w w:val="100"/>
                <w:sz w:val="21"/>
              </w:rPr>
              <w:t>-</w:t>
            </w:r>
          </w:p>
        </w:tc>
        <w:tc>
          <w:tcPr>
            <w:tcW w:w="2254" w:type="dxa"/>
            <w:tcBorders>
              <w:top w:val="nil" w:sz="6" w:space="0" w:color="auto"/>
              <w:left w:val="nil" w:sz="6" w:space="0" w:color="auto"/>
              <w:bottom w:val="nil" w:sz="6" w:space="0" w:color="auto"/>
              <w:right w:val="nil" w:sz="6" w:space="0" w:color="auto"/>
            </w:tcBorders>
          </w:tcPr>
          <w:p>
            <w:pPr>
              <w:pStyle w:val="TableParagraph"/>
              <w:spacing w:line="245" w:lineRule="exact"/>
              <w:ind w:right="198"/>
              <w:jc w:val="right"/>
              <w:rPr>
                <w:rFonts w:ascii="宋体" w:hAnsi="宋体" w:cs="宋体" w:eastAsia="宋体" w:hint="default"/>
                <w:sz w:val="21"/>
                <w:szCs w:val="21"/>
              </w:rPr>
            </w:pPr>
            <w:r>
              <w:rPr>
                <w:rFonts w:ascii="宋体"/>
                <w:spacing w:val="-1"/>
                <w:sz w:val="21"/>
              </w:rPr>
              <w:t>706,981,694</w:t>
            </w:r>
          </w:p>
        </w:tc>
      </w:tr>
      <w:tr>
        <w:trPr>
          <w:trHeight w:val="401" w:hRule="exact"/>
        </w:trPr>
        <w:tc>
          <w:tcPr>
            <w:tcW w:w="3404" w:type="dxa"/>
            <w:tcBorders>
              <w:top w:val="nil" w:sz="6" w:space="0" w:color="auto"/>
              <w:left w:val="nil" w:sz="6" w:space="0" w:color="auto"/>
              <w:bottom w:val="nil" w:sz="6" w:space="0" w:color="auto"/>
              <w:right w:val="nil" w:sz="6" w:space="0" w:color="auto"/>
            </w:tcBorders>
          </w:tcPr>
          <w:p>
            <w:pPr>
              <w:pStyle w:val="TableParagraph"/>
              <w:spacing w:line="235" w:lineRule="exact"/>
              <w:ind w:left="200"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2628" w:type="dxa"/>
            <w:tcBorders>
              <w:top w:val="nil" w:sz="6" w:space="0" w:color="auto"/>
              <w:left w:val="nil" w:sz="6" w:space="0" w:color="auto"/>
              <w:bottom w:val="nil" w:sz="6" w:space="0" w:color="auto"/>
              <w:right w:val="nil" w:sz="6" w:space="0" w:color="auto"/>
            </w:tcBorders>
          </w:tcPr>
          <w:p>
            <w:pPr>
              <w:pStyle w:val="TableParagraph"/>
              <w:tabs>
                <w:tab w:pos="1262" w:val="left" w:leader="none"/>
              </w:tabs>
              <w:spacing w:line="242" w:lineRule="exact"/>
              <w:ind w:right="368"/>
              <w:jc w:val="right"/>
              <w:rPr>
                <w:rFonts w:ascii="宋体" w:hAnsi="宋体" w:cs="宋体" w:eastAsia="宋体" w:hint="default"/>
                <w:sz w:val="21"/>
                <w:szCs w:val="21"/>
              </w:rPr>
            </w:pPr>
            <w:r>
              <w:rPr>
                <w:rFonts w:ascii="宋体"/>
                <w:w w:val="100"/>
                <w:sz w:val="21"/>
              </w:rPr>
            </w:r>
            <w:r>
              <w:rPr>
                <w:rFonts w:ascii="宋体"/>
                <w:w w:val="100"/>
                <w:sz w:val="21"/>
                <w:u w:val="single" w:color="000000"/>
              </w:rPr>
              <w:t> </w:t>
            </w:r>
            <w:r>
              <w:rPr>
                <w:rFonts w:ascii="宋体"/>
                <w:sz w:val="21"/>
                <w:u w:val="single" w:color="000000"/>
              </w:rPr>
              <w:tab/>
              <w:t>-</w:t>
            </w:r>
            <w:r>
              <w:rPr>
                <w:rFonts w:ascii="宋体"/>
                <w:sz w:val="21"/>
              </w:rPr>
            </w:r>
          </w:p>
        </w:tc>
        <w:tc>
          <w:tcPr>
            <w:tcW w:w="2254" w:type="dxa"/>
            <w:tcBorders>
              <w:top w:val="nil" w:sz="6" w:space="0" w:color="auto"/>
              <w:left w:val="nil" w:sz="6" w:space="0" w:color="auto"/>
              <w:bottom w:val="nil" w:sz="6" w:space="0" w:color="auto"/>
              <w:right w:val="nil" w:sz="6" w:space="0" w:color="auto"/>
            </w:tcBorders>
          </w:tcPr>
          <w:p>
            <w:pPr>
              <w:pStyle w:val="TableParagraph"/>
              <w:spacing w:line="242" w:lineRule="exact"/>
              <w:ind w:right="198"/>
              <w:jc w:val="right"/>
              <w:rPr>
                <w:rFonts w:ascii="宋体" w:hAnsi="宋体" w:cs="宋体" w:eastAsia="宋体" w:hint="default"/>
                <w:sz w:val="21"/>
                <w:szCs w:val="21"/>
              </w:rPr>
            </w:pPr>
            <w:r>
              <w:rPr>
                <w:rFonts w:ascii="宋体"/>
                <w:w w:val="100"/>
                <w:sz w:val="21"/>
              </w:rPr>
            </w:r>
            <w:r>
              <w:rPr>
                <w:rFonts w:ascii="宋体"/>
                <w:w w:val="100"/>
                <w:sz w:val="21"/>
                <w:u w:val="single" w:color="000000"/>
              </w:rPr>
              <w:t> </w:t>
            </w:r>
            <w:r>
              <w:rPr>
                <w:rFonts w:ascii="宋体"/>
                <w:sz w:val="21"/>
                <w:u w:val="single" w:color="000000"/>
              </w:rPr>
              <w:t> </w:t>
            </w:r>
            <w:r>
              <w:rPr>
                <w:rFonts w:ascii="宋体"/>
                <w:spacing w:val="-1"/>
                <w:sz w:val="21"/>
                <w:u w:val="single" w:color="000000"/>
              </w:rPr>
              <w:t>466,921,112</w:t>
            </w:r>
            <w:r>
              <w:rPr>
                <w:rFonts w:ascii="宋体"/>
                <w:spacing w:val="-1"/>
                <w:sz w:val="21"/>
              </w:rPr>
            </w:r>
          </w:p>
        </w:tc>
      </w:tr>
      <w:tr>
        <w:trPr>
          <w:trHeight w:val="370" w:hRule="exact"/>
        </w:trPr>
        <w:tc>
          <w:tcPr>
            <w:tcW w:w="3404" w:type="dxa"/>
            <w:tcBorders>
              <w:top w:val="nil" w:sz="6" w:space="0" w:color="auto"/>
              <w:left w:val="nil" w:sz="6" w:space="0" w:color="auto"/>
              <w:bottom w:val="nil" w:sz="6" w:space="0" w:color="auto"/>
              <w:right w:val="nil" w:sz="6" w:space="0" w:color="auto"/>
            </w:tcBorders>
          </w:tcPr>
          <w:p>
            <w:pPr/>
          </w:p>
        </w:tc>
        <w:tc>
          <w:tcPr>
            <w:tcW w:w="262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68"/>
              <w:jc w:val="right"/>
              <w:rPr>
                <w:rFonts w:ascii="宋体" w:hAnsi="宋体" w:cs="宋体" w:eastAsia="宋体" w:hint="default"/>
                <w:sz w:val="21"/>
                <w:szCs w:val="21"/>
              </w:rPr>
            </w:pPr>
            <w:r>
              <w:rPr>
                <w:rFonts w:ascii="宋体"/>
                <w:w w:val="100"/>
                <w:sz w:val="21"/>
              </w:rPr>
            </w:r>
            <w:r>
              <w:rPr>
                <w:rFonts w:ascii="宋体"/>
                <w:spacing w:val="-1"/>
                <w:sz w:val="21"/>
                <w:u w:val="thick" w:color="000000"/>
              </w:rPr>
              <w:t>6,365.850,321</w:t>
            </w:r>
            <w:r>
              <w:rPr>
                <w:rFonts w:ascii="宋体"/>
                <w:spacing w:val="-1"/>
                <w:sz w:val="21"/>
              </w:rPr>
            </w:r>
          </w:p>
        </w:tc>
        <w:tc>
          <w:tcPr>
            <w:tcW w:w="2254"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98"/>
              <w:jc w:val="right"/>
              <w:rPr>
                <w:rFonts w:ascii="宋体" w:hAnsi="宋体" w:cs="宋体" w:eastAsia="宋体" w:hint="default"/>
                <w:sz w:val="21"/>
                <w:szCs w:val="21"/>
              </w:rPr>
            </w:pPr>
            <w:r>
              <w:rPr>
                <w:rFonts w:ascii="宋体"/>
                <w:w w:val="100"/>
                <w:sz w:val="21"/>
              </w:rPr>
            </w:r>
            <w:r>
              <w:rPr>
                <w:rFonts w:ascii="宋体"/>
                <w:spacing w:val="-1"/>
                <w:sz w:val="21"/>
                <w:u w:val="thick" w:color="000000"/>
              </w:rPr>
              <w:t>1,173,902,806</w:t>
            </w:r>
            <w:r>
              <w:rPr>
                <w:rFonts w:ascii="宋体"/>
                <w:spacing w:val="-1"/>
                <w:sz w:val="21"/>
              </w:rPr>
            </w:r>
          </w:p>
        </w:tc>
      </w:tr>
    </w:tbl>
    <w:p>
      <w:pPr>
        <w:spacing w:line="240" w:lineRule="auto" w:before="12"/>
        <w:rPr>
          <w:rFonts w:ascii="宋体" w:hAnsi="宋体" w:cs="宋体" w:eastAsia="宋体" w:hint="default"/>
          <w:sz w:val="16"/>
          <w:szCs w:val="16"/>
        </w:rPr>
      </w:pPr>
    </w:p>
    <w:p>
      <w:pPr>
        <w:pStyle w:val="BodyText"/>
        <w:spacing w:line="240" w:lineRule="auto" w:before="36"/>
        <w:ind w:left="754" w:right="0"/>
        <w:jc w:val="left"/>
      </w:pPr>
      <w:r>
        <w:rPr/>
        <w:t>金融负债</w:t>
      </w:r>
      <w:r>
        <w:rPr>
          <w:rFonts w:ascii="宋体" w:hAnsi="宋体" w:cs="宋体" w:eastAsia="宋体" w:hint="default"/>
        </w:rPr>
        <w:t>-</w:t>
      </w:r>
      <w:r>
        <w:rPr/>
        <w:t>其他金融负债</w:t>
      </w:r>
    </w:p>
    <w:p>
      <w:pPr>
        <w:spacing w:line="240" w:lineRule="auto" w:before="0"/>
        <w:rPr>
          <w:rFonts w:ascii="宋体" w:hAnsi="宋体" w:cs="宋体" w:eastAsia="宋体" w:hint="default"/>
          <w:sz w:val="22"/>
          <w:szCs w:val="22"/>
        </w:rPr>
      </w:pPr>
    </w:p>
    <w:tbl>
      <w:tblPr>
        <w:tblW w:w="0" w:type="auto"/>
        <w:jc w:val="left"/>
        <w:tblInd w:w="502" w:type="dxa"/>
        <w:tblLayout w:type="fixed"/>
        <w:tblCellMar>
          <w:top w:w="0" w:type="dxa"/>
          <w:left w:w="0" w:type="dxa"/>
          <w:bottom w:w="0" w:type="dxa"/>
          <w:right w:w="0" w:type="dxa"/>
        </w:tblCellMar>
        <w:tblLook w:val="01E0"/>
      </w:tblPr>
      <w:tblGrid>
        <w:gridCol w:w="3533"/>
        <w:gridCol w:w="2542"/>
        <w:gridCol w:w="2247"/>
      </w:tblGrid>
      <w:tr>
        <w:trPr>
          <w:trHeight w:val="366" w:hRule="exact"/>
        </w:trPr>
        <w:tc>
          <w:tcPr>
            <w:tcW w:w="3533" w:type="dxa"/>
            <w:tcBorders>
              <w:top w:val="nil" w:sz="6" w:space="0" w:color="auto"/>
              <w:left w:val="nil" w:sz="6" w:space="0" w:color="auto"/>
              <w:bottom w:val="nil" w:sz="6" w:space="0" w:color="auto"/>
              <w:right w:val="nil" w:sz="6" w:space="0" w:color="auto"/>
            </w:tcBorders>
          </w:tcPr>
          <w:p>
            <w:pPr/>
          </w:p>
        </w:tc>
        <w:tc>
          <w:tcPr>
            <w:tcW w:w="2542" w:type="dxa"/>
            <w:tcBorders>
              <w:top w:val="nil" w:sz="6" w:space="0" w:color="auto"/>
              <w:left w:val="nil" w:sz="6" w:space="0" w:color="auto"/>
              <w:bottom w:val="nil" w:sz="6" w:space="0" w:color="auto"/>
              <w:right w:val="nil" w:sz="6" w:space="0" w:color="auto"/>
            </w:tcBorders>
          </w:tcPr>
          <w:p>
            <w:pPr>
              <w:pStyle w:val="TableParagraph"/>
              <w:spacing w:line="211" w:lineRule="exact"/>
              <w:ind w:right="570"/>
              <w:jc w:val="right"/>
              <w:rPr>
                <w:rFonts w:ascii="宋体" w:hAnsi="宋体" w:cs="宋体" w:eastAsia="宋体" w:hint="default"/>
                <w:sz w:val="21"/>
                <w:szCs w:val="21"/>
              </w:rPr>
            </w:pPr>
            <w:r>
              <w:rPr>
                <w:rFonts w:ascii="宋体" w:hAnsi="宋体" w:cs="宋体" w:eastAsia="宋体" w:hint="default"/>
                <w:spacing w:val="-1"/>
                <w:sz w:val="21"/>
                <w:szCs w:val="21"/>
              </w:rPr>
              <w:t>2017</w:t>
            </w:r>
            <w:r>
              <w:rPr>
                <w:rFonts w:ascii="宋体" w:hAnsi="宋体" w:cs="宋体" w:eastAsia="宋体" w:hint="default"/>
                <w:spacing w:val="-1"/>
                <w:sz w:val="21"/>
                <w:szCs w:val="21"/>
              </w:rPr>
              <w:t>年</w:t>
            </w:r>
            <w:r>
              <w:rPr>
                <w:rFonts w:ascii="宋体" w:hAnsi="宋体" w:cs="宋体" w:eastAsia="宋体" w:hint="default"/>
                <w:spacing w:val="-1"/>
                <w:sz w:val="21"/>
                <w:szCs w:val="21"/>
              </w:rPr>
              <w:t>12</w:t>
            </w:r>
            <w:r>
              <w:rPr>
                <w:rFonts w:ascii="宋体" w:hAnsi="宋体" w:cs="宋体" w:eastAsia="宋体" w:hint="default"/>
                <w:spacing w:val="-1"/>
                <w:sz w:val="21"/>
                <w:szCs w:val="21"/>
              </w:rPr>
              <w:t>月</w:t>
            </w:r>
            <w:r>
              <w:rPr>
                <w:rFonts w:ascii="宋体" w:hAnsi="宋体" w:cs="宋体" w:eastAsia="宋体" w:hint="default"/>
                <w:spacing w:val="-1"/>
                <w:sz w:val="21"/>
                <w:szCs w:val="21"/>
              </w:rPr>
              <w:t>31</w:t>
            </w:r>
            <w:r>
              <w:rPr>
                <w:rFonts w:ascii="宋体" w:hAnsi="宋体" w:cs="宋体" w:eastAsia="宋体" w:hint="default"/>
                <w:spacing w:val="-1"/>
                <w:sz w:val="21"/>
                <w:szCs w:val="21"/>
              </w:rPr>
              <w:t>日</w:t>
            </w:r>
          </w:p>
        </w:tc>
        <w:tc>
          <w:tcPr>
            <w:tcW w:w="2247" w:type="dxa"/>
            <w:tcBorders>
              <w:top w:val="nil" w:sz="6" w:space="0" w:color="auto"/>
              <w:left w:val="nil" w:sz="6" w:space="0" w:color="auto"/>
              <w:bottom w:val="nil" w:sz="6" w:space="0" w:color="auto"/>
              <w:right w:val="nil" w:sz="6" w:space="0" w:color="auto"/>
            </w:tcBorders>
          </w:tcPr>
          <w:p>
            <w:pPr>
              <w:pStyle w:val="TableParagraph"/>
              <w:spacing w:line="211" w:lineRule="exact"/>
              <w:ind w:right="205"/>
              <w:jc w:val="right"/>
              <w:rPr>
                <w:rFonts w:ascii="宋体" w:hAnsi="宋体" w:cs="宋体" w:eastAsia="宋体" w:hint="default"/>
                <w:sz w:val="21"/>
                <w:szCs w:val="21"/>
              </w:rPr>
            </w:pPr>
            <w:r>
              <w:rPr>
                <w:rFonts w:ascii="宋体" w:hAnsi="宋体" w:cs="宋体" w:eastAsia="宋体" w:hint="default"/>
                <w:spacing w:val="-1"/>
                <w:sz w:val="21"/>
                <w:szCs w:val="21"/>
              </w:rPr>
              <w:t>2016</w:t>
            </w:r>
            <w:r>
              <w:rPr>
                <w:rFonts w:ascii="宋体" w:hAnsi="宋体" w:cs="宋体" w:eastAsia="宋体" w:hint="default"/>
                <w:spacing w:val="-1"/>
                <w:sz w:val="21"/>
                <w:szCs w:val="21"/>
              </w:rPr>
              <w:t>年</w:t>
            </w:r>
            <w:r>
              <w:rPr>
                <w:rFonts w:ascii="宋体" w:hAnsi="宋体" w:cs="宋体" w:eastAsia="宋体" w:hint="default"/>
                <w:spacing w:val="-1"/>
                <w:sz w:val="21"/>
                <w:szCs w:val="21"/>
              </w:rPr>
              <w:t>12</w:t>
            </w:r>
            <w:r>
              <w:rPr>
                <w:rFonts w:ascii="宋体" w:hAnsi="宋体" w:cs="宋体" w:eastAsia="宋体" w:hint="default"/>
                <w:spacing w:val="-1"/>
                <w:sz w:val="21"/>
                <w:szCs w:val="21"/>
              </w:rPr>
              <w:t>月</w:t>
            </w:r>
            <w:r>
              <w:rPr>
                <w:rFonts w:ascii="宋体" w:hAnsi="宋体" w:cs="宋体" w:eastAsia="宋体" w:hint="default"/>
                <w:spacing w:val="-1"/>
                <w:sz w:val="21"/>
                <w:szCs w:val="21"/>
              </w:rPr>
              <w:t>31</w:t>
            </w:r>
            <w:r>
              <w:rPr>
                <w:rFonts w:ascii="宋体" w:hAnsi="宋体" w:cs="宋体" w:eastAsia="宋体" w:hint="default"/>
                <w:spacing w:val="-1"/>
                <w:sz w:val="21"/>
                <w:szCs w:val="21"/>
              </w:rPr>
              <w:t>日</w:t>
            </w:r>
          </w:p>
        </w:tc>
      </w:tr>
      <w:tr>
        <w:trPr>
          <w:trHeight w:val="390" w:hRule="exact"/>
        </w:trPr>
        <w:tc>
          <w:tcPr>
            <w:tcW w:w="3533" w:type="dxa"/>
            <w:tcBorders>
              <w:top w:val="nil" w:sz="6" w:space="0" w:color="auto"/>
              <w:left w:val="nil" w:sz="6" w:space="0" w:color="auto"/>
              <w:bottom w:val="nil" w:sz="6" w:space="0" w:color="auto"/>
              <w:right w:val="nil" w:sz="6" w:space="0" w:color="auto"/>
            </w:tcBorders>
          </w:tcPr>
          <w:p>
            <w:pPr>
              <w:pStyle w:val="TableParagraph"/>
              <w:spacing w:line="240" w:lineRule="auto" w:before="91"/>
              <w:ind w:left="200"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570"/>
              <w:jc w:val="right"/>
              <w:rPr>
                <w:rFonts w:ascii="宋体" w:hAnsi="宋体" w:cs="宋体" w:eastAsia="宋体" w:hint="default"/>
                <w:sz w:val="21"/>
                <w:szCs w:val="21"/>
              </w:rPr>
            </w:pPr>
            <w:r>
              <w:rPr>
                <w:rFonts w:ascii="宋体"/>
                <w:spacing w:val="-1"/>
                <w:sz w:val="21"/>
              </w:rPr>
              <w:t>3,450,000,000</w:t>
            </w:r>
          </w:p>
        </w:tc>
        <w:tc>
          <w:tcPr>
            <w:tcW w:w="2247"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05"/>
              <w:jc w:val="right"/>
              <w:rPr>
                <w:rFonts w:ascii="宋体" w:hAnsi="宋体" w:cs="宋体" w:eastAsia="宋体" w:hint="default"/>
                <w:sz w:val="21"/>
                <w:szCs w:val="21"/>
              </w:rPr>
            </w:pPr>
            <w:r>
              <w:rPr>
                <w:rFonts w:ascii="宋体"/>
                <w:spacing w:val="-1"/>
                <w:sz w:val="21"/>
              </w:rPr>
              <w:t>2,352,342,112</w:t>
            </w:r>
          </w:p>
        </w:tc>
      </w:tr>
      <w:tr>
        <w:trPr>
          <w:trHeight w:val="261" w:hRule="exact"/>
        </w:trPr>
        <w:tc>
          <w:tcPr>
            <w:tcW w:w="3533" w:type="dxa"/>
            <w:tcBorders>
              <w:top w:val="nil" w:sz="6" w:space="0" w:color="auto"/>
              <w:left w:val="nil" w:sz="6" w:space="0" w:color="auto"/>
              <w:bottom w:val="nil" w:sz="6" w:space="0" w:color="auto"/>
              <w:right w:val="nil" w:sz="6" w:space="0" w:color="auto"/>
            </w:tcBorders>
          </w:tcPr>
          <w:p>
            <w:pPr>
              <w:pStyle w:val="TableParagraph"/>
              <w:spacing w:line="235" w:lineRule="exact"/>
              <w:ind w:left="200"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2542" w:type="dxa"/>
            <w:tcBorders>
              <w:top w:val="nil" w:sz="6" w:space="0" w:color="auto"/>
              <w:left w:val="nil" w:sz="6" w:space="0" w:color="auto"/>
              <w:bottom w:val="nil" w:sz="6" w:space="0" w:color="auto"/>
              <w:right w:val="nil" w:sz="6" w:space="0" w:color="auto"/>
            </w:tcBorders>
          </w:tcPr>
          <w:p>
            <w:pPr>
              <w:pStyle w:val="TableParagraph"/>
              <w:spacing w:line="235" w:lineRule="exact"/>
              <w:ind w:right="570"/>
              <w:jc w:val="right"/>
              <w:rPr>
                <w:rFonts w:ascii="宋体" w:hAnsi="宋体" w:cs="宋体" w:eastAsia="宋体" w:hint="default"/>
                <w:sz w:val="21"/>
                <w:szCs w:val="21"/>
              </w:rPr>
            </w:pPr>
            <w:r>
              <w:rPr>
                <w:rFonts w:ascii="宋体"/>
                <w:spacing w:val="-1"/>
                <w:sz w:val="21"/>
              </w:rPr>
              <w:t>452,912,908</w:t>
            </w:r>
          </w:p>
        </w:tc>
        <w:tc>
          <w:tcPr>
            <w:tcW w:w="2247" w:type="dxa"/>
            <w:tcBorders>
              <w:top w:val="nil" w:sz="6" w:space="0" w:color="auto"/>
              <w:left w:val="nil" w:sz="6" w:space="0" w:color="auto"/>
              <w:bottom w:val="nil" w:sz="6" w:space="0" w:color="auto"/>
              <w:right w:val="nil" w:sz="6" w:space="0" w:color="auto"/>
            </w:tcBorders>
          </w:tcPr>
          <w:p>
            <w:pPr>
              <w:pStyle w:val="TableParagraph"/>
              <w:spacing w:line="235" w:lineRule="exact"/>
              <w:ind w:right="205"/>
              <w:jc w:val="right"/>
              <w:rPr>
                <w:rFonts w:ascii="宋体" w:hAnsi="宋体" w:cs="宋体" w:eastAsia="宋体" w:hint="default"/>
                <w:sz w:val="21"/>
                <w:szCs w:val="21"/>
              </w:rPr>
            </w:pPr>
            <w:r>
              <w:rPr>
                <w:rFonts w:ascii="宋体"/>
                <w:spacing w:val="-1"/>
                <w:sz w:val="21"/>
              </w:rPr>
              <w:t>436,007,797</w:t>
            </w:r>
          </w:p>
        </w:tc>
      </w:tr>
      <w:tr>
        <w:trPr>
          <w:trHeight w:val="260" w:hRule="exact"/>
        </w:trPr>
        <w:tc>
          <w:tcPr>
            <w:tcW w:w="3533" w:type="dxa"/>
            <w:tcBorders>
              <w:top w:val="nil" w:sz="6" w:space="0" w:color="auto"/>
              <w:left w:val="nil" w:sz="6" w:space="0" w:color="auto"/>
              <w:bottom w:val="nil" w:sz="6" w:space="0" w:color="auto"/>
              <w:right w:val="nil" w:sz="6" w:space="0" w:color="auto"/>
            </w:tcBorders>
          </w:tcPr>
          <w:p>
            <w:pPr>
              <w:pStyle w:val="TableParagraph"/>
              <w:spacing w:line="236" w:lineRule="exact"/>
              <w:ind w:left="200"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2542" w:type="dxa"/>
            <w:tcBorders>
              <w:top w:val="nil" w:sz="6" w:space="0" w:color="auto"/>
              <w:left w:val="nil" w:sz="6" w:space="0" w:color="auto"/>
              <w:bottom w:val="nil" w:sz="6" w:space="0" w:color="auto"/>
              <w:right w:val="nil" w:sz="6" w:space="0" w:color="auto"/>
            </w:tcBorders>
          </w:tcPr>
          <w:p>
            <w:pPr>
              <w:pStyle w:val="TableParagraph"/>
              <w:spacing w:line="236" w:lineRule="exact"/>
              <w:ind w:right="570"/>
              <w:jc w:val="right"/>
              <w:rPr>
                <w:rFonts w:ascii="宋体" w:hAnsi="宋体" w:cs="宋体" w:eastAsia="宋体" w:hint="default"/>
                <w:sz w:val="21"/>
                <w:szCs w:val="21"/>
              </w:rPr>
            </w:pPr>
            <w:r>
              <w:rPr>
                <w:rFonts w:ascii="宋体"/>
                <w:spacing w:val="-1"/>
                <w:sz w:val="21"/>
              </w:rPr>
              <w:t>644,927,547</w:t>
            </w:r>
          </w:p>
        </w:tc>
        <w:tc>
          <w:tcPr>
            <w:tcW w:w="2247" w:type="dxa"/>
            <w:tcBorders>
              <w:top w:val="nil" w:sz="6" w:space="0" w:color="auto"/>
              <w:left w:val="nil" w:sz="6" w:space="0" w:color="auto"/>
              <w:bottom w:val="nil" w:sz="6" w:space="0" w:color="auto"/>
              <w:right w:val="nil" w:sz="6" w:space="0" w:color="auto"/>
            </w:tcBorders>
          </w:tcPr>
          <w:p>
            <w:pPr>
              <w:pStyle w:val="TableParagraph"/>
              <w:spacing w:line="236" w:lineRule="exact"/>
              <w:ind w:right="205"/>
              <w:jc w:val="right"/>
              <w:rPr>
                <w:rFonts w:ascii="宋体" w:hAnsi="宋体" w:cs="宋体" w:eastAsia="宋体" w:hint="default"/>
                <w:sz w:val="21"/>
                <w:szCs w:val="21"/>
              </w:rPr>
            </w:pPr>
            <w:r>
              <w:rPr>
                <w:rFonts w:ascii="宋体"/>
                <w:spacing w:val="-1"/>
                <w:sz w:val="21"/>
              </w:rPr>
              <w:t>603,245,801</w:t>
            </w:r>
          </w:p>
        </w:tc>
      </w:tr>
      <w:tr>
        <w:trPr>
          <w:trHeight w:val="259" w:hRule="exact"/>
        </w:trPr>
        <w:tc>
          <w:tcPr>
            <w:tcW w:w="3533" w:type="dxa"/>
            <w:tcBorders>
              <w:top w:val="nil" w:sz="6" w:space="0" w:color="auto"/>
              <w:left w:val="nil" w:sz="6" w:space="0" w:color="auto"/>
              <w:bottom w:val="nil" w:sz="6" w:space="0" w:color="auto"/>
              <w:right w:val="nil" w:sz="6" w:space="0" w:color="auto"/>
            </w:tcBorders>
          </w:tcPr>
          <w:p>
            <w:pPr>
              <w:pStyle w:val="TableParagraph"/>
              <w:spacing w:line="235" w:lineRule="exact"/>
              <w:ind w:left="200"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2542" w:type="dxa"/>
            <w:tcBorders>
              <w:top w:val="nil" w:sz="6" w:space="0" w:color="auto"/>
              <w:left w:val="nil" w:sz="6" w:space="0" w:color="auto"/>
              <w:bottom w:val="nil" w:sz="6" w:space="0" w:color="auto"/>
              <w:right w:val="nil" w:sz="6" w:space="0" w:color="auto"/>
            </w:tcBorders>
          </w:tcPr>
          <w:p>
            <w:pPr>
              <w:pStyle w:val="TableParagraph"/>
              <w:spacing w:line="235" w:lineRule="exact"/>
              <w:ind w:right="570"/>
              <w:jc w:val="right"/>
              <w:rPr>
                <w:rFonts w:ascii="宋体" w:hAnsi="宋体" w:cs="宋体" w:eastAsia="宋体" w:hint="default"/>
                <w:sz w:val="21"/>
                <w:szCs w:val="21"/>
              </w:rPr>
            </w:pPr>
            <w:r>
              <w:rPr>
                <w:rFonts w:ascii="宋体"/>
                <w:spacing w:val="-1"/>
                <w:sz w:val="21"/>
              </w:rPr>
              <w:t>312,500</w:t>
            </w:r>
          </w:p>
        </w:tc>
        <w:tc>
          <w:tcPr>
            <w:tcW w:w="2247" w:type="dxa"/>
            <w:tcBorders>
              <w:top w:val="nil" w:sz="6" w:space="0" w:color="auto"/>
              <w:left w:val="nil" w:sz="6" w:space="0" w:color="auto"/>
              <w:bottom w:val="nil" w:sz="6" w:space="0" w:color="auto"/>
              <w:right w:val="nil" w:sz="6" w:space="0" w:color="auto"/>
            </w:tcBorders>
          </w:tcPr>
          <w:p>
            <w:pPr>
              <w:pStyle w:val="TableParagraph"/>
              <w:spacing w:line="235" w:lineRule="exact"/>
              <w:ind w:right="205"/>
              <w:jc w:val="right"/>
              <w:rPr>
                <w:rFonts w:ascii="宋体" w:hAnsi="宋体" w:cs="宋体" w:eastAsia="宋体" w:hint="default"/>
                <w:sz w:val="21"/>
                <w:szCs w:val="21"/>
              </w:rPr>
            </w:pPr>
            <w:r>
              <w:rPr>
                <w:rFonts w:ascii="宋体"/>
                <w:spacing w:val="-1"/>
                <w:sz w:val="21"/>
              </w:rPr>
              <w:t>312,500</w:t>
            </w:r>
          </w:p>
        </w:tc>
      </w:tr>
      <w:tr>
        <w:trPr>
          <w:trHeight w:val="260" w:hRule="exact"/>
        </w:trPr>
        <w:tc>
          <w:tcPr>
            <w:tcW w:w="3533" w:type="dxa"/>
            <w:tcBorders>
              <w:top w:val="nil" w:sz="6" w:space="0" w:color="auto"/>
              <w:left w:val="nil" w:sz="6" w:space="0" w:color="auto"/>
              <w:bottom w:val="nil" w:sz="6" w:space="0" w:color="auto"/>
              <w:right w:val="nil" w:sz="6" w:space="0" w:color="auto"/>
            </w:tcBorders>
          </w:tcPr>
          <w:p>
            <w:pPr>
              <w:pStyle w:val="TableParagraph"/>
              <w:spacing w:line="235" w:lineRule="exact"/>
              <w:ind w:left="200" w:right="0"/>
              <w:jc w:val="left"/>
              <w:rPr>
                <w:rFonts w:ascii="宋体" w:hAnsi="宋体" w:cs="宋体" w:eastAsia="宋体" w:hint="default"/>
                <w:sz w:val="21"/>
                <w:szCs w:val="21"/>
              </w:rPr>
            </w:pPr>
            <w:r>
              <w:rPr>
                <w:rFonts w:ascii="宋体" w:hAnsi="宋体" w:cs="宋体" w:eastAsia="宋体" w:hint="default"/>
                <w:sz w:val="21"/>
                <w:szCs w:val="21"/>
              </w:rPr>
              <w:t>一年内到期的长期借款</w:t>
            </w:r>
          </w:p>
        </w:tc>
        <w:tc>
          <w:tcPr>
            <w:tcW w:w="2542" w:type="dxa"/>
            <w:tcBorders>
              <w:top w:val="nil" w:sz="6" w:space="0" w:color="auto"/>
              <w:left w:val="nil" w:sz="6" w:space="0" w:color="auto"/>
              <w:bottom w:val="nil" w:sz="6" w:space="0" w:color="auto"/>
              <w:right w:val="nil" w:sz="6" w:space="0" w:color="auto"/>
            </w:tcBorders>
          </w:tcPr>
          <w:p>
            <w:pPr>
              <w:pStyle w:val="TableParagraph"/>
              <w:spacing w:line="235" w:lineRule="exact"/>
              <w:ind w:right="570"/>
              <w:jc w:val="right"/>
              <w:rPr>
                <w:rFonts w:ascii="宋体" w:hAnsi="宋体" w:cs="宋体" w:eastAsia="宋体" w:hint="default"/>
                <w:sz w:val="21"/>
                <w:szCs w:val="21"/>
              </w:rPr>
            </w:pPr>
            <w:r>
              <w:rPr>
                <w:rFonts w:ascii="宋体"/>
                <w:spacing w:val="-1"/>
                <w:sz w:val="21"/>
              </w:rPr>
              <w:t>152,361,331</w:t>
            </w:r>
          </w:p>
        </w:tc>
        <w:tc>
          <w:tcPr>
            <w:tcW w:w="2247" w:type="dxa"/>
            <w:tcBorders>
              <w:top w:val="nil" w:sz="6" w:space="0" w:color="auto"/>
              <w:left w:val="nil" w:sz="6" w:space="0" w:color="auto"/>
              <w:bottom w:val="nil" w:sz="6" w:space="0" w:color="auto"/>
              <w:right w:val="nil" w:sz="6" w:space="0" w:color="auto"/>
            </w:tcBorders>
          </w:tcPr>
          <w:p>
            <w:pPr>
              <w:pStyle w:val="TableParagraph"/>
              <w:spacing w:line="235" w:lineRule="exact"/>
              <w:ind w:right="205"/>
              <w:jc w:val="right"/>
              <w:rPr>
                <w:rFonts w:ascii="宋体" w:hAnsi="宋体" w:cs="宋体" w:eastAsia="宋体" w:hint="default"/>
                <w:sz w:val="21"/>
                <w:szCs w:val="21"/>
              </w:rPr>
            </w:pPr>
            <w:r>
              <w:rPr>
                <w:rFonts w:ascii="宋体"/>
                <w:spacing w:val="-1"/>
                <w:sz w:val="21"/>
              </w:rPr>
              <w:t>81,486,720</w:t>
            </w:r>
          </w:p>
        </w:tc>
      </w:tr>
      <w:tr>
        <w:trPr>
          <w:trHeight w:val="260" w:hRule="exact"/>
        </w:trPr>
        <w:tc>
          <w:tcPr>
            <w:tcW w:w="3533" w:type="dxa"/>
            <w:tcBorders>
              <w:top w:val="nil" w:sz="6" w:space="0" w:color="auto"/>
              <w:left w:val="nil" w:sz="6" w:space="0" w:color="auto"/>
              <w:bottom w:val="nil" w:sz="6" w:space="0" w:color="auto"/>
              <w:right w:val="nil" w:sz="6" w:space="0" w:color="auto"/>
            </w:tcBorders>
          </w:tcPr>
          <w:p>
            <w:pPr>
              <w:pStyle w:val="TableParagraph"/>
              <w:spacing w:line="236" w:lineRule="exact"/>
              <w:ind w:left="200"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2542" w:type="dxa"/>
            <w:tcBorders>
              <w:top w:val="nil" w:sz="6" w:space="0" w:color="auto"/>
              <w:left w:val="nil" w:sz="6" w:space="0" w:color="auto"/>
              <w:bottom w:val="nil" w:sz="6" w:space="0" w:color="auto"/>
              <w:right w:val="nil" w:sz="6" w:space="0" w:color="auto"/>
            </w:tcBorders>
          </w:tcPr>
          <w:p>
            <w:pPr>
              <w:pStyle w:val="TableParagraph"/>
              <w:spacing w:line="236" w:lineRule="exact"/>
              <w:ind w:right="570"/>
              <w:jc w:val="right"/>
              <w:rPr>
                <w:rFonts w:ascii="宋体" w:hAnsi="宋体" w:cs="宋体" w:eastAsia="宋体" w:hint="default"/>
                <w:sz w:val="21"/>
                <w:szCs w:val="21"/>
              </w:rPr>
            </w:pPr>
            <w:r>
              <w:rPr>
                <w:rFonts w:ascii="宋体"/>
                <w:spacing w:val="-1"/>
                <w:sz w:val="21"/>
              </w:rPr>
              <w:t>305,133,983</w:t>
            </w:r>
          </w:p>
        </w:tc>
        <w:tc>
          <w:tcPr>
            <w:tcW w:w="2247" w:type="dxa"/>
            <w:tcBorders>
              <w:top w:val="nil" w:sz="6" w:space="0" w:color="auto"/>
              <w:left w:val="nil" w:sz="6" w:space="0" w:color="auto"/>
              <w:bottom w:val="nil" w:sz="6" w:space="0" w:color="auto"/>
              <w:right w:val="nil" w:sz="6" w:space="0" w:color="auto"/>
            </w:tcBorders>
          </w:tcPr>
          <w:p>
            <w:pPr>
              <w:pStyle w:val="TableParagraph"/>
              <w:spacing w:line="236" w:lineRule="exact"/>
              <w:ind w:right="205"/>
              <w:jc w:val="right"/>
              <w:rPr>
                <w:rFonts w:ascii="宋体" w:hAnsi="宋体" w:cs="宋体" w:eastAsia="宋体" w:hint="default"/>
                <w:sz w:val="21"/>
                <w:szCs w:val="21"/>
              </w:rPr>
            </w:pPr>
            <w:r>
              <w:rPr>
                <w:rFonts w:ascii="宋体"/>
                <w:spacing w:val="-1"/>
                <w:sz w:val="21"/>
              </w:rPr>
              <w:t>254,327,079</w:t>
            </w:r>
          </w:p>
        </w:tc>
      </w:tr>
      <w:tr>
        <w:trPr>
          <w:trHeight w:val="390" w:hRule="exact"/>
        </w:trPr>
        <w:tc>
          <w:tcPr>
            <w:tcW w:w="3533" w:type="dxa"/>
            <w:tcBorders>
              <w:top w:val="nil" w:sz="6" w:space="0" w:color="auto"/>
              <w:left w:val="nil" w:sz="6" w:space="0" w:color="auto"/>
              <w:bottom w:val="nil" w:sz="6" w:space="0" w:color="auto"/>
              <w:right w:val="nil" w:sz="6" w:space="0" w:color="auto"/>
            </w:tcBorders>
          </w:tcPr>
          <w:p>
            <w:pPr>
              <w:pStyle w:val="TableParagraph"/>
              <w:spacing w:line="235" w:lineRule="exact"/>
              <w:ind w:left="200" w:right="0"/>
              <w:jc w:val="left"/>
              <w:rPr>
                <w:rFonts w:ascii="宋体" w:hAnsi="宋体" w:cs="宋体" w:eastAsia="宋体" w:hint="default"/>
                <w:sz w:val="21"/>
                <w:szCs w:val="21"/>
              </w:rPr>
            </w:pPr>
            <w:r>
              <w:rPr>
                <w:rFonts w:ascii="宋体" w:hAnsi="宋体" w:cs="宋体" w:eastAsia="宋体" w:hint="default"/>
                <w:sz w:val="21"/>
                <w:szCs w:val="21"/>
              </w:rPr>
              <w:t>其他流动负债</w:t>
            </w:r>
            <w:r>
              <w:rPr>
                <w:rFonts w:ascii="宋体" w:hAnsi="宋体" w:cs="宋体" w:eastAsia="宋体" w:hint="default"/>
                <w:sz w:val="21"/>
                <w:szCs w:val="21"/>
              </w:rPr>
              <w:t>(</w:t>
            </w:r>
            <w:r>
              <w:rPr>
                <w:rFonts w:ascii="宋体" w:hAnsi="宋体" w:cs="宋体" w:eastAsia="宋体" w:hint="default"/>
                <w:sz w:val="21"/>
                <w:szCs w:val="21"/>
              </w:rPr>
              <w:t>审计费和房租</w:t>
            </w:r>
            <w:r>
              <w:rPr>
                <w:rFonts w:ascii="宋体" w:hAnsi="宋体" w:cs="宋体" w:eastAsia="宋体" w:hint="default"/>
                <w:sz w:val="21"/>
                <w:szCs w:val="21"/>
              </w:rPr>
              <w:t>)</w:t>
            </w:r>
          </w:p>
        </w:tc>
        <w:tc>
          <w:tcPr>
            <w:tcW w:w="2542" w:type="dxa"/>
            <w:tcBorders>
              <w:top w:val="nil" w:sz="6" w:space="0" w:color="auto"/>
              <w:left w:val="nil" w:sz="6" w:space="0" w:color="auto"/>
              <w:bottom w:val="nil" w:sz="6" w:space="0" w:color="auto"/>
              <w:right w:val="nil" w:sz="6" w:space="0" w:color="auto"/>
            </w:tcBorders>
          </w:tcPr>
          <w:p>
            <w:pPr>
              <w:pStyle w:val="TableParagraph"/>
              <w:tabs>
                <w:tab w:pos="422" w:val="left" w:leader="none"/>
              </w:tabs>
              <w:spacing w:line="235" w:lineRule="exact"/>
              <w:ind w:right="570"/>
              <w:jc w:val="right"/>
              <w:rPr>
                <w:rFonts w:ascii="宋体" w:hAnsi="宋体" w:cs="宋体" w:eastAsia="宋体" w:hint="default"/>
                <w:sz w:val="21"/>
                <w:szCs w:val="21"/>
              </w:rPr>
            </w:pPr>
            <w:r>
              <w:rPr>
                <w:rFonts w:ascii="宋体"/>
                <w:w w:val="100"/>
                <w:sz w:val="21"/>
              </w:rPr>
            </w:r>
            <w:r>
              <w:rPr>
                <w:rFonts w:ascii="宋体"/>
                <w:w w:val="100"/>
                <w:sz w:val="21"/>
                <w:u w:val="single" w:color="000000"/>
              </w:rPr>
              <w:t> </w:t>
            </w:r>
            <w:r>
              <w:rPr>
                <w:rFonts w:ascii="宋体"/>
                <w:sz w:val="21"/>
                <w:u w:val="single" w:color="000000"/>
              </w:rPr>
              <w:tab/>
            </w:r>
            <w:r>
              <w:rPr>
                <w:rFonts w:ascii="宋体"/>
                <w:spacing w:val="-1"/>
                <w:sz w:val="21"/>
                <w:u w:val="single" w:color="000000"/>
              </w:rPr>
              <w:t>2,048,904</w:t>
            </w:r>
            <w:r>
              <w:rPr>
                <w:rFonts w:ascii="宋体"/>
                <w:spacing w:val="-1"/>
                <w:sz w:val="21"/>
              </w:rPr>
            </w:r>
          </w:p>
        </w:tc>
        <w:tc>
          <w:tcPr>
            <w:tcW w:w="2247" w:type="dxa"/>
            <w:tcBorders>
              <w:top w:val="nil" w:sz="6" w:space="0" w:color="auto"/>
              <w:left w:val="nil" w:sz="6" w:space="0" w:color="auto"/>
              <w:bottom w:val="nil" w:sz="6" w:space="0" w:color="auto"/>
              <w:right w:val="nil" w:sz="6" w:space="0" w:color="auto"/>
            </w:tcBorders>
          </w:tcPr>
          <w:p>
            <w:pPr>
              <w:pStyle w:val="TableParagraph"/>
              <w:tabs>
                <w:tab w:pos="422" w:val="left" w:leader="none"/>
              </w:tabs>
              <w:spacing w:line="235" w:lineRule="exact"/>
              <w:ind w:right="205"/>
              <w:jc w:val="right"/>
              <w:rPr>
                <w:rFonts w:ascii="宋体" w:hAnsi="宋体" w:cs="宋体" w:eastAsia="宋体" w:hint="default"/>
                <w:sz w:val="21"/>
                <w:szCs w:val="21"/>
              </w:rPr>
            </w:pPr>
            <w:r>
              <w:rPr>
                <w:rFonts w:ascii="宋体"/>
                <w:w w:val="100"/>
                <w:sz w:val="21"/>
              </w:rPr>
            </w:r>
            <w:r>
              <w:rPr>
                <w:rFonts w:ascii="宋体"/>
                <w:w w:val="100"/>
                <w:sz w:val="21"/>
                <w:u w:val="single" w:color="000000"/>
              </w:rPr>
              <w:t> </w:t>
            </w:r>
            <w:r>
              <w:rPr>
                <w:rFonts w:ascii="宋体"/>
                <w:sz w:val="21"/>
                <w:u w:val="single" w:color="000000"/>
              </w:rPr>
              <w:tab/>
            </w:r>
            <w:r>
              <w:rPr>
                <w:rFonts w:ascii="宋体"/>
                <w:spacing w:val="-1"/>
                <w:sz w:val="21"/>
                <w:u w:val="single" w:color="000000"/>
              </w:rPr>
              <w:t>1,910,811</w:t>
            </w:r>
            <w:r>
              <w:rPr>
                <w:rFonts w:ascii="宋体"/>
                <w:spacing w:val="-1"/>
                <w:sz w:val="21"/>
              </w:rPr>
            </w:r>
          </w:p>
        </w:tc>
      </w:tr>
      <w:tr>
        <w:trPr>
          <w:trHeight w:val="366" w:hRule="exact"/>
        </w:trPr>
        <w:tc>
          <w:tcPr>
            <w:tcW w:w="3533" w:type="dxa"/>
            <w:tcBorders>
              <w:top w:val="nil" w:sz="6" w:space="0" w:color="auto"/>
              <w:left w:val="nil" w:sz="6" w:space="0" w:color="auto"/>
              <w:bottom w:val="nil" w:sz="6" w:space="0" w:color="auto"/>
              <w:right w:val="nil" w:sz="6" w:space="0" w:color="auto"/>
            </w:tcBorders>
          </w:tcPr>
          <w:p>
            <w:pP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563"/>
              <w:jc w:val="right"/>
              <w:rPr>
                <w:rFonts w:ascii="宋体" w:hAnsi="宋体" w:cs="宋体" w:eastAsia="宋体" w:hint="default"/>
                <w:sz w:val="21"/>
                <w:szCs w:val="21"/>
              </w:rPr>
            </w:pPr>
            <w:r>
              <w:rPr>
                <w:rFonts w:ascii="宋体"/>
                <w:w w:val="100"/>
                <w:sz w:val="21"/>
              </w:rPr>
            </w:r>
            <w:r>
              <w:rPr>
                <w:rFonts w:ascii="宋体"/>
                <w:spacing w:val="-1"/>
                <w:sz w:val="21"/>
                <w:u w:val="thick" w:color="000000"/>
              </w:rPr>
              <w:t>5,007,697,173</w:t>
            </w:r>
            <w:r>
              <w:rPr>
                <w:rFonts w:ascii="宋体"/>
                <w:spacing w:val="-1"/>
                <w:sz w:val="21"/>
              </w:rPr>
            </w:r>
          </w:p>
        </w:tc>
        <w:tc>
          <w:tcPr>
            <w:tcW w:w="2247"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98"/>
              <w:jc w:val="right"/>
              <w:rPr>
                <w:rFonts w:ascii="宋体" w:hAnsi="宋体" w:cs="宋体" w:eastAsia="宋体" w:hint="default"/>
                <w:sz w:val="21"/>
                <w:szCs w:val="21"/>
              </w:rPr>
            </w:pPr>
            <w:r>
              <w:rPr>
                <w:rFonts w:ascii="宋体"/>
                <w:w w:val="100"/>
                <w:sz w:val="21"/>
              </w:rPr>
            </w:r>
            <w:r>
              <w:rPr>
                <w:rFonts w:ascii="宋体"/>
                <w:spacing w:val="-1"/>
                <w:sz w:val="21"/>
                <w:u w:val="thick" w:color="000000"/>
              </w:rPr>
              <w:t>3,729,632,820</w:t>
            </w:r>
            <w:r>
              <w:rPr>
                <w:rFonts w:ascii="宋体"/>
                <w:spacing w:val="-1"/>
                <w:sz w:val="21"/>
              </w:rPr>
            </w:r>
          </w:p>
        </w:tc>
      </w:tr>
    </w:tbl>
    <w:p>
      <w:pPr>
        <w:spacing w:line="240" w:lineRule="auto" w:before="10"/>
        <w:rPr>
          <w:rFonts w:ascii="宋体" w:hAnsi="宋体" w:cs="宋体" w:eastAsia="宋体" w:hint="default"/>
          <w:sz w:val="18"/>
          <w:szCs w:val="18"/>
        </w:rPr>
      </w:pPr>
    </w:p>
    <w:p>
      <w:pPr>
        <w:pStyle w:val="BodyText"/>
        <w:spacing w:line="240" w:lineRule="auto" w:before="36"/>
        <w:ind w:left="138" w:right="0"/>
        <w:jc w:val="both"/>
      </w:pPr>
      <w:r>
        <w:rPr>
          <w:rFonts w:ascii="宋体" w:hAnsi="宋体" w:cs="宋体" w:eastAsia="宋体" w:hint="default"/>
        </w:rPr>
        <w:t>2.  </w:t>
      </w:r>
      <w:r>
        <w:rPr/>
        <w:t>金融工具风险</w:t>
      </w:r>
    </w:p>
    <w:p>
      <w:pPr>
        <w:spacing w:line="240" w:lineRule="auto" w:before="8"/>
        <w:rPr>
          <w:rFonts w:ascii="宋体" w:hAnsi="宋体" w:cs="宋体" w:eastAsia="宋体" w:hint="default"/>
          <w:sz w:val="20"/>
          <w:szCs w:val="20"/>
        </w:rPr>
      </w:pPr>
    </w:p>
    <w:p>
      <w:pPr>
        <w:pStyle w:val="BodyText"/>
        <w:spacing w:line="237" w:lineRule="auto"/>
        <w:ind w:left="138" w:right="148"/>
        <w:jc w:val="both"/>
      </w:pPr>
      <w:r>
        <w:rPr>
          <w:spacing w:val="-1"/>
        </w:rPr>
        <w:t>本集团的主要金融工具除衍生工具外，包括货币资金、可供出售金融资产、理财产品、银行借款</w:t>
      </w:r>
      <w:r>
        <w:rPr>
          <w:spacing w:val="-55"/>
        </w:rPr>
        <w:t> </w:t>
      </w:r>
      <w:r>
        <w:rPr>
          <w:spacing w:val="-55"/>
        </w:rPr>
      </w:r>
      <w:r>
        <w:rPr>
          <w:spacing w:val="-1"/>
        </w:rPr>
        <w:t>等。这些金融工具的主要目的在于为本集团的运营融资。本集团具有多种因经营而直接产生的其</w:t>
      </w:r>
      <w:r>
        <w:rPr>
          <w:spacing w:val="-55"/>
        </w:rPr>
        <w:t> </w:t>
      </w:r>
      <w:r>
        <w:rPr>
          <w:spacing w:val="-55"/>
        </w:rPr>
      </w:r>
      <w:r>
        <w:rPr/>
        <w:t>他金融资产和负债，如应收账款、应付账款、应收票据、其他应收款和其他应付款等。</w:t>
      </w:r>
    </w:p>
    <w:p>
      <w:pPr>
        <w:spacing w:line="240" w:lineRule="auto" w:before="9"/>
        <w:rPr>
          <w:rFonts w:ascii="宋体" w:hAnsi="宋体" w:cs="宋体" w:eastAsia="宋体" w:hint="default"/>
          <w:sz w:val="20"/>
          <w:szCs w:val="20"/>
        </w:rPr>
      </w:pPr>
    </w:p>
    <w:p>
      <w:pPr>
        <w:pStyle w:val="BodyText"/>
        <w:spacing w:line="240" w:lineRule="auto"/>
        <w:ind w:left="138" w:right="148"/>
        <w:jc w:val="both"/>
      </w:pPr>
      <w:r>
        <w:rPr>
          <w:spacing w:val="-1"/>
        </w:rPr>
        <w:t>本集团的金融工具导致的主要风险是信用风险和流动性风险。本集团对此的风险管理政策概述如</w:t>
      </w:r>
      <w:r>
        <w:rPr>
          <w:spacing w:val="-55"/>
        </w:rPr>
        <w:t> </w:t>
      </w:r>
      <w:r>
        <w:rPr>
          <w:spacing w:val="-55"/>
        </w:rPr>
      </w:r>
      <w:r>
        <w:rPr/>
        <w:t>下。</w:t>
      </w:r>
    </w:p>
    <w:p>
      <w:pPr>
        <w:spacing w:line="240" w:lineRule="auto" w:before="8"/>
        <w:rPr>
          <w:rFonts w:ascii="宋体" w:hAnsi="宋体" w:cs="宋体" w:eastAsia="宋体" w:hint="default"/>
          <w:sz w:val="20"/>
          <w:szCs w:val="20"/>
        </w:rPr>
      </w:pPr>
    </w:p>
    <w:p>
      <w:pPr>
        <w:pStyle w:val="BodyText"/>
        <w:spacing w:line="240" w:lineRule="auto"/>
        <w:ind w:left="138" w:right="0"/>
        <w:jc w:val="both"/>
      </w:pPr>
      <w:r>
        <w:rPr/>
        <w:t>信用风险</w:t>
      </w:r>
    </w:p>
    <w:p>
      <w:pPr>
        <w:spacing w:line="240" w:lineRule="auto" w:before="11"/>
        <w:rPr>
          <w:rFonts w:ascii="宋体" w:hAnsi="宋体" w:cs="宋体" w:eastAsia="宋体" w:hint="default"/>
          <w:sz w:val="20"/>
          <w:szCs w:val="20"/>
        </w:rPr>
      </w:pPr>
    </w:p>
    <w:p>
      <w:pPr>
        <w:pStyle w:val="BodyText"/>
        <w:spacing w:line="237" w:lineRule="auto"/>
        <w:ind w:left="138" w:right="148"/>
        <w:jc w:val="both"/>
      </w:pPr>
      <w:r>
        <w:rPr>
          <w:spacing w:val="-1"/>
        </w:rPr>
        <w:t>本集团仅与经认可的、信誉良好的第三方进行交易。按照本集团的政策，需对所有要求采用信用</w:t>
      </w:r>
      <w:r>
        <w:rPr>
          <w:spacing w:val="-55"/>
        </w:rPr>
        <w:t> </w:t>
      </w:r>
      <w:r>
        <w:rPr>
          <w:spacing w:val="-55"/>
        </w:rPr>
      </w:r>
      <w:r>
        <w:rPr>
          <w:spacing w:val="-1"/>
        </w:rPr>
        <w:t>方式进行交易的客户进行信用审核。另外，本集团对应收账款及其他应收款余额进行持续监控，</w:t>
      </w:r>
      <w:r>
        <w:rPr>
          <w:spacing w:val="-55"/>
        </w:rPr>
        <w:t> </w:t>
      </w:r>
      <w:r>
        <w:rPr>
          <w:spacing w:val="-55"/>
        </w:rPr>
      </w:r>
      <w:r>
        <w:rPr>
          <w:spacing w:val="-1"/>
        </w:rPr>
        <w:t>以确保本集团不致面临重大坏账风险。对于未采用相关经营单位的记账本位币结算的交易，除非</w:t>
      </w:r>
      <w:r>
        <w:rPr>
          <w:spacing w:val="-55"/>
        </w:rPr>
        <w:t> </w:t>
      </w:r>
      <w:r>
        <w:rPr>
          <w:spacing w:val="-55"/>
        </w:rPr>
      </w:r>
      <w:r>
        <w:rPr/>
        <w:t>本集团信用控制部门特别批准，否则本集团不提供信用交易条件。</w:t>
      </w:r>
    </w:p>
    <w:p>
      <w:pPr>
        <w:spacing w:line="240" w:lineRule="auto" w:before="9"/>
        <w:rPr>
          <w:rFonts w:ascii="宋体" w:hAnsi="宋体" w:cs="宋体" w:eastAsia="宋体" w:hint="default"/>
          <w:sz w:val="20"/>
          <w:szCs w:val="20"/>
        </w:rPr>
      </w:pPr>
    </w:p>
    <w:p>
      <w:pPr>
        <w:pStyle w:val="BodyText"/>
        <w:spacing w:line="240" w:lineRule="auto"/>
        <w:ind w:left="138" w:right="148"/>
        <w:jc w:val="both"/>
      </w:pPr>
      <w:r>
        <w:rPr>
          <w:spacing w:val="-1"/>
        </w:rPr>
        <w:t>本集团其他金融资产包括货币资金和可供出售金融资产等，这些金融资产的信用风险源自交易对</w:t>
      </w:r>
      <w:r>
        <w:rPr>
          <w:spacing w:val="-55"/>
        </w:rPr>
        <w:t> </w:t>
      </w:r>
      <w:r>
        <w:rPr>
          <w:spacing w:val="-55"/>
        </w:rPr>
      </w:r>
      <w:r>
        <w:rPr/>
        <w:t>手违约，最大风险敞口等于这些工具的账面金额。</w:t>
      </w:r>
    </w:p>
    <w:p>
      <w:pPr>
        <w:spacing w:after="0" w:line="240" w:lineRule="auto"/>
        <w:jc w:val="both"/>
        <w:sectPr>
          <w:pgSz w:w="11910" w:h="16840"/>
          <w:pgMar w:header="857" w:footer="1195" w:top="1280" w:bottom="1380" w:left="1660" w:right="1120"/>
        </w:sectPr>
      </w:pPr>
    </w:p>
    <w:p>
      <w:pPr>
        <w:spacing w:line="240" w:lineRule="auto" w:before="1"/>
        <w:rPr>
          <w:rFonts w:ascii="宋体" w:hAnsi="宋体" w:cs="宋体" w:eastAsia="宋体" w:hint="default"/>
          <w:sz w:val="2"/>
          <w:szCs w:val="2"/>
        </w:rPr>
      </w:pPr>
    </w:p>
    <w:p>
      <w:pPr>
        <w:spacing w:line="20" w:lineRule="exact"/>
        <w:ind w:left="222" w:right="0" w:firstLine="0"/>
        <w:rPr>
          <w:rFonts w:ascii="宋体" w:hAnsi="宋体" w:cs="宋体" w:eastAsia="宋体" w:hint="default"/>
          <w:sz w:val="2"/>
          <w:szCs w:val="2"/>
        </w:rPr>
      </w:pPr>
      <w:r>
        <w:rPr>
          <w:rFonts w:ascii="宋体" w:hAnsi="宋体" w:cs="宋体" w:eastAsia="宋体" w:hint="default"/>
          <w:sz w:val="2"/>
          <w:szCs w:val="2"/>
        </w:rPr>
        <w:pict>
          <v:group style="width:445.3pt;height:.75pt;mso-position-horizontal-relative:char;mso-position-vertical-relative:line" coordorigin="0,0" coordsize="8906,15">
            <v:group style="position:absolute;left:7;top:7;width:8891;height:2" coordorigin="7,7" coordsize="8891,2">
              <v:shape style="position:absolute;left:7;top:7;width:8891;height:2" coordorigin="7,7" coordsize="8891,0" path="m7,7l8898,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29"/>
          <w:szCs w:val="29"/>
        </w:rPr>
      </w:pPr>
    </w:p>
    <w:p>
      <w:pPr>
        <w:pStyle w:val="BodyText"/>
        <w:spacing w:line="237" w:lineRule="auto" w:before="38"/>
        <w:ind w:left="258" w:right="148"/>
        <w:jc w:val="both"/>
      </w:pPr>
      <w:r>
        <w:rPr>
          <w:spacing w:val="-1"/>
        </w:rPr>
        <w:t>由于本集团仅与经认可的且信誉良好的第三方进行交易，所以无需担保物。由于本集团的应收账</w:t>
      </w:r>
      <w:r>
        <w:rPr>
          <w:spacing w:val="-55"/>
        </w:rPr>
        <w:t> </w:t>
      </w:r>
      <w:r>
        <w:rPr>
          <w:spacing w:val="-55"/>
        </w:rPr>
      </w:r>
      <w:r>
        <w:rPr>
          <w:spacing w:val="-1"/>
        </w:rPr>
        <w:t>款客户群广泛地分散于不同的部门和行业中，因此在本集团内部不存在重大信用风险集中。本集</w:t>
      </w:r>
      <w:r>
        <w:rPr>
          <w:spacing w:val="-55"/>
        </w:rPr>
        <w:t> </w:t>
      </w:r>
      <w:r>
        <w:rPr>
          <w:spacing w:val="-55"/>
        </w:rPr>
      </w:r>
      <w:r>
        <w:rPr/>
        <w:t>团对应收账款余额未持有任何担保物或其他信用增级。</w:t>
      </w:r>
    </w:p>
    <w:p>
      <w:pPr>
        <w:spacing w:line="240" w:lineRule="auto" w:before="11"/>
        <w:rPr>
          <w:rFonts w:ascii="宋体" w:hAnsi="宋体" w:cs="宋体" w:eastAsia="宋体" w:hint="default"/>
          <w:sz w:val="20"/>
          <w:szCs w:val="20"/>
        </w:rPr>
      </w:pPr>
    </w:p>
    <w:p>
      <w:pPr>
        <w:pStyle w:val="BodyText"/>
        <w:spacing w:line="237" w:lineRule="auto"/>
        <w:ind w:left="258" w:right="148"/>
        <w:jc w:val="both"/>
      </w:pPr>
      <w:r>
        <w:rPr/>
        <w:t>于</w:t>
      </w:r>
      <w:r>
        <w:rPr>
          <w:spacing w:val="-41"/>
        </w:rPr>
        <w:t> </w:t>
      </w:r>
      <w:r>
        <w:rPr>
          <w:rFonts w:ascii="宋体" w:hAnsi="宋体" w:cs="宋体" w:eastAsia="宋体" w:hint="default"/>
        </w:rPr>
        <w:t>2017</w:t>
      </w:r>
      <w:r>
        <w:rPr>
          <w:rFonts w:ascii="宋体" w:hAnsi="宋体" w:cs="宋体" w:eastAsia="宋体" w:hint="default"/>
          <w:spacing w:val="-41"/>
        </w:rPr>
        <w:t> </w:t>
      </w:r>
      <w:r>
        <w:rPr/>
        <w:t>年</w:t>
      </w:r>
      <w:r>
        <w:rPr>
          <w:spacing w:val="-43"/>
        </w:rPr>
        <w:t> </w:t>
      </w:r>
      <w:r>
        <w:rPr>
          <w:rFonts w:ascii="宋体" w:hAnsi="宋体" w:cs="宋体" w:eastAsia="宋体" w:hint="default"/>
        </w:rPr>
        <w:t>12</w:t>
      </w:r>
      <w:r>
        <w:rPr>
          <w:rFonts w:ascii="宋体" w:hAnsi="宋体" w:cs="宋体" w:eastAsia="宋体" w:hint="default"/>
          <w:spacing w:val="-43"/>
        </w:rPr>
        <w:t> </w:t>
      </w:r>
      <w:r>
        <w:rPr/>
        <w:t>月</w:t>
      </w:r>
      <w:r>
        <w:rPr>
          <w:spacing w:val="-41"/>
        </w:rPr>
        <w:t> </w:t>
      </w:r>
      <w:r>
        <w:rPr>
          <w:rFonts w:ascii="宋体" w:hAnsi="宋体" w:cs="宋体" w:eastAsia="宋体" w:hint="default"/>
        </w:rPr>
        <w:t>31</w:t>
      </w:r>
      <w:r>
        <w:rPr>
          <w:rFonts w:ascii="宋体" w:hAnsi="宋体" w:cs="宋体" w:eastAsia="宋体" w:hint="default"/>
          <w:spacing w:val="-43"/>
        </w:rPr>
        <w:t> </w:t>
      </w:r>
      <w:r>
        <w:rPr>
          <w:spacing w:val="-5"/>
        </w:rPr>
        <w:t>日，本集团金融资产中无尚未逾期但已发生减值的金额，不存在已逾期已减值</w:t>
      </w:r>
      <w:r>
        <w:rPr>
          <w:spacing w:val="-101"/>
        </w:rPr>
        <w:t> </w:t>
      </w:r>
      <w:r>
        <w:rPr>
          <w:spacing w:val="-101"/>
        </w:rPr>
      </w:r>
      <w:r>
        <w:rPr>
          <w:spacing w:val="-1"/>
        </w:rPr>
        <w:t>但未计提减值准备的重大金融资产。本集团未逾期未减值及已逾期未减值的金融资产主要为账龄</w:t>
      </w:r>
      <w:r>
        <w:rPr>
          <w:spacing w:val="-55"/>
        </w:rPr>
        <w:t> </w:t>
      </w:r>
      <w:r>
        <w:rPr>
          <w:spacing w:val="-55"/>
        </w:rPr>
      </w:r>
      <w:r>
        <w:rPr/>
        <w:t>为</w:t>
      </w:r>
      <w:r>
        <w:rPr>
          <w:spacing w:val="-46"/>
        </w:rPr>
        <w:t> </w:t>
      </w:r>
      <w:r>
        <w:rPr>
          <w:rFonts w:ascii="宋体" w:hAnsi="宋体" w:cs="宋体" w:eastAsia="宋体" w:hint="default"/>
        </w:rPr>
        <w:t>1</w:t>
      </w:r>
      <w:r>
        <w:rPr>
          <w:rFonts w:ascii="宋体" w:hAnsi="宋体" w:cs="宋体" w:eastAsia="宋体" w:hint="default"/>
          <w:spacing w:val="-46"/>
        </w:rPr>
        <w:t> </w:t>
      </w:r>
      <w:r>
        <w:rPr>
          <w:spacing w:val="-5"/>
        </w:rPr>
        <w:t>年以内的应收账款及其他应收款。于</w:t>
      </w:r>
      <w:r>
        <w:rPr>
          <w:spacing w:val="-46"/>
        </w:rPr>
        <w:t> </w:t>
      </w:r>
      <w:r>
        <w:rPr>
          <w:rFonts w:ascii="宋体" w:hAnsi="宋体" w:cs="宋体" w:eastAsia="宋体" w:hint="default"/>
        </w:rPr>
        <w:t>2017</w:t>
      </w:r>
      <w:r>
        <w:rPr>
          <w:rFonts w:ascii="宋体" w:hAnsi="宋体" w:cs="宋体" w:eastAsia="宋体" w:hint="default"/>
          <w:spacing w:val="-46"/>
        </w:rPr>
        <w:t> </w:t>
      </w:r>
      <w:r>
        <w:rPr/>
        <w:t>年</w:t>
      </w:r>
      <w:r>
        <w:rPr>
          <w:spacing w:val="-48"/>
        </w:rPr>
        <w:t> </w:t>
      </w:r>
      <w:r>
        <w:rPr>
          <w:rFonts w:ascii="宋体" w:hAnsi="宋体" w:cs="宋体" w:eastAsia="宋体" w:hint="default"/>
        </w:rPr>
        <w:t>12</w:t>
      </w:r>
      <w:r>
        <w:rPr>
          <w:rFonts w:ascii="宋体" w:hAnsi="宋体" w:cs="宋体" w:eastAsia="宋体" w:hint="default"/>
          <w:spacing w:val="-45"/>
        </w:rPr>
        <w:t> </w:t>
      </w:r>
      <w:r>
        <w:rPr/>
        <w:t>月</w:t>
      </w:r>
      <w:r>
        <w:rPr>
          <w:spacing w:val="-46"/>
        </w:rPr>
        <w:t> </w:t>
      </w:r>
      <w:r>
        <w:rPr>
          <w:rFonts w:ascii="宋体" w:hAnsi="宋体" w:cs="宋体" w:eastAsia="宋体" w:hint="default"/>
        </w:rPr>
        <w:t>31</w:t>
      </w:r>
      <w:r>
        <w:rPr>
          <w:rFonts w:ascii="宋体" w:hAnsi="宋体" w:cs="宋体" w:eastAsia="宋体" w:hint="default"/>
          <w:spacing w:val="-46"/>
        </w:rPr>
        <w:t> </w:t>
      </w:r>
      <w:r>
        <w:rPr>
          <w:spacing w:val="-5"/>
        </w:rPr>
        <w:t>日，尚未逾期和发生减值的应收账款与</w:t>
      </w:r>
      <w:r>
        <w:rPr>
          <w:spacing w:val="-102"/>
        </w:rPr>
        <w:t> </w:t>
      </w:r>
      <w:r>
        <w:rPr>
          <w:spacing w:val="-102"/>
        </w:rPr>
      </w:r>
      <w:r>
        <w:rPr/>
        <w:t>大量的近期无违约记录的分散化的客户有关。</w:t>
      </w:r>
    </w:p>
    <w:p>
      <w:pPr>
        <w:spacing w:line="240" w:lineRule="auto" w:before="9"/>
        <w:rPr>
          <w:rFonts w:ascii="宋体" w:hAnsi="宋体" w:cs="宋体" w:eastAsia="宋体" w:hint="default"/>
          <w:sz w:val="20"/>
          <w:szCs w:val="20"/>
        </w:rPr>
      </w:pPr>
    </w:p>
    <w:p>
      <w:pPr>
        <w:pStyle w:val="BodyText"/>
        <w:spacing w:line="240" w:lineRule="auto"/>
        <w:ind w:left="258" w:right="0"/>
        <w:jc w:val="both"/>
      </w:pPr>
      <w:r>
        <w:rPr/>
        <w:t>流动性风险</w:t>
      </w:r>
    </w:p>
    <w:p>
      <w:pPr>
        <w:spacing w:line="240" w:lineRule="auto" w:before="9"/>
        <w:rPr>
          <w:rFonts w:ascii="宋体" w:hAnsi="宋体" w:cs="宋体" w:eastAsia="宋体" w:hint="default"/>
          <w:sz w:val="20"/>
          <w:szCs w:val="20"/>
        </w:rPr>
      </w:pPr>
    </w:p>
    <w:p>
      <w:pPr>
        <w:pStyle w:val="BodyText"/>
        <w:spacing w:line="240" w:lineRule="auto"/>
        <w:ind w:left="258" w:right="148"/>
        <w:jc w:val="both"/>
      </w:pPr>
      <w:r>
        <w:rPr>
          <w:spacing w:val="-1"/>
        </w:rPr>
        <w:t>本集团采用循环流动性计划工具管理资金短缺风险。该工具既考虑其金融工具的到期日，也考虑</w:t>
      </w:r>
      <w:r>
        <w:rPr>
          <w:spacing w:val="-55"/>
        </w:rPr>
        <w:t> </w:t>
      </w:r>
      <w:r>
        <w:rPr>
          <w:spacing w:val="-55"/>
        </w:rPr>
      </w:r>
      <w:r>
        <w:rPr/>
        <w:t>本集团运营产生的预计现金流量。</w:t>
      </w:r>
    </w:p>
    <w:p>
      <w:pPr>
        <w:spacing w:line="240" w:lineRule="auto" w:before="10"/>
        <w:rPr>
          <w:rFonts w:ascii="宋体" w:hAnsi="宋体" w:cs="宋体" w:eastAsia="宋体" w:hint="default"/>
          <w:sz w:val="22"/>
          <w:szCs w:val="22"/>
        </w:rPr>
      </w:pPr>
    </w:p>
    <w:p>
      <w:pPr>
        <w:pStyle w:val="BodyText"/>
        <w:spacing w:line="272" w:lineRule="exact"/>
        <w:ind w:left="258" w:right="148"/>
        <w:jc w:val="both"/>
      </w:pPr>
      <w:r>
        <w:rPr>
          <w:spacing w:val="-1"/>
        </w:rPr>
        <w:t>本集团的目标是运用银行借款、应付债券、增发股本等多种融资手段以保持融资的持续性与灵活</w:t>
      </w:r>
      <w:r>
        <w:rPr>
          <w:spacing w:val="-55"/>
        </w:rPr>
        <w:t> </w:t>
      </w:r>
      <w:r>
        <w:rPr>
          <w:spacing w:val="-55"/>
        </w:rPr>
      </w:r>
      <w:r>
        <w:rPr/>
        <w:t>性的平衡。</w:t>
      </w:r>
    </w:p>
    <w:p>
      <w:pPr>
        <w:spacing w:line="240" w:lineRule="auto" w:before="13"/>
        <w:rPr>
          <w:rFonts w:ascii="宋体" w:hAnsi="宋体" w:cs="宋体" w:eastAsia="宋体" w:hint="default"/>
          <w:sz w:val="17"/>
          <w:szCs w:val="17"/>
        </w:rPr>
      </w:pPr>
    </w:p>
    <w:p>
      <w:pPr>
        <w:pStyle w:val="BodyText"/>
        <w:spacing w:line="240" w:lineRule="auto"/>
        <w:ind w:left="970" w:right="0"/>
        <w:jc w:val="left"/>
      </w:pPr>
      <w:r>
        <w:rPr/>
        <w:t>下表概括了金融负债按未折现的合同现金流量所作的到期期限分析：</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0"/>
          <w:szCs w:val="10"/>
        </w:rPr>
      </w:pPr>
    </w:p>
    <w:tbl>
      <w:tblPr>
        <w:tblW w:w="0" w:type="auto"/>
        <w:jc w:val="left"/>
        <w:tblInd w:w="110" w:type="dxa"/>
        <w:tblLayout w:type="fixed"/>
        <w:tblCellMar>
          <w:top w:w="0" w:type="dxa"/>
          <w:left w:w="0" w:type="dxa"/>
          <w:bottom w:w="0" w:type="dxa"/>
          <w:right w:w="0" w:type="dxa"/>
        </w:tblCellMar>
        <w:tblLook w:val="01E0"/>
      </w:tblPr>
      <w:tblGrid>
        <w:gridCol w:w="1533"/>
        <w:gridCol w:w="1340"/>
        <w:gridCol w:w="1091"/>
        <w:gridCol w:w="1271"/>
        <w:gridCol w:w="1248"/>
        <w:gridCol w:w="908"/>
        <w:gridCol w:w="1495"/>
      </w:tblGrid>
      <w:tr>
        <w:trPr>
          <w:trHeight w:val="230" w:hRule="exact"/>
        </w:trPr>
        <w:tc>
          <w:tcPr>
            <w:tcW w:w="1533" w:type="dxa"/>
            <w:tcBorders>
              <w:top w:val="nil" w:sz="6" w:space="0" w:color="auto"/>
              <w:left w:val="nil" w:sz="6" w:space="0" w:color="auto"/>
              <w:bottom w:val="nil" w:sz="6" w:space="0" w:color="auto"/>
              <w:right w:val="nil" w:sz="6" w:space="0" w:color="auto"/>
            </w:tcBorders>
          </w:tcPr>
          <w:p>
            <w:pPr>
              <w:pStyle w:val="TableParagraph"/>
              <w:spacing w:line="180" w:lineRule="exact"/>
              <w:ind w:left="200"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340"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
        </w:tc>
        <w:tc>
          <w:tcPr>
            <w:tcW w:w="1271" w:type="dxa"/>
            <w:tcBorders>
              <w:top w:val="nil" w:sz="6" w:space="0" w:color="auto"/>
              <w:left w:val="nil" w:sz="6" w:space="0" w:color="auto"/>
              <w:bottom w:val="nil" w:sz="6" w:space="0" w:color="auto"/>
              <w:right w:val="nil" w:sz="6" w:space="0" w:color="auto"/>
            </w:tcBorders>
          </w:tcPr>
          <w:p>
            <w:pPr/>
          </w:p>
        </w:tc>
        <w:tc>
          <w:tcPr>
            <w:tcW w:w="1248" w:type="dxa"/>
            <w:tcBorders>
              <w:top w:val="nil" w:sz="6" w:space="0" w:color="auto"/>
              <w:left w:val="nil" w:sz="6" w:space="0" w:color="auto"/>
              <w:bottom w:val="nil" w:sz="6" w:space="0" w:color="auto"/>
              <w:right w:val="nil" w:sz="6" w:space="0" w:color="auto"/>
            </w:tcBorders>
          </w:tcPr>
          <w:p>
            <w:pPr/>
          </w:p>
        </w:tc>
        <w:tc>
          <w:tcPr>
            <w:tcW w:w="908" w:type="dxa"/>
            <w:tcBorders>
              <w:top w:val="nil" w:sz="6" w:space="0" w:color="auto"/>
              <w:left w:val="nil" w:sz="6" w:space="0" w:color="auto"/>
              <w:bottom w:val="nil" w:sz="6" w:space="0" w:color="auto"/>
              <w:right w:val="nil" w:sz="6" w:space="0" w:color="auto"/>
            </w:tcBorders>
          </w:tcPr>
          <w:p>
            <w:pPr/>
          </w:p>
        </w:tc>
        <w:tc>
          <w:tcPr>
            <w:tcW w:w="1495" w:type="dxa"/>
            <w:tcBorders>
              <w:top w:val="nil" w:sz="6" w:space="0" w:color="auto"/>
              <w:left w:val="nil" w:sz="6" w:space="0" w:color="auto"/>
              <w:bottom w:val="nil" w:sz="6" w:space="0" w:color="auto"/>
              <w:right w:val="nil" w:sz="6" w:space="0" w:color="auto"/>
            </w:tcBorders>
          </w:tcPr>
          <w:p>
            <w:pPr/>
          </w:p>
        </w:tc>
      </w:tr>
      <w:tr>
        <w:trPr>
          <w:trHeight w:val="256" w:hRule="exact"/>
        </w:trPr>
        <w:tc>
          <w:tcPr>
            <w:tcW w:w="1533" w:type="dxa"/>
            <w:tcBorders>
              <w:top w:val="nil" w:sz="6" w:space="0" w:color="auto"/>
              <w:left w:val="nil" w:sz="6" w:space="0" w:color="auto"/>
              <w:bottom w:val="nil" w:sz="6" w:space="0" w:color="auto"/>
              <w:right w:val="nil" w:sz="6" w:space="0" w:color="auto"/>
            </w:tcBorders>
          </w:tcPr>
          <w:p>
            <w:pPr>
              <w:pStyle w:val="TableParagraph"/>
              <w:spacing w:line="230" w:lineRule="exact"/>
              <w:ind w:left="200"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1340"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
        </w:tc>
        <w:tc>
          <w:tcPr>
            <w:tcW w:w="1271" w:type="dxa"/>
            <w:tcBorders>
              <w:top w:val="nil" w:sz="6" w:space="0" w:color="auto"/>
              <w:left w:val="nil" w:sz="6" w:space="0" w:color="auto"/>
              <w:bottom w:val="nil" w:sz="6" w:space="0" w:color="auto"/>
              <w:right w:val="nil" w:sz="6" w:space="0" w:color="auto"/>
            </w:tcBorders>
          </w:tcPr>
          <w:p>
            <w:pPr/>
          </w:p>
        </w:tc>
        <w:tc>
          <w:tcPr>
            <w:tcW w:w="1248" w:type="dxa"/>
            <w:tcBorders>
              <w:top w:val="nil" w:sz="6" w:space="0" w:color="auto"/>
              <w:left w:val="nil" w:sz="6" w:space="0" w:color="auto"/>
              <w:bottom w:val="nil" w:sz="6" w:space="0" w:color="auto"/>
              <w:right w:val="nil" w:sz="6" w:space="0" w:color="auto"/>
            </w:tcBorders>
          </w:tcPr>
          <w:p>
            <w:pPr/>
          </w:p>
        </w:tc>
        <w:tc>
          <w:tcPr>
            <w:tcW w:w="908" w:type="dxa"/>
            <w:tcBorders>
              <w:top w:val="nil" w:sz="6" w:space="0" w:color="auto"/>
              <w:left w:val="nil" w:sz="6" w:space="0" w:color="auto"/>
              <w:bottom w:val="nil" w:sz="6" w:space="0" w:color="auto"/>
              <w:right w:val="nil" w:sz="6" w:space="0" w:color="auto"/>
            </w:tcBorders>
          </w:tcPr>
          <w:p>
            <w:pPr/>
          </w:p>
        </w:tc>
        <w:tc>
          <w:tcPr>
            <w:tcW w:w="1495" w:type="dxa"/>
            <w:tcBorders>
              <w:top w:val="nil" w:sz="6" w:space="0" w:color="auto"/>
              <w:left w:val="nil" w:sz="6" w:space="0" w:color="auto"/>
              <w:bottom w:val="nil" w:sz="6" w:space="0" w:color="auto"/>
              <w:right w:val="nil" w:sz="6" w:space="0" w:color="auto"/>
            </w:tcBorders>
          </w:tcPr>
          <w:p>
            <w:pPr/>
          </w:p>
        </w:tc>
      </w:tr>
      <w:tr>
        <w:trPr>
          <w:trHeight w:val="623" w:hRule="exact"/>
        </w:trPr>
        <w:tc>
          <w:tcPr>
            <w:tcW w:w="1533"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22" w:lineRule="exact"/>
              <w:ind w:right="95"/>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个月以内</w:t>
            </w:r>
          </w:p>
        </w:tc>
        <w:tc>
          <w:tcPr>
            <w:tcW w:w="1091" w:type="dxa"/>
            <w:tcBorders>
              <w:top w:val="nil" w:sz="6" w:space="0" w:color="auto"/>
              <w:left w:val="nil" w:sz="6" w:space="0" w:color="auto"/>
              <w:bottom w:val="nil" w:sz="6" w:space="0" w:color="auto"/>
              <w:right w:val="nil" w:sz="6" w:space="0" w:color="auto"/>
            </w:tcBorders>
          </w:tcPr>
          <w:p>
            <w:pPr>
              <w:pStyle w:val="TableParagraph"/>
              <w:spacing w:line="205" w:lineRule="exact"/>
              <w:ind w:left="36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至</w:t>
            </w:r>
            <w:r>
              <w:rPr>
                <w:rFonts w:ascii="宋体" w:hAnsi="宋体" w:cs="宋体" w:eastAsia="宋体" w:hint="default"/>
                <w:sz w:val="18"/>
                <w:szCs w:val="18"/>
              </w:rPr>
              <w:t>3</w:t>
            </w:r>
            <w:r>
              <w:rPr>
                <w:rFonts w:ascii="宋体" w:hAnsi="宋体" w:cs="宋体" w:eastAsia="宋体" w:hint="default"/>
                <w:sz w:val="18"/>
                <w:szCs w:val="18"/>
              </w:rPr>
              <w:t>个月</w:t>
            </w:r>
          </w:p>
        </w:tc>
        <w:tc>
          <w:tcPr>
            <w:tcW w:w="1271" w:type="dxa"/>
            <w:tcBorders>
              <w:top w:val="nil" w:sz="6" w:space="0" w:color="auto"/>
              <w:left w:val="nil" w:sz="6" w:space="0" w:color="auto"/>
              <w:bottom w:val="nil" w:sz="6" w:space="0" w:color="auto"/>
              <w:right w:val="nil" w:sz="6" w:space="0" w:color="auto"/>
            </w:tcBorders>
          </w:tcPr>
          <w:p>
            <w:pPr>
              <w:pStyle w:val="TableParagraph"/>
              <w:spacing w:line="207" w:lineRule="exact"/>
              <w:ind w:left="293"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4"/>
                <w:sz w:val="18"/>
                <w:szCs w:val="18"/>
              </w:rPr>
              <w:t> </w:t>
            </w:r>
            <w:r>
              <w:rPr>
                <w:rFonts w:ascii="宋体" w:hAnsi="宋体" w:cs="宋体" w:eastAsia="宋体" w:hint="default"/>
                <w:sz w:val="18"/>
                <w:szCs w:val="18"/>
              </w:rPr>
              <w:t>个月以上</w:t>
            </w:r>
          </w:p>
          <w:p>
            <w:pPr>
              <w:pStyle w:val="TableParagraph"/>
              <w:spacing w:line="231" w:lineRule="exact"/>
              <w:ind w:left="723" w:right="0"/>
              <w:jc w:val="left"/>
              <w:rPr>
                <w:rFonts w:ascii="宋体" w:hAnsi="宋体" w:cs="宋体" w:eastAsia="宋体" w:hint="default"/>
                <w:sz w:val="18"/>
                <w:szCs w:val="18"/>
              </w:rPr>
            </w:pPr>
            <w:r>
              <w:rPr>
                <w:rFonts w:ascii="宋体" w:hAnsi="宋体" w:cs="宋体" w:eastAsia="宋体" w:hint="default"/>
                <w:sz w:val="18"/>
                <w:szCs w:val="18"/>
              </w:rPr>
              <w:t>至</w:t>
            </w:r>
            <w:r>
              <w:rPr>
                <w:rFonts w:ascii="宋体" w:hAnsi="宋体" w:cs="宋体" w:eastAsia="宋体" w:hint="default"/>
                <w:sz w:val="18"/>
                <w:szCs w:val="18"/>
              </w:rPr>
              <w:t>1</w:t>
            </w:r>
            <w:r>
              <w:rPr>
                <w:rFonts w:ascii="宋体" w:hAnsi="宋体" w:cs="宋体" w:eastAsia="宋体" w:hint="default"/>
                <w:sz w:val="18"/>
                <w:szCs w:val="18"/>
              </w:rPr>
              <w:t>年</w:t>
            </w:r>
          </w:p>
        </w:tc>
        <w:tc>
          <w:tcPr>
            <w:tcW w:w="1248" w:type="dxa"/>
            <w:tcBorders>
              <w:top w:val="nil" w:sz="6" w:space="0" w:color="auto"/>
              <w:left w:val="nil" w:sz="6" w:space="0" w:color="auto"/>
              <w:bottom w:val="nil" w:sz="6" w:space="0" w:color="auto"/>
              <w:right w:val="nil" w:sz="6" w:space="0" w:color="auto"/>
            </w:tcBorders>
          </w:tcPr>
          <w:p>
            <w:pPr>
              <w:pStyle w:val="TableParagraph"/>
              <w:spacing w:line="207" w:lineRule="exact"/>
              <w:ind w:left="384"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年以上</w:t>
            </w:r>
          </w:p>
          <w:p>
            <w:pPr>
              <w:pStyle w:val="TableParagraph"/>
              <w:spacing w:line="231" w:lineRule="exact"/>
              <w:ind w:left="634" w:right="0"/>
              <w:jc w:val="left"/>
              <w:rPr>
                <w:rFonts w:ascii="宋体" w:hAnsi="宋体" w:cs="宋体" w:eastAsia="宋体" w:hint="default"/>
                <w:sz w:val="18"/>
                <w:szCs w:val="18"/>
              </w:rPr>
            </w:pPr>
            <w:r>
              <w:rPr>
                <w:rFonts w:ascii="宋体" w:hAnsi="宋体" w:cs="宋体" w:eastAsia="宋体" w:hint="default"/>
                <w:sz w:val="18"/>
                <w:szCs w:val="18"/>
              </w:rPr>
              <w:t>至</w:t>
            </w:r>
            <w:r>
              <w:rPr>
                <w:rFonts w:ascii="宋体" w:hAnsi="宋体" w:cs="宋体" w:eastAsia="宋体" w:hint="default"/>
                <w:sz w:val="18"/>
                <w:szCs w:val="18"/>
              </w:rPr>
              <w:t>5</w:t>
            </w:r>
            <w:r>
              <w:rPr>
                <w:rFonts w:ascii="宋体" w:hAnsi="宋体" w:cs="宋体" w:eastAsia="宋体" w:hint="default"/>
                <w:sz w:val="18"/>
                <w:szCs w:val="18"/>
              </w:rPr>
              <w:t>年</w:t>
            </w:r>
          </w:p>
        </w:tc>
        <w:tc>
          <w:tcPr>
            <w:tcW w:w="908" w:type="dxa"/>
            <w:tcBorders>
              <w:top w:val="nil" w:sz="6" w:space="0" w:color="auto"/>
              <w:left w:val="nil" w:sz="6" w:space="0" w:color="auto"/>
              <w:bottom w:val="nil" w:sz="6" w:space="0" w:color="auto"/>
              <w:right w:val="nil" w:sz="6" w:space="0" w:color="auto"/>
            </w:tcBorders>
          </w:tcPr>
          <w:p>
            <w:pPr>
              <w:pStyle w:val="TableParagraph"/>
              <w:spacing w:line="222" w:lineRule="exact"/>
              <w:ind w:right="122"/>
              <w:jc w:val="righ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z w:val="18"/>
                <w:szCs w:val="18"/>
              </w:rPr>
              <w:t>年以上</w:t>
            </w:r>
          </w:p>
        </w:tc>
        <w:tc>
          <w:tcPr>
            <w:tcW w:w="1495" w:type="dxa"/>
            <w:tcBorders>
              <w:top w:val="nil" w:sz="6" w:space="0" w:color="auto"/>
              <w:left w:val="nil" w:sz="6" w:space="0" w:color="auto"/>
              <w:bottom w:val="nil" w:sz="6" w:space="0" w:color="auto"/>
              <w:right w:val="nil" w:sz="6" w:space="0" w:color="auto"/>
            </w:tcBorders>
          </w:tcPr>
          <w:p>
            <w:pPr>
              <w:pStyle w:val="TableParagraph"/>
              <w:spacing w:line="222" w:lineRule="exact"/>
              <w:ind w:right="198"/>
              <w:jc w:val="right"/>
              <w:rPr>
                <w:rFonts w:ascii="宋体" w:hAnsi="宋体" w:cs="宋体" w:eastAsia="宋体" w:hint="default"/>
                <w:sz w:val="18"/>
                <w:szCs w:val="18"/>
              </w:rPr>
            </w:pPr>
            <w:r>
              <w:rPr>
                <w:rFonts w:ascii="宋体" w:hAnsi="宋体" w:cs="宋体" w:eastAsia="宋体" w:hint="default"/>
                <w:sz w:val="18"/>
                <w:szCs w:val="18"/>
              </w:rPr>
              <w:t>合计</w:t>
            </w:r>
          </w:p>
        </w:tc>
      </w:tr>
      <w:tr>
        <w:trPr>
          <w:trHeight w:val="423" w:hRule="exact"/>
        </w:trPr>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200"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93"/>
              <w:jc w:val="right"/>
              <w:rPr>
                <w:rFonts w:ascii="宋体" w:hAnsi="宋体" w:cs="宋体" w:eastAsia="宋体" w:hint="default"/>
                <w:sz w:val="18"/>
                <w:szCs w:val="18"/>
              </w:rPr>
            </w:pPr>
            <w:r>
              <w:rPr>
                <w:rFonts w:ascii="宋体"/>
                <w:spacing w:val="-1"/>
                <w:sz w:val="18"/>
              </w:rPr>
              <w:t>531,273,179</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94" w:right="0"/>
              <w:jc w:val="left"/>
              <w:rPr>
                <w:rFonts w:ascii="宋体" w:hAnsi="宋体" w:cs="宋体" w:eastAsia="宋体" w:hint="default"/>
                <w:sz w:val="18"/>
                <w:szCs w:val="18"/>
              </w:rPr>
            </w:pPr>
            <w:r>
              <w:rPr>
                <w:rFonts w:ascii="宋体"/>
                <w:sz w:val="18"/>
              </w:rPr>
              <w:t>755,928,216</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93"/>
              <w:jc w:val="right"/>
              <w:rPr>
                <w:rFonts w:ascii="宋体" w:hAnsi="宋体" w:cs="宋体" w:eastAsia="宋体" w:hint="default"/>
                <w:sz w:val="18"/>
                <w:szCs w:val="18"/>
              </w:rPr>
            </w:pPr>
            <w:r>
              <w:rPr>
                <w:rFonts w:ascii="宋体"/>
                <w:spacing w:val="-1"/>
                <w:sz w:val="18"/>
              </w:rPr>
              <w:t>2,220,017,253</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61"/>
              <w:jc w:val="right"/>
              <w:rPr>
                <w:rFonts w:ascii="宋体" w:hAnsi="宋体" w:cs="宋体" w:eastAsia="宋体" w:hint="default"/>
                <w:sz w:val="18"/>
                <w:szCs w:val="18"/>
              </w:rPr>
            </w:pPr>
            <w:r>
              <w:rPr>
                <w:rFonts w:ascii="宋体"/>
                <w:sz w:val="18"/>
              </w:rPr>
              <w:t>-</w:t>
            </w:r>
          </w:p>
        </w:tc>
        <w:tc>
          <w:tcPr>
            <w:tcW w:w="908"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23"/>
              <w:jc w:val="right"/>
              <w:rPr>
                <w:rFonts w:ascii="宋体" w:hAnsi="宋体" w:cs="宋体" w:eastAsia="宋体" w:hint="default"/>
                <w:sz w:val="18"/>
                <w:szCs w:val="18"/>
              </w:rPr>
            </w:pPr>
            <w:r>
              <w:rPr>
                <w:rFonts w:ascii="宋体"/>
                <w:sz w:val="18"/>
              </w:rPr>
              <w:t>-</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98"/>
              <w:jc w:val="right"/>
              <w:rPr>
                <w:rFonts w:ascii="宋体" w:hAnsi="宋体" w:cs="宋体" w:eastAsia="宋体" w:hint="default"/>
                <w:sz w:val="18"/>
                <w:szCs w:val="18"/>
              </w:rPr>
            </w:pPr>
            <w:r>
              <w:rPr>
                <w:rFonts w:ascii="宋体"/>
                <w:spacing w:val="-1"/>
                <w:sz w:val="18"/>
              </w:rPr>
              <w:t>3,507,218,648</w:t>
            </w:r>
          </w:p>
        </w:tc>
      </w:tr>
      <w:tr>
        <w:trPr>
          <w:trHeight w:val="281" w:hRule="exact"/>
        </w:trPr>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2"/>
              <w:ind w:left="200"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340" w:type="dxa"/>
            <w:tcBorders>
              <w:top w:val="nil" w:sz="6" w:space="0" w:color="auto"/>
              <w:left w:val="nil" w:sz="6" w:space="0" w:color="auto"/>
              <w:bottom w:val="nil" w:sz="6" w:space="0" w:color="auto"/>
              <w:right w:val="nil" w:sz="6" w:space="0" w:color="auto"/>
            </w:tcBorders>
          </w:tcPr>
          <w:p>
            <w:pPr>
              <w:pStyle w:val="TableParagraph"/>
              <w:spacing w:line="223" w:lineRule="exact"/>
              <w:ind w:right="93"/>
              <w:jc w:val="right"/>
              <w:rPr>
                <w:rFonts w:ascii="宋体" w:hAnsi="宋体" w:cs="宋体" w:eastAsia="宋体" w:hint="default"/>
                <w:sz w:val="18"/>
                <w:szCs w:val="18"/>
              </w:rPr>
            </w:pPr>
            <w:r>
              <w:rPr>
                <w:rFonts w:ascii="宋体"/>
                <w:spacing w:val="-1"/>
                <w:sz w:val="18"/>
              </w:rPr>
              <w:t>443,486,736</w:t>
            </w:r>
          </w:p>
        </w:tc>
        <w:tc>
          <w:tcPr>
            <w:tcW w:w="1091" w:type="dxa"/>
            <w:tcBorders>
              <w:top w:val="nil" w:sz="6" w:space="0" w:color="auto"/>
              <w:left w:val="nil" w:sz="6" w:space="0" w:color="auto"/>
              <w:bottom w:val="nil" w:sz="6" w:space="0" w:color="auto"/>
              <w:right w:val="nil" w:sz="6" w:space="0" w:color="auto"/>
            </w:tcBorders>
          </w:tcPr>
          <w:p>
            <w:pPr>
              <w:pStyle w:val="TableParagraph"/>
              <w:spacing w:line="223" w:lineRule="exact"/>
              <w:ind w:left="274" w:right="0"/>
              <w:jc w:val="left"/>
              <w:rPr>
                <w:rFonts w:ascii="宋体" w:hAnsi="宋体" w:cs="宋体" w:eastAsia="宋体" w:hint="default"/>
                <w:sz w:val="18"/>
                <w:szCs w:val="18"/>
              </w:rPr>
            </w:pPr>
            <w:r>
              <w:rPr>
                <w:rFonts w:ascii="宋体"/>
                <w:sz w:val="18"/>
              </w:rPr>
              <w:t>9,426,172</w:t>
            </w:r>
          </w:p>
        </w:tc>
        <w:tc>
          <w:tcPr>
            <w:tcW w:w="1271" w:type="dxa"/>
            <w:tcBorders>
              <w:top w:val="nil" w:sz="6" w:space="0" w:color="auto"/>
              <w:left w:val="nil" w:sz="6" w:space="0" w:color="auto"/>
              <w:bottom w:val="nil" w:sz="6" w:space="0" w:color="auto"/>
              <w:right w:val="nil" w:sz="6" w:space="0" w:color="auto"/>
            </w:tcBorders>
          </w:tcPr>
          <w:p>
            <w:pPr>
              <w:pStyle w:val="TableParagraph"/>
              <w:spacing w:line="223" w:lineRule="exact"/>
              <w:ind w:right="94"/>
              <w:jc w:val="right"/>
              <w:rPr>
                <w:rFonts w:ascii="宋体" w:hAnsi="宋体" w:cs="宋体" w:eastAsia="宋体" w:hint="default"/>
                <w:sz w:val="18"/>
                <w:szCs w:val="18"/>
              </w:rPr>
            </w:pPr>
            <w:r>
              <w:rPr>
                <w:rFonts w:ascii="宋体"/>
                <w:sz w:val="18"/>
              </w:rPr>
              <w:t>-</w:t>
            </w:r>
          </w:p>
        </w:tc>
        <w:tc>
          <w:tcPr>
            <w:tcW w:w="1248" w:type="dxa"/>
            <w:tcBorders>
              <w:top w:val="nil" w:sz="6" w:space="0" w:color="auto"/>
              <w:left w:val="nil" w:sz="6" w:space="0" w:color="auto"/>
              <w:bottom w:val="nil" w:sz="6" w:space="0" w:color="auto"/>
              <w:right w:val="nil" w:sz="6" w:space="0" w:color="auto"/>
            </w:tcBorders>
          </w:tcPr>
          <w:p>
            <w:pPr>
              <w:pStyle w:val="TableParagraph"/>
              <w:spacing w:line="223" w:lineRule="exact"/>
              <w:ind w:right="161"/>
              <w:jc w:val="right"/>
              <w:rPr>
                <w:rFonts w:ascii="宋体" w:hAnsi="宋体" w:cs="宋体" w:eastAsia="宋体" w:hint="default"/>
                <w:sz w:val="18"/>
                <w:szCs w:val="18"/>
              </w:rPr>
            </w:pPr>
            <w:r>
              <w:rPr>
                <w:rFonts w:ascii="宋体"/>
                <w:sz w:val="18"/>
              </w:rPr>
              <w:t>-</w:t>
            </w:r>
          </w:p>
        </w:tc>
        <w:tc>
          <w:tcPr>
            <w:tcW w:w="908" w:type="dxa"/>
            <w:tcBorders>
              <w:top w:val="nil" w:sz="6" w:space="0" w:color="auto"/>
              <w:left w:val="nil" w:sz="6" w:space="0" w:color="auto"/>
              <w:bottom w:val="nil" w:sz="6" w:space="0" w:color="auto"/>
              <w:right w:val="nil" w:sz="6" w:space="0" w:color="auto"/>
            </w:tcBorders>
          </w:tcPr>
          <w:p>
            <w:pPr>
              <w:pStyle w:val="TableParagraph"/>
              <w:spacing w:line="223" w:lineRule="exact"/>
              <w:ind w:right="123"/>
              <w:jc w:val="right"/>
              <w:rPr>
                <w:rFonts w:ascii="宋体" w:hAnsi="宋体" w:cs="宋体" w:eastAsia="宋体" w:hint="default"/>
                <w:sz w:val="18"/>
                <w:szCs w:val="18"/>
              </w:rPr>
            </w:pPr>
            <w:r>
              <w:rPr>
                <w:rFonts w:ascii="宋体"/>
                <w:sz w:val="18"/>
              </w:rPr>
              <w:t>-</w:t>
            </w:r>
          </w:p>
        </w:tc>
        <w:tc>
          <w:tcPr>
            <w:tcW w:w="1495" w:type="dxa"/>
            <w:tcBorders>
              <w:top w:val="nil" w:sz="6" w:space="0" w:color="auto"/>
              <w:left w:val="nil" w:sz="6" w:space="0" w:color="auto"/>
              <w:bottom w:val="nil" w:sz="6" w:space="0" w:color="auto"/>
              <w:right w:val="nil" w:sz="6" w:space="0" w:color="auto"/>
            </w:tcBorders>
          </w:tcPr>
          <w:p>
            <w:pPr>
              <w:pStyle w:val="TableParagraph"/>
              <w:spacing w:line="223" w:lineRule="exact"/>
              <w:ind w:right="198"/>
              <w:jc w:val="right"/>
              <w:rPr>
                <w:rFonts w:ascii="宋体" w:hAnsi="宋体" w:cs="宋体" w:eastAsia="宋体" w:hint="default"/>
                <w:sz w:val="18"/>
                <w:szCs w:val="18"/>
              </w:rPr>
            </w:pPr>
            <w:r>
              <w:rPr>
                <w:rFonts w:ascii="宋体"/>
                <w:spacing w:val="-1"/>
                <w:sz w:val="18"/>
              </w:rPr>
              <w:t>452,912,908</w:t>
            </w:r>
          </w:p>
        </w:tc>
      </w:tr>
      <w:tr>
        <w:trPr>
          <w:trHeight w:val="278" w:hRule="exact"/>
        </w:trPr>
        <w:tc>
          <w:tcPr>
            <w:tcW w:w="1533" w:type="dxa"/>
            <w:tcBorders>
              <w:top w:val="nil" w:sz="6" w:space="0" w:color="auto"/>
              <w:left w:val="nil" w:sz="6" w:space="0" w:color="auto"/>
              <w:bottom w:val="nil" w:sz="6" w:space="0" w:color="auto"/>
              <w:right w:val="nil" w:sz="6" w:space="0" w:color="auto"/>
            </w:tcBorders>
          </w:tcPr>
          <w:p>
            <w:pPr>
              <w:pStyle w:val="TableParagraph"/>
              <w:spacing w:line="235" w:lineRule="exact"/>
              <w:ind w:left="200"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340" w:type="dxa"/>
            <w:tcBorders>
              <w:top w:val="nil" w:sz="6" w:space="0" w:color="auto"/>
              <w:left w:val="nil" w:sz="6" w:space="0" w:color="auto"/>
              <w:bottom w:val="nil" w:sz="6" w:space="0" w:color="auto"/>
              <w:right w:val="nil" w:sz="6" w:space="0" w:color="auto"/>
            </w:tcBorders>
          </w:tcPr>
          <w:p>
            <w:pPr>
              <w:pStyle w:val="TableParagraph"/>
              <w:spacing w:line="223" w:lineRule="exact"/>
              <w:ind w:right="93"/>
              <w:jc w:val="right"/>
              <w:rPr>
                <w:rFonts w:ascii="宋体" w:hAnsi="宋体" w:cs="宋体" w:eastAsia="宋体" w:hint="default"/>
                <w:sz w:val="18"/>
                <w:szCs w:val="18"/>
              </w:rPr>
            </w:pPr>
            <w:r>
              <w:rPr>
                <w:rFonts w:ascii="宋体"/>
                <w:spacing w:val="-1"/>
                <w:sz w:val="18"/>
              </w:rPr>
              <w:t>74,996,726</w:t>
            </w:r>
          </w:p>
        </w:tc>
        <w:tc>
          <w:tcPr>
            <w:tcW w:w="1091" w:type="dxa"/>
            <w:tcBorders>
              <w:top w:val="nil" w:sz="6" w:space="0" w:color="auto"/>
              <w:left w:val="nil" w:sz="6" w:space="0" w:color="auto"/>
              <w:bottom w:val="nil" w:sz="6" w:space="0" w:color="auto"/>
              <w:right w:val="nil" w:sz="6" w:space="0" w:color="auto"/>
            </w:tcBorders>
          </w:tcPr>
          <w:p>
            <w:pPr>
              <w:pStyle w:val="TableParagraph"/>
              <w:spacing w:line="223" w:lineRule="exact"/>
              <w:ind w:left="185" w:right="0"/>
              <w:jc w:val="left"/>
              <w:rPr>
                <w:rFonts w:ascii="宋体" w:hAnsi="宋体" w:cs="宋体" w:eastAsia="宋体" w:hint="default"/>
                <w:sz w:val="18"/>
                <w:szCs w:val="18"/>
              </w:rPr>
            </w:pPr>
            <w:r>
              <w:rPr>
                <w:rFonts w:ascii="宋体"/>
                <w:sz w:val="18"/>
              </w:rPr>
              <w:t>17,802,000</w:t>
            </w:r>
          </w:p>
        </w:tc>
        <w:tc>
          <w:tcPr>
            <w:tcW w:w="1271" w:type="dxa"/>
            <w:tcBorders>
              <w:top w:val="nil" w:sz="6" w:space="0" w:color="auto"/>
              <w:left w:val="nil" w:sz="6" w:space="0" w:color="auto"/>
              <w:bottom w:val="nil" w:sz="6" w:space="0" w:color="auto"/>
              <w:right w:val="nil" w:sz="6" w:space="0" w:color="auto"/>
            </w:tcBorders>
          </w:tcPr>
          <w:p>
            <w:pPr>
              <w:pStyle w:val="TableParagraph"/>
              <w:spacing w:line="223" w:lineRule="exact"/>
              <w:ind w:right="93"/>
              <w:jc w:val="right"/>
              <w:rPr>
                <w:rFonts w:ascii="宋体" w:hAnsi="宋体" w:cs="宋体" w:eastAsia="宋体" w:hint="default"/>
                <w:sz w:val="18"/>
                <w:szCs w:val="18"/>
              </w:rPr>
            </w:pPr>
            <w:r>
              <w:rPr>
                <w:rFonts w:ascii="宋体"/>
                <w:spacing w:val="-1"/>
                <w:sz w:val="18"/>
              </w:rPr>
              <w:t>450,728,499</w:t>
            </w:r>
          </w:p>
        </w:tc>
        <w:tc>
          <w:tcPr>
            <w:tcW w:w="1248" w:type="dxa"/>
            <w:tcBorders>
              <w:top w:val="nil" w:sz="6" w:space="0" w:color="auto"/>
              <w:left w:val="nil" w:sz="6" w:space="0" w:color="auto"/>
              <w:bottom w:val="nil" w:sz="6" w:space="0" w:color="auto"/>
              <w:right w:val="nil" w:sz="6" w:space="0" w:color="auto"/>
            </w:tcBorders>
          </w:tcPr>
          <w:p>
            <w:pPr>
              <w:pStyle w:val="TableParagraph"/>
              <w:spacing w:line="223" w:lineRule="exact"/>
              <w:ind w:left="94" w:right="0"/>
              <w:jc w:val="left"/>
              <w:rPr>
                <w:rFonts w:ascii="宋体" w:hAnsi="宋体" w:cs="宋体" w:eastAsia="宋体" w:hint="default"/>
                <w:sz w:val="18"/>
                <w:szCs w:val="18"/>
              </w:rPr>
            </w:pPr>
            <w:r>
              <w:rPr>
                <w:rFonts w:ascii="宋体"/>
                <w:sz w:val="18"/>
              </w:rPr>
              <w:t>101,400,322</w:t>
            </w:r>
          </w:p>
        </w:tc>
        <w:tc>
          <w:tcPr>
            <w:tcW w:w="908" w:type="dxa"/>
            <w:tcBorders>
              <w:top w:val="nil" w:sz="6" w:space="0" w:color="auto"/>
              <w:left w:val="nil" w:sz="6" w:space="0" w:color="auto"/>
              <w:bottom w:val="nil" w:sz="6" w:space="0" w:color="auto"/>
              <w:right w:val="nil" w:sz="6" w:space="0" w:color="auto"/>
            </w:tcBorders>
          </w:tcPr>
          <w:p>
            <w:pPr>
              <w:pStyle w:val="TableParagraph"/>
              <w:spacing w:line="223" w:lineRule="exact"/>
              <w:ind w:right="123"/>
              <w:jc w:val="right"/>
              <w:rPr>
                <w:rFonts w:ascii="宋体" w:hAnsi="宋体" w:cs="宋体" w:eastAsia="宋体" w:hint="default"/>
                <w:sz w:val="18"/>
                <w:szCs w:val="18"/>
              </w:rPr>
            </w:pPr>
            <w:r>
              <w:rPr>
                <w:rFonts w:ascii="宋体"/>
                <w:sz w:val="18"/>
              </w:rPr>
              <w:t>-</w:t>
            </w:r>
          </w:p>
        </w:tc>
        <w:tc>
          <w:tcPr>
            <w:tcW w:w="1495" w:type="dxa"/>
            <w:tcBorders>
              <w:top w:val="nil" w:sz="6" w:space="0" w:color="auto"/>
              <w:left w:val="nil" w:sz="6" w:space="0" w:color="auto"/>
              <w:bottom w:val="nil" w:sz="6" w:space="0" w:color="auto"/>
              <w:right w:val="nil" w:sz="6" w:space="0" w:color="auto"/>
            </w:tcBorders>
          </w:tcPr>
          <w:p>
            <w:pPr>
              <w:pStyle w:val="TableParagraph"/>
              <w:spacing w:line="223" w:lineRule="exact"/>
              <w:ind w:right="198"/>
              <w:jc w:val="right"/>
              <w:rPr>
                <w:rFonts w:ascii="宋体" w:hAnsi="宋体" w:cs="宋体" w:eastAsia="宋体" w:hint="default"/>
                <w:sz w:val="18"/>
                <w:szCs w:val="18"/>
              </w:rPr>
            </w:pPr>
            <w:r>
              <w:rPr>
                <w:rFonts w:ascii="宋体"/>
                <w:spacing w:val="-1"/>
                <w:sz w:val="18"/>
              </w:rPr>
              <w:t>644,927,547</w:t>
            </w:r>
          </w:p>
        </w:tc>
      </w:tr>
      <w:tr>
        <w:trPr>
          <w:trHeight w:val="288" w:hRule="exact"/>
        </w:trPr>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2"/>
              <w:ind w:left="200"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340"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
        </w:tc>
        <w:tc>
          <w:tcPr>
            <w:tcW w:w="1271" w:type="dxa"/>
            <w:tcBorders>
              <w:top w:val="nil" w:sz="6" w:space="0" w:color="auto"/>
              <w:left w:val="nil" w:sz="6" w:space="0" w:color="auto"/>
              <w:bottom w:val="nil" w:sz="6" w:space="0" w:color="auto"/>
              <w:right w:val="nil" w:sz="6" w:space="0" w:color="auto"/>
            </w:tcBorders>
          </w:tcPr>
          <w:p>
            <w:pPr>
              <w:pStyle w:val="TableParagraph"/>
              <w:spacing w:line="223" w:lineRule="exact"/>
              <w:ind w:right="92"/>
              <w:jc w:val="right"/>
              <w:rPr>
                <w:rFonts w:ascii="宋体" w:hAnsi="宋体" w:cs="宋体" w:eastAsia="宋体" w:hint="default"/>
                <w:sz w:val="18"/>
                <w:szCs w:val="18"/>
              </w:rPr>
            </w:pPr>
            <w:r>
              <w:rPr>
                <w:rFonts w:ascii="宋体"/>
                <w:sz w:val="18"/>
              </w:rPr>
              <w:t>312,500</w:t>
            </w:r>
          </w:p>
        </w:tc>
        <w:tc>
          <w:tcPr>
            <w:tcW w:w="1248" w:type="dxa"/>
            <w:tcBorders>
              <w:top w:val="nil" w:sz="6" w:space="0" w:color="auto"/>
              <w:left w:val="nil" w:sz="6" w:space="0" w:color="auto"/>
              <w:bottom w:val="nil" w:sz="6" w:space="0" w:color="auto"/>
              <w:right w:val="nil" w:sz="6" w:space="0" w:color="auto"/>
            </w:tcBorders>
          </w:tcPr>
          <w:p>
            <w:pPr/>
          </w:p>
        </w:tc>
        <w:tc>
          <w:tcPr>
            <w:tcW w:w="908" w:type="dxa"/>
            <w:tcBorders>
              <w:top w:val="nil" w:sz="6" w:space="0" w:color="auto"/>
              <w:left w:val="nil" w:sz="6" w:space="0" w:color="auto"/>
              <w:bottom w:val="nil" w:sz="6" w:space="0" w:color="auto"/>
              <w:right w:val="nil" w:sz="6" w:space="0" w:color="auto"/>
            </w:tcBorders>
          </w:tcPr>
          <w:p>
            <w:pPr/>
          </w:p>
        </w:tc>
        <w:tc>
          <w:tcPr>
            <w:tcW w:w="1495" w:type="dxa"/>
            <w:tcBorders>
              <w:top w:val="nil" w:sz="6" w:space="0" w:color="auto"/>
              <w:left w:val="nil" w:sz="6" w:space="0" w:color="auto"/>
              <w:bottom w:val="nil" w:sz="6" w:space="0" w:color="auto"/>
              <w:right w:val="nil" w:sz="6" w:space="0" w:color="auto"/>
            </w:tcBorders>
          </w:tcPr>
          <w:p>
            <w:pPr>
              <w:pStyle w:val="TableParagraph"/>
              <w:spacing w:line="223" w:lineRule="exact"/>
              <w:ind w:right="198"/>
              <w:jc w:val="right"/>
              <w:rPr>
                <w:rFonts w:ascii="宋体" w:hAnsi="宋体" w:cs="宋体" w:eastAsia="宋体" w:hint="default"/>
                <w:sz w:val="18"/>
                <w:szCs w:val="18"/>
              </w:rPr>
            </w:pPr>
            <w:r>
              <w:rPr>
                <w:rFonts w:ascii="宋体"/>
                <w:sz w:val="18"/>
              </w:rPr>
              <w:t>312,500</w:t>
            </w:r>
          </w:p>
        </w:tc>
      </w:tr>
      <w:tr>
        <w:trPr>
          <w:trHeight w:val="552" w:hRule="exact"/>
        </w:trPr>
        <w:tc>
          <w:tcPr>
            <w:tcW w:w="1533" w:type="dxa"/>
            <w:tcBorders>
              <w:top w:val="nil" w:sz="6" w:space="0" w:color="auto"/>
              <w:left w:val="nil" w:sz="6" w:space="0" w:color="auto"/>
              <w:bottom w:val="nil" w:sz="6" w:space="0" w:color="auto"/>
              <w:right w:val="nil" w:sz="6" w:space="0" w:color="auto"/>
            </w:tcBorders>
          </w:tcPr>
          <w:p>
            <w:pPr>
              <w:pStyle w:val="TableParagraph"/>
              <w:spacing w:line="283" w:lineRule="auto"/>
              <w:ind w:left="382" w:right="251" w:hanging="183"/>
              <w:jc w:val="left"/>
              <w:rPr>
                <w:rFonts w:ascii="宋体" w:hAnsi="宋体" w:cs="宋体" w:eastAsia="宋体" w:hint="default"/>
                <w:sz w:val="18"/>
                <w:szCs w:val="18"/>
              </w:rPr>
            </w:pPr>
            <w:r>
              <w:rPr>
                <w:rFonts w:ascii="宋体" w:hAnsi="宋体" w:cs="宋体" w:eastAsia="宋体" w:hint="default"/>
                <w:sz w:val="18"/>
                <w:szCs w:val="18"/>
              </w:rPr>
              <w:t>一年内到期的 长期借款</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93"/>
              <w:jc w:val="right"/>
              <w:rPr>
                <w:rFonts w:ascii="宋体" w:hAnsi="宋体" w:cs="宋体" w:eastAsia="宋体" w:hint="default"/>
                <w:sz w:val="18"/>
                <w:szCs w:val="18"/>
              </w:rPr>
            </w:pPr>
            <w:r>
              <w:rPr>
                <w:rFonts w:ascii="宋体"/>
                <w:spacing w:val="-1"/>
                <w:sz w:val="18"/>
              </w:rPr>
              <w:t>30,000,000</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185" w:right="0"/>
              <w:jc w:val="left"/>
              <w:rPr>
                <w:rFonts w:ascii="宋体" w:hAnsi="宋体" w:cs="宋体" w:eastAsia="宋体" w:hint="default"/>
                <w:sz w:val="18"/>
                <w:szCs w:val="18"/>
              </w:rPr>
            </w:pPr>
            <w:r>
              <w:rPr>
                <w:rFonts w:ascii="宋体"/>
                <w:sz w:val="18"/>
              </w:rPr>
              <w:t>27,521,611</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95"/>
              <w:jc w:val="right"/>
              <w:rPr>
                <w:rFonts w:ascii="宋体" w:hAnsi="宋体" w:cs="宋体" w:eastAsia="宋体" w:hint="default"/>
                <w:sz w:val="18"/>
                <w:szCs w:val="18"/>
              </w:rPr>
            </w:pPr>
            <w:r>
              <w:rPr>
                <w:rFonts w:ascii="宋体"/>
                <w:spacing w:val="-1"/>
                <w:sz w:val="18"/>
              </w:rPr>
              <w:t>113,192,125</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161"/>
              <w:jc w:val="right"/>
              <w:rPr>
                <w:rFonts w:ascii="宋体" w:hAnsi="宋体" w:cs="宋体" w:eastAsia="宋体" w:hint="default"/>
                <w:sz w:val="18"/>
                <w:szCs w:val="18"/>
              </w:rPr>
            </w:pPr>
            <w:r>
              <w:rPr>
                <w:rFonts w:ascii="宋体"/>
                <w:sz w:val="18"/>
              </w:rPr>
              <w:t>-</w:t>
            </w:r>
          </w:p>
        </w:tc>
        <w:tc>
          <w:tcPr>
            <w:tcW w:w="90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123"/>
              <w:jc w:val="right"/>
              <w:rPr>
                <w:rFonts w:ascii="宋体" w:hAnsi="宋体" w:cs="宋体" w:eastAsia="宋体" w:hint="default"/>
                <w:sz w:val="18"/>
                <w:szCs w:val="18"/>
              </w:rPr>
            </w:pPr>
            <w:r>
              <w:rPr>
                <w:rFonts w:ascii="宋体"/>
                <w:sz w:val="18"/>
              </w:rPr>
              <w:t>-</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198"/>
              <w:jc w:val="right"/>
              <w:rPr>
                <w:rFonts w:ascii="宋体" w:hAnsi="宋体" w:cs="宋体" w:eastAsia="宋体" w:hint="default"/>
                <w:sz w:val="18"/>
                <w:szCs w:val="18"/>
              </w:rPr>
            </w:pPr>
            <w:r>
              <w:rPr>
                <w:rFonts w:ascii="宋体"/>
                <w:spacing w:val="-1"/>
                <w:sz w:val="18"/>
              </w:rPr>
              <w:t>170,713,736</w:t>
            </w:r>
          </w:p>
        </w:tc>
      </w:tr>
      <w:tr>
        <w:trPr>
          <w:trHeight w:val="541" w:hRule="exact"/>
        </w:trPr>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2"/>
              <w:ind w:left="200"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340" w:type="dxa"/>
            <w:tcBorders>
              <w:top w:val="nil" w:sz="6" w:space="0" w:color="auto"/>
              <w:left w:val="nil" w:sz="6" w:space="0" w:color="auto"/>
              <w:bottom w:val="nil" w:sz="6" w:space="0" w:color="auto"/>
              <w:right w:val="nil" w:sz="6" w:space="0" w:color="auto"/>
            </w:tcBorders>
          </w:tcPr>
          <w:p>
            <w:pPr>
              <w:pStyle w:val="TableParagraph"/>
              <w:tabs>
                <w:tab w:pos="1082" w:val="left" w:leader="none"/>
              </w:tabs>
              <w:spacing w:line="223" w:lineRule="exact"/>
              <w:ind w:right="92"/>
              <w:jc w:val="right"/>
              <w:rPr>
                <w:rFonts w:ascii="宋体" w:hAnsi="宋体" w:cs="宋体" w:eastAsia="宋体" w:hint="default"/>
                <w:sz w:val="18"/>
                <w:szCs w:val="18"/>
              </w:rPr>
            </w:pPr>
            <w:r>
              <w:rPr>
                <w:rFonts w:ascii="宋体"/>
                <w:sz w:val="18"/>
              </w:rPr>
            </w:r>
            <w:r>
              <w:rPr>
                <w:rFonts w:ascii="宋体"/>
                <w:sz w:val="18"/>
                <w:u w:val="single" w:color="000000"/>
              </w:rPr>
              <w:t> </w:t>
              <w:tab/>
              <w:t>-</w:t>
            </w:r>
            <w:r>
              <w:rPr>
                <w:rFonts w:ascii="宋体"/>
                <w:sz w:val="18"/>
              </w:rPr>
            </w:r>
          </w:p>
        </w:tc>
        <w:tc>
          <w:tcPr>
            <w:tcW w:w="1091" w:type="dxa"/>
            <w:tcBorders>
              <w:top w:val="nil" w:sz="6" w:space="0" w:color="auto"/>
              <w:left w:val="nil" w:sz="6" w:space="0" w:color="auto"/>
              <w:bottom w:val="nil" w:sz="6" w:space="0" w:color="auto"/>
              <w:right w:val="nil" w:sz="6" w:space="0" w:color="auto"/>
            </w:tcBorders>
          </w:tcPr>
          <w:p>
            <w:pPr>
              <w:pStyle w:val="TableParagraph"/>
              <w:tabs>
                <w:tab w:pos="996" w:val="left" w:leader="none"/>
                <w:tab w:pos="2177" w:val="left" w:leader="none"/>
              </w:tabs>
              <w:spacing w:line="223" w:lineRule="exact"/>
              <w:ind w:left="5" w:right="-1087"/>
              <w:jc w:val="left"/>
              <w:rPr>
                <w:rFonts w:ascii="宋体" w:hAnsi="宋体" w:cs="宋体" w:eastAsia="宋体" w:hint="default"/>
                <w:sz w:val="18"/>
                <w:szCs w:val="18"/>
              </w:rPr>
            </w:pPr>
            <w:r>
              <w:rPr>
                <w:rFonts w:ascii="宋体"/>
                <w:sz w:val="18"/>
              </w:rPr>
            </w:r>
            <w:r>
              <w:rPr>
                <w:rFonts w:ascii="宋体"/>
                <w:sz w:val="18"/>
                <w:u w:val="single" w:color="000000"/>
              </w:rPr>
              <w:t> </w:t>
              <w:tab/>
              <w:t>-</w:t>
              <w:tab/>
            </w:r>
            <w:r>
              <w:rPr>
                <w:rFonts w:ascii="宋体"/>
                <w:sz w:val="18"/>
              </w:rPr>
            </w:r>
          </w:p>
        </w:tc>
        <w:tc>
          <w:tcPr>
            <w:tcW w:w="1271" w:type="dxa"/>
            <w:tcBorders>
              <w:top w:val="nil" w:sz="6" w:space="0" w:color="auto"/>
              <w:left w:val="nil" w:sz="6" w:space="0" w:color="auto"/>
              <w:bottom w:val="nil" w:sz="6" w:space="0" w:color="auto"/>
              <w:right w:val="nil" w:sz="6" w:space="0" w:color="auto"/>
            </w:tcBorders>
          </w:tcPr>
          <w:p>
            <w:pPr>
              <w:pStyle w:val="TableParagraph"/>
              <w:spacing w:line="223" w:lineRule="exact"/>
              <w:ind w:right="92"/>
              <w:jc w:val="right"/>
              <w:rPr>
                <w:rFonts w:ascii="宋体" w:hAnsi="宋体" w:cs="宋体" w:eastAsia="宋体" w:hint="default"/>
                <w:sz w:val="18"/>
                <w:szCs w:val="18"/>
              </w:rPr>
            </w:pPr>
            <w:r>
              <w:rPr>
                <w:rFonts w:ascii="宋体"/>
                <w:sz w:val="18"/>
              </w:rPr>
            </w:r>
            <w:r>
              <w:rPr>
                <w:rFonts w:ascii="宋体"/>
                <w:sz w:val="18"/>
                <w:u w:val="single" w:color="000000"/>
              </w:rPr>
              <w:t>-</w:t>
            </w:r>
            <w:r>
              <w:rPr>
                <w:rFonts w:ascii="宋体"/>
                <w:sz w:val="18"/>
              </w:rPr>
            </w:r>
          </w:p>
        </w:tc>
        <w:tc>
          <w:tcPr>
            <w:tcW w:w="1248" w:type="dxa"/>
            <w:tcBorders>
              <w:top w:val="nil" w:sz="6" w:space="0" w:color="auto"/>
              <w:left w:val="nil" w:sz="6" w:space="0" w:color="auto"/>
              <w:bottom w:val="nil" w:sz="6" w:space="0" w:color="auto"/>
              <w:right w:val="nil" w:sz="6" w:space="0" w:color="auto"/>
            </w:tcBorders>
          </w:tcPr>
          <w:p>
            <w:pPr>
              <w:pStyle w:val="TableParagraph"/>
              <w:tabs>
                <w:tab w:pos="1942" w:val="left" w:leader="none"/>
              </w:tabs>
              <w:spacing w:line="223" w:lineRule="exact"/>
              <w:ind w:left="103" w:right="-695"/>
              <w:jc w:val="left"/>
              <w:rPr>
                <w:rFonts w:ascii="宋体" w:hAnsi="宋体" w:cs="宋体" w:eastAsia="宋体" w:hint="default"/>
                <w:sz w:val="18"/>
                <w:szCs w:val="18"/>
              </w:rPr>
            </w:pPr>
            <w:r>
              <w:rPr>
                <w:rFonts w:ascii="宋体"/>
                <w:sz w:val="18"/>
              </w:rPr>
            </w:r>
            <w:r>
              <w:rPr>
                <w:rFonts w:ascii="宋体"/>
                <w:sz w:val="18"/>
                <w:u w:val="single" w:color="000000"/>
              </w:rPr>
              <w:t>320,893,541</w:t>
            </w:r>
            <w:r>
              <w:rPr>
                <w:rFonts w:ascii="宋体"/>
                <w:sz w:val="18"/>
              </w:rPr>
            </w:r>
            <w:r>
              <w:rPr>
                <w:rFonts w:ascii="宋体"/>
                <w:spacing w:val="-55"/>
                <w:sz w:val="18"/>
              </w:rPr>
              <w:t> </w:t>
            </w:r>
            <w:r>
              <w:rPr>
                <w:rFonts w:ascii="宋体"/>
                <w:sz w:val="18"/>
                <w:u w:val="single" w:color="000000"/>
              </w:rPr>
              <w:t> </w:t>
              <w:tab/>
            </w:r>
            <w:r>
              <w:rPr>
                <w:rFonts w:ascii="宋体"/>
                <w:sz w:val="18"/>
              </w:rPr>
            </w:r>
          </w:p>
        </w:tc>
        <w:tc>
          <w:tcPr>
            <w:tcW w:w="908" w:type="dxa"/>
            <w:tcBorders>
              <w:top w:val="nil" w:sz="6" w:space="0" w:color="auto"/>
              <w:left w:val="nil" w:sz="6" w:space="0" w:color="auto"/>
              <w:bottom w:val="nil" w:sz="6" w:space="0" w:color="auto"/>
              <w:right w:val="nil" w:sz="6" w:space="0" w:color="auto"/>
            </w:tcBorders>
          </w:tcPr>
          <w:p>
            <w:pPr>
              <w:pStyle w:val="TableParagraph"/>
              <w:spacing w:line="223" w:lineRule="exact"/>
              <w:ind w:right="121"/>
              <w:jc w:val="right"/>
              <w:rPr>
                <w:rFonts w:ascii="宋体" w:hAnsi="宋体" w:cs="宋体" w:eastAsia="宋体" w:hint="default"/>
                <w:sz w:val="18"/>
                <w:szCs w:val="18"/>
              </w:rPr>
            </w:pPr>
            <w:r>
              <w:rPr>
                <w:rFonts w:ascii="宋体"/>
                <w:sz w:val="18"/>
              </w:rPr>
            </w:r>
            <w:r>
              <w:rPr>
                <w:rFonts w:ascii="宋体"/>
                <w:sz w:val="18"/>
                <w:u w:val="single" w:color="000000"/>
              </w:rPr>
              <w:t>-</w:t>
            </w:r>
            <w:r>
              <w:rPr>
                <w:rFonts w:ascii="宋体"/>
                <w:sz w:val="18"/>
              </w:rPr>
            </w:r>
          </w:p>
        </w:tc>
        <w:tc>
          <w:tcPr>
            <w:tcW w:w="1495" w:type="dxa"/>
            <w:tcBorders>
              <w:top w:val="nil" w:sz="6" w:space="0" w:color="auto"/>
              <w:left w:val="nil" w:sz="6" w:space="0" w:color="auto"/>
              <w:bottom w:val="nil" w:sz="6" w:space="0" w:color="auto"/>
              <w:right w:val="nil" w:sz="6" w:space="0" w:color="auto"/>
            </w:tcBorders>
          </w:tcPr>
          <w:p>
            <w:pPr>
              <w:pStyle w:val="TableParagraph"/>
              <w:spacing w:line="223" w:lineRule="exact"/>
              <w:ind w:right="198"/>
              <w:jc w:val="right"/>
              <w:rPr>
                <w:rFonts w:ascii="宋体" w:hAnsi="宋体" w:cs="宋体" w:eastAsia="宋体" w:hint="default"/>
                <w:sz w:val="18"/>
                <w:szCs w:val="18"/>
              </w:rPr>
            </w:pPr>
            <w:r>
              <w:rPr>
                <w:rFonts w:ascii="宋体"/>
                <w:sz w:val="18"/>
              </w:rPr>
            </w:r>
            <w:r>
              <w:rPr>
                <w:rFonts w:ascii="宋体"/>
                <w:sz w:val="18"/>
                <w:u w:val="single" w:color="000000"/>
              </w:rPr>
              <w:t> </w:t>
            </w:r>
            <w:r>
              <w:rPr>
                <w:rFonts w:ascii="宋体"/>
                <w:spacing w:val="2"/>
                <w:sz w:val="18"/>
                <w:u w:val="single" w:color="000000"/>
              </w:rPr>
              <w:t> </w:t>
            </w:r>
            <w:r>
              <w:rPr>
                <w:rFonts w:ascii="宋体"/>
                <w:spacing w:val="-1"/>
                <w:sz w:val="18"/>
                <w:u w:val="single" w:color="000000"/>
              </w:rPr>
              <w:t>320,893,541</w:t>
            </w:r>
            <w:r>
              <w:rPr>
                <w:rFonts w:ascii="宋体"/>
                <w:spacing w:val="-1"/>
                <w:sz w:val="18"/>
              </w:rPr>
            </w:r>
          </w:p>
        </w:tc>
      </w:tr>
      <w:tr>
        <w:trPr>
          <w:trHeight w:val="484" w:hRule="exact"/>
        </w:trPr>
        <w:tc>
          <w:tcPr>
            <w:tcW w:w="1533"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3"/>
              <w:jc w:val="right"/>
              <w:rPr>
                <w:rFonts w:ascii="宋体" w:hAnsi="宋体" w:cs="宋体" w:eastAsia="宋体" w:hint="default"/>
                <w:sz w:val="18"/>
                <w:szCs w:val="18"/>
              </w:rPr>
            </w:pPr>
            <w:r>
              <w:rPr>
                <w:rFonts w:ascii="宋体"/>
                <w:sz w:val="18"/>
              </w:rPr>
            </w:r>
            <w:r>
              <w:rPr>
                <w:rFonts w:ascii="宋体"/>
                <w:spacing w:val="-1"/>
                <w:sz w:val="18"/>
                <w:u w:val="thick" w:color="000000"/>
              </w:rPr>
              <w:t>1,079,756,641</w:t>
            </w:r>
            <w:r>
              <w:rPr>
                <w:rFonts w:ascii="宋体"/>
                <w:spacing w:val="-1"/>
                <w:sz w:val="18"/>
              </w:rPr>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4" w:right="0"/>
              <w:jc w:val="left"/>
              <w:rPr>
                <w:rFonts w:ascii="宋体" w:hAnsi="宋体" w:cs="宋体" w:eastAsia="宋体" w:hint="default"/>
                <w:sz w:val="18"/>
                <w:szCs w:val="18"/>
              </w:rPr>
            </w:pPr>
            <w:r>
              <w:rPr>
                <w:rFonts w:ascii="宋体"/>
                <w:sz w:val="18"/>
              </w:rPr>
            </w:r>
            <w:r>
              <w:rPr>
                <w:rFonts w:ascii="宋体"/>
                <w:sz w:val="18"/>
                <w:u w:val="thick" w:color="000000"/>
              </w:rPr>
              <w:t>810,677,999</w:t>
            </w:r>
            <w:r>
              <w:rPr>
                <w:rFonts w:ascii="宋体"/>
                <w:sz w:val="18"/>
              </w:rPr>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3"/>
              <w:jc w:val="right"/>
              <w:rPr>
                <w:rFonts w:ascii="宋体" w:hAnsi="宋体" w:cs="宋体" w:eastAsia="宋体" w:hint="default"/>
                <w:sz w:val="18"/>
                <w:szCs w:val="18"/>
              </w:rPr>
            </w:pPr>
            <w:r>
              <w:rPr>
                <w:rFonts w:ascii="宋体"/>
                <w:sz w:val="18"/>
              </w:rPr>
            </w:r>
            <w:r>
              <w:rPr>
                <w:rFonts w:ascii="宋体"/>
                <w:spacing w:val="-1"/>
                <w:sz w:val="18"/>
                <w:u w:val="thick" w:color="000000"/>
              </w:rPr>
              <w:t>2,784,250,377</w:t>
            </w:r>
            <w:r>
              <w:rPr>
                <w:rFonts w:ascii="宋体"/>
                <w:spacing w:val="-1"/>
                <w:sz w:val="18"/>
              </w:rPr>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tabs>
                <w:tab w:pos="1942" w:val="left" w:leader="none"/>
              </w:tabs>
              <w:spacing w:line="240" w:lineRule="auto"/>
              <w:ind w:left="94" w:right="-695"/>
              <w:jc w:val="left"/>
              <w:rPr>
                <w:rFonts w:ascii="宋体" w:hAnsi="宋体" w:cs="宋体" w:eastAsia="宋体" w:hint="default"/>
                <w:sz w:val="18"/>
                <w:szCs w:val="18"/>
              </w:rPr>
            </w:pPr>
            <w:r>
              <w:rPr>
                <w:rFonts w:ascii="宋体"/>
                <w:sz w:val="18"/>
              </w:rPr>
            </w:r>
            <w:r>
              <w:rPr>
                <w:rFonts w:ascii="宋体"/>
                <w:sz w:val="18"/>
                <w:u w:val="thick" w:color="000000"/>
              </w:rPr>
              <w:t>422,293,863</w:t>
              <w:tab/>
            </w:r>
            <w:r>
              <w:rPr>
                <w:rFonts w:ascii="宋体"/>
                <w:sz w:val="18"/>
              </w:rPr>
            </w:r>
          </w:p>
        </w:tc>
        <w:tc>
          <w:tcPr>
            <w:tcW w:w="90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21"/>
              <w:jc w:val="right"/>
              <w:rPr>
                <w:rFonts w:ascii="宋体" w:hAnsi="宋体" w:cs="宋体" w:eastAsia="宋体" w:hint="default"/>
                <w:sz w:val="18"/>
                <w:szCs w:val="18"/>
              </w:rPr>
            </w:pPr>
            <w:r>
              <w:rPr>
                <w:rFonts w:ascii="宋体"/>
                <w:sz w:val="18"/>
              </w:rPr>
            </w:r>
            <w:r>
              <w:rPr>
                <w:rFonts w:ascii="宋体"/>
                <w:sz w:val="18"/>
                <w:u w:val="thick" w:color="000000"/>
              </w:rPr>
              <w:t>-</w:t>
            </w:r>
            <w:r>
              <w:rPr>
                <w:rFonts w:ascii="宋体"/>
                <w:sz w:val="18"/>
              </w:rPr>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8"/>
              <w:jc w:val="right"/>
              <w:rPr>
                <w:rFonts w:ascii="宋体" w:hAnsi="宋体" w:cs="宋体" w:eastAsia="宋体" w:hint="default"/>
                <w:sz w:val="18"/>
                <w:szCs w:val="18"/>
              </w:rPr>
            </w:pPr>
            <w:r>
              <w:rPr>
                <w:rFonts w:ascii="宋体"/>
                <w:sz w:val="18"/>
              </w:rPr>
            </w:r>
            <w:r>
              <w:rPr>
                <w:rFonts w:ascii="宋体"/>
                <w:spacing w:val="-1"/>
                <w:sz w:val="18"/>
                <w:u w:val="thick" w:color="000000"/>
              </w:rPr>
              <w:t>5,096,978,880</w:t>
            </w:r>
            <w:r>
              <w:rPr>
                <w:rFonts w:ascii="宋体"/>
                <w:spacing w:val="-1"/>
                <w:sz w:val="18"/>
              </w:rPr>
            </w:r>
          </w:p>
        </w:tc>
      </w:tr>
    </w:tbl>
    <w:p>
      <w:pPr>
        <w:spacing w:line="240" w:lineRule="auto" w:before="5"/>
        <w:rPr>
          <w:rFonts w:ascii="宋体" w:hAnsi="宋体" w:cs="宋体" w:eastAsia="宋体" w:hint="default"/>
          <w:sz w:val="29"/>
          <w:szCs w:val="29"/>
        </w:rPr>
      </w:pPr>
    </w:p>
    <w:tbl>
      <w:tblPr>
        <w:tblW w:w="0" w:type="auto"/>
        <w:jc w:val="left"/>
        <w:tblInd w:w="252" w:type="dxa"/>
        <w:tblLayout w:type="fixed"/>
        <w:tblCellMar>
          <w:top w:w="0" w:type="dxa"/>
          <w:left w:w="0" w:type="dxa"/>
          <w:bottom w:w="0" w:type="dxa"/>
          <w:right w:w="0" w:type="dxa"/>
        </w:tblCellMar>
        <w:tblLook w:val="01E0"/>
      </w:tblPr>
      <w:tblGrid>
        <w:gridCol w:w="1473"/>
        <w:gridCol w:w="1259"/>
        <w:gridCol w:w="1091"/>
        <w:gridCol w:w="1271"/>
        <w:gridCol w:w="1248"/>
        <w:gridCol w:w="908"/>
        <w:gridCol w:w="1495"/>
      </w:tblGrid>
      <w:tr>
        <w:trPr>
          <w:trHeight w:val="230" w:hRule="exact"/>
        </w:trPr>
        <w:tc>
          <w:tcPr>
            <w:tcW w:w="1473" w:type="dxa"/>
            <w:tcBorders>
              <w:top w:val="nil" w:sz="6" w:space="0" w:color="auto"/>
              <w:left w:val="nil" w:sz="6" w:space="0" w:color="auto"/>
              <w:bottom w:val="nil" w:sz="6" w:space="0" w:color="auto"/>
              <w:right w:val="nil" w:sz="6" w:space="0" w:color="auto"/>
            </w:tcBorders>
          </w:tcPr>
          <w:p>
            <w:pPr>
              <w:pStyle w:val="TableParagraph"/>
              <w:spacing w:line="180" w:lineRule="exact"/>
              <w:ind w:left="200"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259"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
        </w:tc>
        <w:tc>
          <w:tcPr>
            <w:tcW w:w="1271" w:type="dxa"/>
            <w:tcBorders>
              <w:top w:val="nil" w:sz="6" w:space="0" w:color="auto"/>
              <w:left w:val="nil" w:sz="6" w:space="0" w:color="auto"/>
              <w:bottom w:val="nil" w:sz="6" w:space="0" w:color="auto"/>
              <w:right w:val="nil" w:sz="6" w:space="0" w:color="auto"/>
            </w:tcBorders>
          </w:tcPr>
          <w:p>
            <w:pPr/>
          </w:p>
        </w:tc>
        <w:tc>
          <w:tcPr>
            <w:tcW w:w="1248" w:type="dxa"/>
            <w:tcBorders>
              <w:top w:val="nil" w:sz="6" w:space="0" w:color="auto"/>
              <w:left w:val="nil" w:sz="6" w:space="0" w:color="auto"/>
              <w:bottom w:val="nil" w:sz="6" w:space="0" w:color="auto"/>
              <w:right w:val="nil" w:sz="6" w:space="0" w:color="auto"/>
            </w:tcBorders>
          </w:tcPr>
          <w:p>
            <w:pPr/>
          </w:p>
        </w:tc>
        <w:tc>
          <w:tcPr>
            <w:tcW w:w="908" w:type="dxa"/>
            <w:tcBorders>
              <w:top w:val="nil" w:sz="6" w:space="0" w:color="auto"/>
              <w:left w:val="nil" w:sz="6" w:space="0" w:color="auto"/>
              <w:bottom w:val="nil" w:sz="6" w:space="0" w:color="auto"/>
              <w:right w:val="nil" w:sz="6" w:space="0" w:color="auto"/>
            </w:tcBorders>
          </w:tcPr>
          <w:p>
            <w:pPr/>
          </w:p>
        </w:tc>
        <w:tc>
          <w:tcPr>
            <w:tcW w:w="1495" w:type="dxa"/>
            <w:tcBorders>
              <w:top w:val="nil" w:sz="6" w:space="0" w:color="auto"/>
              <w:left w:val="nil" w:sz="6" w:space="0" w:color="auto"/>
              <w:bottom w:val="nil" w:sz="6" w:space="0" w:color="auto"/>
              <w:right w:val="nil" w:sz="6" w:space="0" w:color="auto"/>
            </w:tcBorders>
          </w:tcPr>
          <w:p>
            <w:pPr/>
          </w:p>
        </w:tc>
      </w:tr>
      <w:tr>
        <w:trPr>
          <w:trHeight w:val="259" w:hRule="exact"/>
        </w:trPr>
        <w:tc>
          <w:tcPr>
            <w:tcW w:w="1473" w:type="dxa"/>
            <w:tcBorders>
              <w:top w:val="nil" w:sz="6" w:space="0" w:color="auto"/>
              <w:left w:val="nil" w:sz="6" w:space="0" w:color="auto"/>
              <w:bottom w:val="nil" w:sz="6" w:space="0" w:color="auto"/>
              <w:right w:val="nil" w:sz="6" w:space="0" w:color="auto"/>
            </w:tcBorders>
          </w:tcPr>
          <w:p>
            <w:pPr>
              <w:pStyle w:val="TableParagraph"/>
              <w:spacing w:line="230" w:lineRule="exact"/>
              <w:ind w:left="200"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1259"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
        </w:tc>
        <w:tc>
          <w:tcPr>
            <w:tcW w:w="1271" w:type="dxa"/>
            <w:tcBorders>
              <w:top w:val="nil" w:sz="6" w:space="0" w:color="auto"/>
              <w:left w:val="nil" w:sz="6" w:space="0" w:color="auto"/>
              <w:bottom w:val="nil" w:sz="6" w:space="0" w:color="auto"/>
              <w:right w:val="nil" w:sz="6" w:space="0" w:color="auto"/>
            </w:tcBorders>
          </w:tcPr>
          <w:p>
            <w:pPr/>
          </w:p>
        </w:tc>
        <w:tc>
          <w:tcPr>
            <w:tcW w:w="1248" w:type="dxa"/>
            <w:tcBorders>
              <w:top w:val="nil" w:sz="6" w:space="0" w:color="auto"/>
              <w:left w:val="nil" w:sz="6" w:space="0" w:color="auto"/>
              <w:bottom w:val="nil" w:sz="6" w:space="0" w:color="auto"/>
              <w:right w:val="nil" w:sz="6" w:space="0" w:color="auto"/>
            </w:tcBorders>
          </w:tcPr>
          <w:p>
            <w:pPr/>
          </w:p>
        </w:tc>
        <w:tc>
          <w:tcPr>
            <w:tcW w:w="908" w:type="dxa"/>
            <w:tcBorders>
              <w:top w:val="nil" w:sz="6" w:space="0" w:color="auto"/>
              <w:left w:val="nil" w:sz="6" w:space="0" w:color="auto"/>
              <w:bottom w:val="nil" w:sz="6" w:space="0" w:color="auto"/>
              <w:right w:val="nil" w:sz="6" w:space="0" w:color="auto"/>
            </w:tcBorders>
          </w:tcPr>
          <w:p>
            <w:pPr/>
          </w:p>
        </w:tc>
        <w:tc>
          <w:tcPr>
            <w:tcW w:w="1495" w:type="dxa"/>
            <w:tcBorders>
              <w:top w:val="nil" w:sz="6" w:space="0" w:color="auto"/>
              <w:left w:val="nil" w:sz="6" w:space="0" w:color="auto"/>
              <w:bottom w:val="nil" w:sz="6" w:space="0" w:color="auto"/>
              <w:right w:val="nil" w:sz="6" w:space="0" w:color="auto"/>
            </w:tcBorders>
          </w:tcPr>
          <w:p>
            <w:pPr/>
          </w:p>
        </w:tc>
      </w:tr>
      <w:tr>
        <w:trPr>
          <w:trHeight w:val="641" w:hRule="exact"/>
        </w:trPr>
        <w:tc>
          <w:tcPr>
            <w:tcW w:w="1473"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Style w:val="TableParagraph"/>
              <w:spacing w:line="218" w:lineRule="exact"/>
              <w:ind w:right="95"/>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个月以内</w:t>
            </w:r>
          </w:p>
        </w:tc>
        <w:tc>
          <w:tcPr>
            <w:tcW w:w="1091" w:type="dxa"/>
            <w:tcBorders>
              <w:top w:val="nil" w:sz="6" w:space="0" w:color="auto"/>
              <w:left w:val="nil" w:sz="6" w:space="0" w:color="auto"/>
              <w:bottom w:val="nil" w:sz="6" w:space="0" w:color="auto"/>
              <w:right w:val="nil" w:sz="6" w:space="0" w:color="auto"/>
            </w:tcBorders>
          </w:tcPr>
          <w:p>
            <w:pPr>
              <w:pStyle w:val="TableParagraph"/>
              <w:spacing w:line="218" w:lineRule="exact"/>
              <w:ind w:left="36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至</w:t>
            </w:r>
            <w:r>
              <w:rPr>
                <w:rFonts w:ascii="宋体" w:hAnsi="宋体" w:cs="宋体" w:eastAsia="宋体" w:hint="default"/>
                <w:sz w:val="18"/>
                <w:szCs w:val="18"/>
              </w:rPr>
              <w:t>3</w:t>
            </w:r>
            <w:r>
              <w:rPr>
                <w:rFonts w:ascii="宋体" w:hAnsi="宋体" w:cs="宋体" w:eastAsia="宋体" w:hint="default"/>
                <w:sz w:val="18"/>
                <w:szCs w:val="18"/>
              </w:rPr>
              <w:t>个月</w:t>
            </w:r>
          </w:p>
        </w:tc>
        <w:tc>
          <w:tcPr>
            <w:tcW w:w="1271" w:type="dxa"/>
            <w:tcBorders>
              <w:top w:val="nil" w:sz="6" w:space="0" w:color="auto"/>
              <w:left w:val="nil" w:sz="6" w:space="0" w:color="auto"/>
              <w:bottom w:val="nil" w:sz="6" w:space="0" w:color="auto"/>
              <w:right w:val="nil" w:sz="6" w:space="0" w:color="auto"/>
            </w:tcBorders>
          </w:tcPr>
          <w:p>
            <w:pPr>
              <w:pStyle w:val="TableParagraph"/>
              <w:spacing w:line="209" w:lineRule="exact"/>
              <w:ind w:left="293"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4"/>
                <w:sz w:val="18"/>
                <w:szCs w:val="18"/>
              </w:rPr>
              <w:t> </w:t>
            </w:r>
            <w:r>
              <w:rPr>
                <w:rFonts w:ascii="宋体" w:hAnsi="宋体" w:cs="宋体" w:eastAsia="宋体" w:hint="default"/>
                <w:sz w:val="18"/>
                <w:szCs w:val="18"/>
              </w:rPr>
              <w:t>个月以上</w:t>
            </w:r>
          </w:p>
          <w:p>
            <w:pPr>
              <w:pStyle w:val="TableParagraph"/>
              <w:spacing w:line="240" w:lineRule="auto" w:before="7"/>
              <w:ind w:left="723" w:right="0"/>
              <w:jc w:val="left"/>
              <w:rPr>
                <w:rFonts w:ascii="宋体" w:hAnsi="宋体" w:cs="宋体" w:eastAsia="宋体" w:hint="default"/>
                <w:sz w:val="18"/>
                <w:szCs w:val="18"/>
              </w:rPr>
            </w:pPr>
            <w:r>
              <w:rPr>
                <w:rFonts w:ascii="宋体" w:hAnsi="宋体" w:cs="宋体" w:eastAsia="宋体" w:hint="default"/>
                <w:sz w:val="18"/>
                <w:szCs w:val="18"/>
              </w:rPr>
              <w:t>至</w:t>
            </w:r>
            <w:r>
              <w:rPr>
                <w:rFonts w:ascii="宋体" w:hAnsi="宋体" w:cs="宋体" w:eastAsia="宋体" w:hint="default"/>
                <w:sz w:val="18"/>
                <w:szCs w:val="18"/>
              </w:rPr>
              <w:t>1</w:t>
            </w:r>
            <w:r>
              <w:rPr>
                <w:rFonts w:ascii="宋体" w:hAnsi="宋体" w:cs="宋体" w:eastAsia="宋体" w:hint="default"/>
                <w:sz w:val="18"/>
                <w:szCs w:val="18"/>
              </w:rPr>
              <w:t>年</w:t>
            </w:r>
          </w:p>
        </w:tc>
        <w:tc>
          <w:tcPr>
            <w:tcW w:w="1248" w:type="dxa"/>
            <w:tcBorders>
              <w:top w:val="nil" w:sz="6" w:space="0" w:color="auto"/>
              <w:left w:val="nil" w:sz="6" w:space="0" w:color="auto"/>
              <w:bottom w:val="nil" w:sz="6" w:space="0" w:color="auto"/>
              <w:right w:val="nil" w:sz="6" w:space="0" w:color="auto"/>
            </w:tcBorders>
          </w:tcPr>
          <w:p>
            <w:pPr>
              <w:pStyle w:val="TableParagraph"/>
              <w:spacing w:line="209" w:lineRule="exact"/>
              <w:ind w:left="384"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年以上</w:t>
            </w:r>
          </w:p>
          <w:p>
            <w:pPr>
              <w:pStyle w:val="TableParagraph"/>
              <w:spacing w:line="240" w:lineRule="auto" w:before="7"/>
              <w:ind w:left="634" w:right="0"/>
              <w:jc w:val="left"/>
              <w:rPr>
                <w:rFonts w:ascii="宋体" w:hAnsi="宋体" w:cs="宋体" w:eastAsia="宋体" w:hint="default"/>
                <w:sz w:val="18"/>
                <w:szCs w:val="18"/>
              </w:rPr>
            </w:pPr>
            <w:r>
              <w:rPr>
                <w:rFonts w:ascii="宋体" w:hAnsi="宋体" w:cs="宋体" w:eastAsia="宋体" w:hint="default"/>
                <w:sz w:val="18"/>
                <w:szCs w:val="18"/>
              </w:rPr>
              <w:t>至</w:t>
            </w:r>
            <w:r>
              <w:rPr>
                <w:rFonts w:ascii="宋体" w:hAnsi="宋体" w:cs="宋体" w:eastAsia="宋体" w:hint="default"/>
                <w:sz w:val="18"/>
                <w:szCs w:val="18"/>
              </w:rPr>
              <w:t>5</w:t>
            </w:r>
            <w:r>
              <w:rPr>
                <w:rFonts w:ascii="宋体" w:hAnsi="宋体" w:cs="宋体" w:eastAsia="宋体" w:hint="default"/>
                <w:sz w:val="18"/>
                <w:szCs w:val="18"/>
              </w:rPr>
              <w:t>年</w:t>
            </w:r>
          </w:p>
        </w:tc>
        <w:tc>
          <w:tcPr>
            <w:tcW w:w="908" w:type="dxa"/>
            <w:tcBorders>
              <w:top w:val="nil" w:sz="6" w:space="0" w:color="auto"/>
              <w:left w:val="nil" w:sz="6" w:space="0" w:color="auto"/>
              <w:bottom w:val="nil" w:sz="6" w:space="0" w:color="auto"/>
              <w:right w:val="nil" w:sz="6" w:space="0" w:color="auto"/>
            </w:tcBorders>
          </w:tcPr>
          <w:p>
            <w:pPr>
              <w:pStyle w:val="TableParagraph"/>
              <w:spacing w:line="218" w:lineRule="exact"/>
              <w:ind w:right="122"/>
              <w:jc w:val="righ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z w:val="18"/>
                <w:szCs w:val="18"/>
              </w:rPr>
              <w:t>年以上</w:t>
            </w:r>
          </w:p>
        </w:tc>
        <w:tc>
          <w:tcPr>
            <w:tcW w:w="1495" w:type="dxa"/>
            <w:tcBorders>
              <w:top w:val="nil" w:sz="6" w:space="0" w:color="auto"/>
              <w:left w:val="nil" w:sz="6" w:space="0" w:color="auto"/>
              <w:bottom w:val="nil" w:sz="6" w:space="0" w:color="auto"/>
              <w:right w:val="nil" w:sz="6" w:space="0" w:color="auto"/>
            </w:tcBorders>
          </w:tcPr>
          <w:p>
            <w:pPr>
              <w:pStyle w:val="TableParagraph"/>
              <w:spacing w:line="218" w:lineRule="exact"/>
              <w:ind w:right="198"/>
              <w:jc w:val="right"/>
              <w:rPr>
                <w:rFonts w:ascii="宋体" w:hAnsi="宋体" w:cs="宋体" w:eastAsia="宋体" w:hint="default"/>
                <w:sz w:val="18"/>
                <w:szCs w:val="18"/>
              </w:rPr>
            </w:pPr>
            <w:r>
              <w:rPr>
                <w:rFonts w:ascii="宋体" w:hAnsi="宋体" w:cs="宋体" w:eastAsia="宋体" w:hint="default"/>
                <w:sz w:val="18"/>
                <w:szCs w:val="18"/>
              </w:rPr>
              <w:t>合计</w:t>
            </w:r>
          </w:p>
        </w:tc>
      </w:tr>
      <w:tr>
        <w:trPr>
          <w:trHeight w:val="427" w:hRule="exact"/>
        </w:trPr>
        <w:tc>
          <w:tcPr>
            <w:tcW w:w="1473" w:type="dxa"/>
            <w:tcBorders>
              <w:top w:val="nil" w:sz="6" w:space="0" w:color="auto"/>
              <w:left w:val="nil" w:sz="6" w:space="0" w:color="auto"/>
              <w:bottom w:val="nil" w:sz="6" w:space="0" w:color="auto"/>
              <w:right w:val="nil" w:sz="6" w:space="0" w:color="auto"/>
            </w:tcBorders>
          </w:tcPr>
          <w:p>
            <w:pPr>
              <w:pStyle w:val="TableParagraph"/>
              <w:spacing w:line="240" w:lineRule="auto" w:before="148"/>
              <w:ind w:left="200"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94"/>
              <w:jc w:val="right"/>
              <w:rPr>
                <w:rFonts w:ascii="宋体" w:hAnsi="宋体" w:cs="宋体" w:eastAsia="宋体" w:hint="default"/>
                <w:sz w:val="18"/>
                <w:szCs w:val="18"/>
              </w:rPr>
            </w:pPr>
            <w:r>
              <w:rPr>
                <w:rFonts w:ascii="宋体"/>
                <w:sz w:val="18"/>
              </w:rPr>
              <w:t>-</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94" w:right="0"/>
              <w:jc w:val="left"/>
              <w:rPr>
                <w:rFonts w:ascii="宋体" w:hAnsi="宋体" w:cs="宋体" w:eastAsia="宋体" w:hint="default"/>
                <w:sz w:val="18"/>
                <w:szCs w:val="18"/>
              </w:rPr>
            </w:pPr>
            <w:r>
              <w:rPr>
                <w:rFonts w:ascii="宋体"/>
                <w:sz w:val="18"/>
              </w:rPr>
              <w:t>709,285,053</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93"/>
              <w:jc w:val="right"/>
              <w:rPr>
                <w:rFonts w:ascii="宋体" w:hAnsi="宋体" w:cs="宋体" w:eastAsia="宋体" w:hint="default"/>
                <w:sz w:val="18"/>
                <w:szCs w:val="18"/>
              </w:rPr>
            </w:pPr>
            <w:r>
              <w:rPr>
                <w:rFonts w:ascii="宋体"/>
                <w:spacing w:val="-1"/>
                <w:sz w:val="18"/>
              </w:rPr>
              <w:t>1,668,839,531</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61"/>
              <w:jc w:val="right"/>
              <w:rPr>
                <w:rFonts w:ascii="宋体" w:hAnsi="宋体" w:cs="宋体" w:eastAsia="宋体" w:hint="default"/>
                <w:sz w:val="18"/>
                <w:szCs w:val="18"/>
              </w:rPr>
            </w:pPr>
            <w:r>
              <w:rPr>
                <w:rFonts w:ascii="宋体"/>
                <w:sz w:val="18"/>
              </w:rPr>
              <w:t>-</w:t>
            </w:r>
          </w:p>
        </w:tc>
        <w:tc>
          <w:tcPr>
            <w:tcW w:w="908"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23"/>
              <w:jc w:val="right"/>
              <w:rPr>
                <w:rFonts w:ascii="宋体" w:hAnsi="宋体" w:cs="宋体" w:eastAsia="宋体" w:hint="default"/>
                <w:sz w:val="18"/>
                <w:szCs w:val="18"/>
              </w:rPr>
            </w:pPr>
            <w:r>
              <w:rPr>
                <w:rFonts w:ascii="宋体"/>
                <w:sz w:val="18"/>
              </w:rPr>
              <w:t>-</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98"/>
              <w:jc w:val="right"/>
              <w:rPr>
                <w:rFonts w:ascii="宋体" w:hAnsi="宋体" w:cs="宋体" w:eastAsia="宋体" w:hint="default"/>
                <w:sz w:val="18"/>
                <w:szCs w:val="18"/>
              </w:rPr>
            </w:pPr>
            <w:r>
              <w:rPr>
                <w:rFonts w:ascii="宋体"/>
                <w:spacing w:val="-1"/>
                <w:sz w:val="18"/>
              </w:rPr>
              <w:t>2,378,124,584</w:t>
            </w:r>
          </w:p>
        </w:tc>
      </w:tr>
      <w:tr>
        <w:trPr>
          <w:trHeight w:val="281" w:hRule="exact"/>
        </w:trPr>
        <w:tc>
          <w:tcPr>
            <w:tcW w:w="1473" w:type="dxa"/>
            <w:tcBorders>
              <w:top w:val="nil" w:sz="6" w:space="0" w:color="auto"/>
              <w:left w:val="nil" w:sz="6" w:space="0" w:color="auto"/>
              <w:bottom w:val="nil" w:sz="6" w:space="0" w:color="auto"/>
              <w:right w:val="nil" w:sz="6" w:space="0" w:color="auto"/>
            </w:tcBorders>
          </w:tcPr>
          <w:p>
            <w:pPr>
              <w:pStyle w:val="TableParagraph"/>
              <w:spacing w:line="240" w:lineRule="auto" w:before="2"/>
              <w:ind w:left="200"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259" w:type="dxa"/>
            <w:tcBorders>
              <w:top w:val="nil" w:sz="6" w:space="0" w:color="auto"/>
              <w:left w:val="nil" w:sz="6" w:space="0" w:color="auto"/>
              <w:bottom w:val="nil" w:sz="6" w:space="0" w:color="auto"/>
              <w:right w:val="nil" w:sz="6" w:space="0" w:color="auto"/>
            </w:tcBorders>
          </w:tcPr>
          <w:p>
            <w:pPr>
              <w:pStyle w:val="TableParagraph"/>
              <w:spacing w:line="223" w:lineRule="exact"/>
              <w:ind w:right="93"/>
              <w:jc w:val="right"/>
              <w:rPr>
                <w:rFonts w:ascii="宋体" w:hAnsi="宋体" w:cs="宋体" w:eastAsia="宋体" w:hint="default"/>
                <w:sz w:val="18"/>
                <w:szCs w:val="18"/>
              </w:rPr>
            </w:pPr>
            <w:r>
              <w:rPr>
                <w:rFonts w:ascii="宋体"/>
                <w:spacing w:val="-1"/>
                <w:sz w:val="18"/>
              </w:rPr>
              <w:t>414,504,951</w:t>
            </w:r>
          </w:p>
        </w:tc>
        <w:tc>
          <w:tcPr>
            <w:tcW w:w="1091" w:type="dxa"/>
            <w:tcBorders>
              <w:top w:val="nil" w:sz="6" w:space="0" w:color="auto"/>
              <w:left w:val="nil" w:sz="6" w:space="0" w:color="auto"/>
              <w:bottom w:val="nil" w:sz="6" w:space="0" w:color="auto"/>
              <w:right w:val="nil" w:sz="6" w:space="0" w:color="auto"/>
            </w:tcBorders>
          </w:tcPr>
          <w:p>
            <w:pPr>
              <w:pStyle w:val="TableParagraph"/>
              <w:spacing w:line="223" w:lineRule="exact"/>
              <w:ind w:left="185" w:right="0"/>
              <w:jc w:val="left"/>
              <w:rPr>
                <w:rFonts w:ascii="宋体" w:hAnsi="宋体" w:cs="宋体" w:eastAsia="宋体" w:hint="default"/>
                <w:sz w:val="18"/>
                <w:szCs w:val="18"/>
              </w:rPr>
            </w:pPr>
            <w:r>
              <w:rPr>
                <w:rFonts w:ascii="宋体"/>
                <w:sz w:val="18"/>
              </w:rPr>
              <w:t>21,502,846</w:t>
            </w:r>
          </w:p>
        </w:tc>
        <w:tc>
          <w:tcPr>
            <w:tcW w:w="1271" w:type="dxa"/>
            <w:tcBorders>
              <w:top w:val="nil" w:sz="6" w:space="0" w:color="auto"/>
              <w:left w:val="nil" w:sz="6" w:space="0" w:color="auto"/>
              <w:bottom w:val="nil" w:sz="6" w:space="0" w:color="auto"/>
              <w:right w:val="nil" w:sz="6" w:space="0" w:color="auto"/>
            </w:tcBorders>
          </w:tcPr>
          <w:p>
            <w:pPr>
              <w:pStyle w:val="TableParagraph"/>
              <w:spacing w:line="223" w:lineRule="exact"/>
              <w:ind w:right="94"/>
              <w:jc w:val="right"/>
              <w:rPr>
                <w:rFonts w:ascii="宋体" w:hAnsi="宋体" w:cs="宋体" w:eastAsia="宋体" w:hint="default"/>
                <w:sz w:val="18"/>
                <w:szCs w:val="18"/>
              </w:rPr>
            </w:pPr>
            <w:r>
              <w:rPr>
                <w:rFonts w:ascii="宋体"/>
                <w:sz w:val="18"/>
              </w:rPr>
              <w:t>-</w:t>
            </w:r>
          </w:p>
        </w:tc>
        <w:tc>
          <w:tcPr>
            <w:tcW w:w="1248" w:type="dxa"/>
            <w:tcBorders>
              <w:top w:val="nil" w:sz="6" w:space="0" w:color="auto"/>
              <w:left w:val="nil" w:sz="6" w:space="0" w:color="auto"/>
              <w:bottom w:val="nil" w:sz="6" w:space="0" w:color="auto"/>
              <w:right w:val="nil" w:sz="6" w:space="0" w:color="auto"/>
            </w:tcBorders>
          </w:tcPr>
          <w:p>
            <w:pPr>
              <w:pStyle w:val="TableParagraph"/>
              <w:spacing w:line="223" w:lineRule="exact"/>
              <w:ind w:right="161"/>
              <w:jc w:val="right"/>
              <w:rPr>
                <w:rFonts w:ascii="宋体" w:hAnsi="宋体" w:cs="宋体" w:eastAsia="宋体" w:hint="default"/>
                <w:sz w:val="18"/>
                <w:szCs w:val="18"/>
              </w:rPr>
            </w:pPr>
            <w:r>
              <w:rPr>
                <w:rFonts w:ascii="宋体"/>
                <w:sz w:val="18"/>
              </w:rPr>
              <w:t>-</w:t>
            </w:r>
          </w:p>
        </w:tc>
        <w:tc>
          <w:tcPr>
            <w:tcW w:w="908" w:type="dxa"/>
            <w:tcBorders>
              <w:top w:val="nil" w:sz="6" w:space="0" w:color="auto"/>
              <w:left w:val="nil" w:sz="6" w:space="0" w:color="auto"/>
              <w:bottom w:val="nil" w:sz="6" w:space="0" w:color="auto"/>
              <w:right w:val="nil" w:sz="6" w:space="0" w:color="auto"/>
            </w:tcBorders>
          </w:tcPr>
          <w:p>
            <w:pPr>
              <w:pStyle w:val="TableParagraph"/>
              <w:spacing w:line="223" w:lineRule="exact"/>
              <w:ind w:right="123"/>
              <w:jc w:val="right"/>
              <w:rPr>
                <w:rFonts w:ascii="宋体" w:hAnsi="宋体" w:cs="宋体" w:eastAsia="宋体" w:hint="default"/>
                <w:sz w:val="18"/>
                <w:szCs w:val="18"/>
              </w:rPr>
            </w:pPr>
            <w:r>
              <w:rPr>
                <w:rFonts w:ascii="宋体"/>
                <w:sz w:val="18"/>
              </w:rPr>
              <w:t>-</w:t>
            </w:r>
          </w:p>
        </w:tc>
        <w:tc>
          <w:tcPr>
            <w:tcW w:w="1495" w:type="dxa"/>
            <w:tcBorders>
              <w:top w:val="nil" w:sz="6" w:space="0" w:color="auto"/>
              <w:left w:val="nil" w:sz="6" w:space="0" w:color="auto"/>
              <w:bottom w:val="nil" w:sz="6" w:space="0" w:color="auto"/>
              <w:right w:val="nil" w:sz="6" w:space="0" w:color="auto"/>
            </w:tcBorders>
          </w:tcPr>
          <w:p>
            <w:pPr>
              <w:pStyle w:val="TableParagraph"/>
              <w:spacing w:line="223" w:lineRule="exact"/>
              <w:ind w:right="198"/>
              <w:jc w:val="right"/>
              <w:rPr>
                <w:rFonts w:ascii="宋体" w:hAnsi="宋体" w:cs="宋体" w:eastAsia="宋体" w:hint="default"/>
                <w:sz w:val="18"/>
                <w:szCs w:val="18"/>
              </w:rPr>
            </w:pPr>
            <w:r>
              <w:rPr>
                <w:rFonts w:ascii="宋体"/>
                <w:spacing w:val="-1"/>
                <w:sz w:val="18"/>
              </w:rPr>
              <w:t>436,007,797</w:t>
            </w:r>
          </w:p>
        </w:tc>
      </w:tr>
      <w:tr>
        <w:trPr>
          <w:trHeight w:val="278" w:hRule="exact"/>
        </w:trPr>
        <w:tc>
          <w:tcPr>
            <w:tcW w:w="1473" w:type="dxa"/>
            <w:tcBorders>
              <w:top w:val="nil" w:sz="6" w:space="0" w:color="auto"/>
              <w:left w:val="nil" w:sz="6" w:space="0" w:color="auto"/>
              <w:bottom w:val="nil" w:sz="6" w:space="0" w:color="auto"/>
              <w:right w:val="nil" w:sz="6" w:space="0" w:color="auto"/>
            </w:tcBorders>
          </w:tcPr>
          <w:p>
            <w:pPr>
              <w:pStyle w:val="TableParagraph"/>
              <w:spacing w:line="235" w:lineRule="exact"/>
              <w:ind w:left="200"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259" w:type="dxa"/>
            <w:tcBorders>
              <w:top w:val="nil" w:sz="6" w:space="0" w:color="auto"/>
              <w:left w:val="nil" w:sz="6" w:space="0" w:color="auto"/>
              <w:bottom w:val="nil" w:sz="6" w:space="0" w:color="auto"/>
              <w:right w:val="nil" w:sz="6" w:space="0" w:color="auto"/>
            </w:tcBorders>
          </w:tcPr>
          <w:p>
            <w:pPr>
              <w:pStyle w:val="TableParagraph"/>
              <w:spacing w:line="223" w:lineRule="exact"/>
              <w:ind w:right="93"/>
              <w:jc w:val="right"/>
              <w:rPr>
                <w:rFonts w:ascii="宋体" w:hAnsi="宋体" w:cs="宋体" w:eastAsia="宋体" w:hint="default"/>
                <w:sz w:val="18"/>
                <w:szCs w:val="18"/>
              </w:rPr>
            </w:pPr>
            <w:r>
              <w:rPr>
                <w:rFonts w:ascii="宋体"/>
                <w:spacing w:val="-1"/>
                <w:sz w:val="18"/>
              </w:rPr>
              <w:t>61,717,654</w:t>
            </w:r>
          </w:p>
        </w:tc>
        <w:tc>
          <w:tcPr>
            <w:tcW w:w="1091" w:type="dxa"/>
            <w:tcBorders>
              <w:top w:val="nil" w:sz="6" w:space="0" w:color="auto"/>
              <w:left w:val="nil" w:sz="6" w:space="0" w:color="auto"/>
              <w:bottom w:val="nil" w:sz="6" w:space="0" w:color="auto"/>
              <w:right w:val="nil" w:sz="6" w:space="0" w:color="auto"/>
            </w:tcBorders>
          </w:tcPr>
          <w:p>
            <w:pPr>
              <w:pStyle w:val="TableParagraph"/>
              <w:spacing w:line="223" w:lineRule="exact"/>
              <w:ind w:left="274" w:right="0"/>
              <w:jc w:val="left"/>
              <w:rPr>
                <w:rFonts w:ascii="宋体" w:hAnsi="宋体" w:cs="宋体" w:eastAsia="宋体" w:hint="default"/>
                <w:sz w:val="18"/>
                <w:szCs w:val="18"/>
              </w:rPr>
            </w:pPr>
            <w:r>
              <w:rPr>
                <w:rFonts w:ascii="宋体"/>
                <w:sz w:val="18"/>
              </w:rPr>
              <w:t>3,799,413</w:t>
            </w:r>
          </w:p>
        </w:tc>
        <w:tc>
          <w:tcPr>
            <w:tcW w:w="1271" w:type="dxa"/>
            <w:tcBorders>
              <w:top w:val="nil" w:sz="6" w:space="0" w:color="auto"/>
              <w:left w:val="nil" w:sz="6" w:space="0" w:color="auto"/>
              <w:bottom w:val="nil" w:sz="6" w:space="0" w:color="auto"/>
              <w:right w:val="nil" w:sz="6" w:space="0" w:color="auto"/>
            </w:tcBorders>
          </w:tcPr>
          <w:p>
            <w:pPr>
              <w:pStyle w:val="TableParagraph"/>
              <w:spacing w:line="223" w:lineRule="exact"/>
              <w:ind w:right="93"/>
              <w:jc w:val="right"/>
              <w:rPr>
                <w:rFonts w:ascii="宋体" w:hAnsi="宋体" w:cs="宋体" w:eastAsia="宋体" w:hint="default"/>
                <w:sz w:val="18"/>
                <w:szCs w:val="18"/>
              </w:rPr>
            </w:pPr>
            <w:r>
              <w:rPr>
                <w:rFonts w:ascii="宋体"/>
                <w:spacing w:val="-1"/>
                <w:sz w:val="18"/>
              </w:rPr>
              <w:t>537,728,734</w:t>
            </w:r>
          </w:p>
        </w:tc>
        <w:tc>
          <w:tcPr>
            <w:tcW w:w="1248" w:type="dxa"/>
            <w:tcBorders>
              <w:top w:val="nil" w:sz="6" w:space="0" w:color="auto"/>
              <w:left w:val="nil" w:sz="6" w:space="0" w:color="auto"/>
              <w:bottom w:val="nil" w:sz="6" w:space="0" w:color="auto"/>
              <w:right w:val="nil" w:sz="6" w:space="0" w:color="auto"/>
            </w:tcBorders>
          </w:tcPr>
          <w:p>
            <w:pPr>
              <w:pStyle w:val="TableParagraph"/>
              <w:spacing w:line="223" w:lineRule="exact"/>
              <w:ind w:right="161"/>
              <w:jc w:val="right"/>
              <w:rPr>
                <w:rFonts w:ascii="宋体" w:hAnsi="宋体" w:cs="宋体" w:eastAsia="宋体" w:hint="default"/>
                <w:sz w:val="18"/>
                <w:szCs w:val="18"/>
              </w:rPr>
            </w:pPr>
            <w:r>
              <w:rPr>
                <w:rFonts w:ascii="宋体"/>
                <w:sz w:val="18"/>
              </w:rPr>
              <w:t>-</w:t>
            </w:r>
          </w:p>
        </w:tc>
        <w:tc>
          <w:tcPr>
            <w:tcW w:w="908" w:type="dxa"/>
            <w:tcBorders>
              <w:top w:val="nil" w:sz="6" w:space="0" w:color="auto"/>
              <w:left w:val="nil" w:sz="6" w:space="0" w:color="auto"/>
              <w:bottom w:val="nil" w:sz="6" w:space="0" w:color="auto"/>
              <w:right w:val="nil" w:sz="6" w:space="0" w:color="auto"/>
            </w:tcBorders>
          </w:tcPr>
          <w:p>
            <w:pPr>
              <w:pStyle w:val="TableParagraph"/>
              <w:spacing w:line="223" w:lineRule="exact"/>
              <w:ind w:right="123"/>
              <w:jc w:val="right"/>
              <w:rPr>
                <w:rFonts w:ascii="宋体" w:hAnsi="宋体" w:cs="宋体" w:eastAsia="宋体" w:hint="default"/>
                <w:sz w:val="18"/>
                <w:szCs w:val="18"/>
              </w:rPr>
            </w:pPr>
            <w:r>
              <w:rPr>
                <w:rFonts w:ascii="宋体"/>
                <w:sz w:val="18"/>
              </w:rPr>
              <w:t>-</w:t>
            </w:r>
          </w:p>
        </w:tc>
        <w:tc>
          <w:tcPr>
            <w:tcW w:w="1495" w:type="dxa"/>
            <w:tcBorders>
              <w:top w:val="nil" w:sz="6" w:space="0" w:color="auto"/>
              <w:left w:val="nil" w:sz="6" w:space="0" w:color="auto"/>
              <w:bottom w:val="nil" w:sz="6" w:space="0" w:color="auto"/>
              <w:right w:val="nil" w:sz="6" w:space="0" w:color="auto"/>
            </w:tcBorders>
          </w:tcPr>
          <w:p>
            <w:pPr>
              <w:pStyle w:val="TableParagraph"/>
              <w:spacing w:line="223" w:lineRule="exact"/>
              <w:ind w:right="198"/>
              <w:jc w:val="right"/>
              <w:rPr>
                <w:rFonts w:ascii="宋体" w:hAnsi="宋体" w:cs="宋体" w:eastAsia="宋体" w:hint="default"/>
                <w:sz w:val="18"/>
                <w:szCs w:val="18"/>
              </w:rPr>
            </w:pPr>
            <w:r>
              <w:rPr>
                <w:rFonts w:ascii="宋体"/>
                <w:spacing w:val="-1"/>
                <w:sz w:val="18"/>
              </w:rPr>
              <w:t>603,245,801</w:t>
            </w:r>
          </w:p>
        </w:tc>
      </w:tr>
      <w:tr>
        <w:trPr>
          <w:trHeight w:val="288" w:hRule="exact"/>
        </w:trPr>
        <w:tc>
          <w:tcPr>
            <w:tcW w:w="1473" w:type="dxa"/>
            <w:tcBorders>
              <w:top w:val="nil" w:sz="6" w:space="0" w:color="auto"/>
              <w:left w:val="nil" w:sz="6" w:space="0" w:color="auto"/>
              <w:bottom w:val="nil" w:sz="6" w:space="0" w:color="auto"/>
              <w:right w:val="nil" w:sz="6" w:space="0" w:color="auto"/>
            </w:tcBorders>
          </w:tcPr>
          <w:p>
            <w:pPr>
              <w:pStyle w:val="TableParagraph"/>
              <w:spacing w:line="240" w:lineRule="auto" w:before="2"/>
              <w:ind w:left="200"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259"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
        </w:tc>
        <w:tc>
          <w:tcPr>
            <w:tcW w:w="1271" w:type="dxa"/>
            <w:tcBorders>
              <w:top w:val="nil" w:sz="6" w:space="0" w:color="auto"/>
              <w:left w:val="nil" w:sz="6" w:space="0" w:color="auto"/>
              <w:bottom w:val="nil" w:sz="6" w:space="0" w:color="auto"/>
              <w:right w:val="nil" w:sz="6" w:space="0" w:color="auto"/>
            </w:tcBorders>
          </w:tcPr>
          <w:p>
            <w:pPr/>
          </w:p>
        </w:tc>
        <w:tc>
          <w:tcPr>
            <w:tcW w:w="1248" w:type="dxa"/>
            <w:tcBorders>
              <w:top w:val="nil" w:sz="6" w:space="0" w:color="auto"/>
              <w:left w:val="nil" w:sz="6" w:space="0" w:color="auto"/>
              <w:bottom w:val="nil" w:sz="6" w:space="0" w:color="auto"/>
              <w:right w:val="nil" w:sz="6" w:space="0" w:color="auto"/>
            </w:tcBorders>
          </w:tcPr>
          <w:p>
            <w:pPr>
              <w:pStyle w:val="TableParagraph"/>
              <w:spacing w:line="223" w:lineRule="exact"/>
              <w:ind w:left="454" w:right="0"/>
              <w:jc w:val="left"/>
              <w:rPr>
                <w:rFonts w:ascii="宋体" w:hAnsi="宋体" w:cs="宋体" w:eastAsia="宋体" w:hint="default"/>
                <w:sz w:val="18"/>
                <w:szCs w:val="18"/>
              </w:rPr>
            </w:pPr>
            <w:r>
              <w:rPr>
                <w:rFonts w:ascii="宋体"/>
                <w:sz w:val="18"/>
              </w:rPr>
              <w:t>312,500</w:t>
            </w:r>
          </w:p>
        </w:tc>
        <w:tc>
          <w:tcPr>
            <w:tcW w:w="908" w:type="dxa"/>
            <w:tcBorders>
              <w:top w:val="nil" w:sz="6" w:space="0" w:color="auto"/>
              <w:left w:val="nil" w:sz="6" w:space="0" w:color="auto"/>
              <w:bottom w:val="nil" w:sz="6" w:space="0" w:color="auto"/>
              <w:right w:val="nil" w:sz="6" w:space="0" w:color="auto"/>
            </w:tcBorders>
          </w:tcPr>
          <w:p>
            <w:pPr/>
          </w:p>
        </w:tc>
        <w:tc>
          <w:tcPr>
            <w:tcW w:w="1495" w:type="dxa"/>
            <w:tcBorders>
              <w:top w:val="nil" w:sz="6" w:space="0" w:color="auto"/>
              <w:left w:val="nil" w:sz="6" w:space="0" w:color="auto"/>
              <w:bottom w:val="nil" w:sz="6" w:space="0" w:color="auto"/>
              <w:right w:val="nil" w:sz="6" w:space="0" w:color="auto"/>
            </w:tcBorders>
          </w:tcPr>
          <w:p>
            <w:pPr>
              <w:pStyle w:val="TableParagraph"/>
              <w:spacing w:line="223" w:lineRule="exact"/>
              <w:ind w:right="198"/>
              <w:jc w:val="right"/>
              <w:rPr>
                <w:rFonts w:ascii="宋体" w:hAnsi="宋体" w:cs="宋体" w:eastAsia="宋体" w:hint="default"/>
                <w:sz w:val="18"/>
                <w:szCs w:val="18"/>
              </w:rPr>
            </w:pPr>
            <w:r>
              <w:rPr>
                <w:rFonts w:ascii="宋体"/>
                <w:sz w:val="18"/>
              </w:rPr>
              <w:t>312,500</w:t>
            </w:r>
          </w:p>
        </w:tc>
      </w:tr>
      <w:tr>
        <w:trPr>
          <w:trHeight w:val="552" w:hRule="exact"/>
        </w:trPr>
        <w:tc>
          <w:tcPr>
            <w:tcW w:w="1473" w:type="dxa"/>
            <w:tcBorders>
              <w:top w:val="nil" w:sz="6" w:space="0" w:color="auto"/>
              <w:left w:val="nil" w:sz="6" w:space="0" w:color="auto"/>
              <w:bottom w:val="nil" w:sz="6" w:space="0" w:color="auto"/>
              <w:right w:val="nil" w:sz="6" w:space="0" w:color="auto"/>
            </w:tcBorders>
          </w:tcPr>
          <w:p>
            <w:pPr>
              <w:pStyle w:val="TableParagraph"/>
              <w:spacing w:line="283" w:lineRule="auto"/>
              <w:ind w:left="403" w:right="169" w:hanging="183"/>
              <w:jc w:val="left"/>
              <w:rPr>
                <w:rFonts w:ascii="宋体" w:hAnsi="宋体" w:cs="宋体" w:eastAsia="宋体" w:hint="default"/>
                <w:sz w:val="18"/>
                <w:szCs w:val="18"/>
              </w:rPr>
            </w:pPr>
            <w:r>
              <w:rPr>
                <w:rFonts w:ascii="宋体" w:hAnsi="宋体" w:cs="宋体" w:eastAsia="宋体" w:hint="default"/>
                <w:sz w:val="18"/>
                <w:szCs w:val="18"/>
              </w:rPr>
              <w:t>一年内到期的 长期借款</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94"/>
              <w:jc w:val="right"/>
              <w:rPr>
                <w:rFonts w:ascii="宋体" w:hAnsi="宋体" w:cs="宋体" w:eastAsia="宋体" w:hint="default"/>
                <w:sz w:val="18"/>
                <w:szCs w:val="18"/>
              </w:rPr>
            </w:pPr>
            <w:r>
              <w:rPr>
                <w:rFonts w:ascii="宋体"/>
                <w:sz w:val="18"/>
              </w:rPr>
              <w:t>-</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5"/>
              <w:jc w:val="right"/>
              <w:rPr>
                <w:rFonts w:ascii="宋体" w:hAnsi="宋体" w:cs="宋体" w:eastAsia="宋体" w:hint="default"/>
                <w:sz w:val="18"/>
                <w:szCs w:val="18"/>
              </w:rPr>
            </w:pPr>
            <w:r>
              <w:rPr>
                <w:rFonts w:ascii="宋体"/>
                <w:sz w:val="18"/>
              </w:rPr>
              <w:t>-</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93"/>
              <w:jc w:val="right"/>
              <w:rPr>
                <w:rFonts w:ascii="宋体" w:hAnsi="宋体" w:cs="宋体" w:eastAsia="宋体" w:hint="default"/>
                <w:sz w:val="18"/>
                <w:szCs w:val="18"/>
              </w:rPr>
            </w:pPr>
            <w:r>
              <w:rPr>
                <w:rFonts w:ascii="宋体"/>
                <w:spacing w:val="-1"/>
                <w:sz w:val="18"/>
              </w:rPr>
              <w:t>96,565,260</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161"/>
              <w:jc w:val="right"/>
              <w:rPr>
                <w:rFonts w:ascii="宋体" w:hAnsi="宋体" w:cs="宋体" w:eastAsia="宋体" w:hint="default"/>
                <w:sz w:val="18"/>
                <w:szCs w:val="18"/>
              </w:rPr>
            </w:pPr>
            <w:r>
              <w:rPr>
                <w:rFonts w:ascii="宋体"/>
                <w:sz w:val="18"/>
              </w:rPr>
              <w:t>-</w:t>
            </w:r>
          </w:p>
        </w:tc>
        <w:tc>
          <w:tcPr>
            <w:tcW w:w="90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123"/>
              <w:jc w:val="right"/>
              <w:rPr>
                <w:rFonts w:ascii="宋体" w:hAnsi="宋体" w:cs="宋体" w:eastAsia="宋体" w:hint="default"/>
                <w:sz w:val="18"/>
                <w:szCs w:val="18"/>
              </w:rPr>
            </w:pPr>
            <w:r>
              <w:rPr>
                <w:rFonts w:ascii="宋体"/>
                <w:sz w:val="18"/>
              </w:rPr>
              <w:t>-</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198"/>
              <w:jc w:val="right"/>
              <w:rPr>
                <w:rFonts w:ascii="宋体" w:hAnsi="宋体" w:cs="宋体" w:eastAsia="宋体" w:hint="default"/>
                <w:sz w:val="18"/>
                <w:szCs w:val="18"/>
              </w:rPr>
            </w:pPr>
            <w:r>
              <w:rPr>
                <w:rFonts w:ascii="宋体"/>
                <w:spacing w:val="-1"/>
                <w:sz w:val="18"/>
              </w:rPr>
              <w:t>96,565,260</w:t>
            </w:r>
          </w:p>
        </w:tc>
      </w:tr>
      <w:tr>
        <w:trPr>
          <w:trHeight w:val="421" w:hRule="exact"/>
        </w:trPr>
        <w:tc>
          <w:tcPr>
            <w:tcW w:w="1473" w:type="dxa"/>
            <w:tcBorders>
              <w:top w:val="nil" w:sz="6" w:space="0" w:color="auto"/>
              <w:left w:val="nil" w:sz="6" w:space="0" w:color="auto"/>
              <w:bottom w:val="nil" w:sz="6" w:space="0" w:color="auto"/>
              <w:right w:val="nil" w:sz="6" w:space="0" w:color="auto"/>
            </w:tcBorders>
          </w:tcPr>
          <w:p>
            <w:pPr>
              <w:pStyle w:val="TableParagraph"/>
              <w:spacing w:line="240" w:lineRule="auto" w:before="2"/>
              <w:ind w:left="200"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259" w:type="dxa"/>
            <w:tcBorders>
              <w:top w:val="nil" w:sz="6" w:space="0" w:color="auto"/>
              <w:left w:val="nil" w:sz="6" w:space="0" w:color="auto"/>
              <w:bottom w:val="nil" w:sz="6" w:space="0" w:color="auto"/>
              <w:right w:val="nil" w:sz="6" w:space="0" w:color="auto"/>
            </w:tcBorders>
          </w:tcPr>
          <w:p>
            <w:pPr>
              <w:pStyle w:val="TableParagraph"/>
              <w:tabs>
                <w:tab w:pos="902" w:val="left" w:leader="none"/>
              </w:tabs>
              <w:spacing w:line="223" w:lineRule="exact"/>
              <w:ind w:right="92"/>
              <w:jc w:val="right"/>
              <w:rPr>
                <w:rFonts w:ascii="宋体" w:hAnsi="宋体" w:cs="宋体" w:eastAsia="宋体" w:hint="default"/>
                <w:sz w:val="18"/>
                <w:szCs w:val="18"/>
              </w:rPr>
            </w:pPr>
            <w:r>
              <w:rPr>
                <w:rFonts w:ascii="宋体"/>
                <w:sz w:val="18"/>
              </w:rPr>
            </w:r>
            <w:r>
              <w:rPr>
                <w:rFonts w:ascii="宋体"/>
                <w:sz w:val="18"/>
                <w:u w:val="single" w:color="000000"/>
              </w:rPr>
              <w:t> </w:t>
              <w:tab/>
              <w:t>-</w:t>
            </w:r>
            <w:r>
              <w:rPr>
                <w:rFonts w:ascii="宋体"/>
                <w:sz w:val="18"/>
              </w:rPr>
            </w:r>
          </w:p>
        </w:tc>
        <w:tc>
          <w:tcPr>
            <w:tcW w:w="1091" w:type="dxa"/>
            <w:tcBorders>
              <w:top w:val="nil" w:sz="6" w:space="0" w:color="auto"/>
              <w:left w:val="nil" w:sz="6" w:space="0" w:color="auto"/>
              <w:bottom w:val="nil" w:sz="6" w:space="0" w:color="auto"/>
              <w:right w:val="nil" w:sz="6" w:space="0" w:color="auto"/>
            </w:tcBorders>
          </w:tcPr>
          <w:p>
            <w:pPr>
              <w:pStyle w:val="TableParagraph"/>
              <w:tabs>
                <w:tab w:pos="996" w:val="left" w:leader="none"/>
                <w:tab w:pos="2177" w:val="left" w:leader="none"/>
              </w:tabs>
              <w:spacing w:line="223" w:lineRule="exact"/>
              <w:ind w:left="5" w:right="-1087"/>
              <w:jc w:val="left"/>
              <w:rPr>
                <w:rFonts w:ascii="宋体" w:hAnsi="宋体" w:cs="宋体" w:eastAsia="宋体" w:hint="default"/>
                <w:sz w:val="18"/>
                <w:szCs w:val="18"/>
              </w:rPr>
            </w:pPr>
            <w:r>
              <w:rPr>
                <w:rFonts w:ascii="宋体"/>
                <w:sz w:val="18"/>
              </w:rPr>
            </w:r>
            <w:r>
              <w:rPr>
                <w:rFonts w:ascii="宋体"/>
                <w:sz w:val="18"/>
                <w:u w:val="single" w:color="000000"/>
              </w:rPr>
              <w:t> </w:t>
              <w:tab/>
              <w:t>-</w:t>
              <w:tab/>
            </w:r>
            <w:r>
              <w:rPr>
                <w:rFonts w:ascii="宋体"/>
                <w:sz w:val="18"/>
              </w:rPr>
            </w:r>
          </w:p>
        </w:tc>
        <w:tc>
          <w:tcPr>
            <w:tcW w:w="1271" w:type="dxa"/>
            <w:tcBorders>
              <w:top w:val="nil" w:sz="6" w:space="0" w:color="auto"/>
              <w:left w:val="nil" w:sz="6" w:space="0" w:color="auto"/>
              <w:bottom w:val="nil" w:sz="6" w:space="0" w:color="auto"/>
              <w:right w:val="nil" w:sz="6" w:space="0" w:color="auto"/>
            </w:tcBorders>
          </w:tcPr>
          <w:p>
            <w:pPr>
              <w:pStyle w:val="TableParagraph"/>
              <w:spacing w:line="223" w:lineRule="exact"/>
              <w:ind w:right="92"/>
              <w:jc w:val="right"/>
              <w:rPr>
                <w:rFonts w:ascii="宋体" w:hAnsi="宋体" w:cs="宋体" w:eastAsia="宋体" w:hint="default"/>
                <w:sz w:val="18"/>
                <w:szCs w:val="18"/>
              </w:rPr>
            </w:pPr>
            <w:r>
              <w:rPr>
                <w:rFonts w:ascii="宋体"/>
                <w:sz w:val="18"/>
              </w:rPr>
            </w:r>
            <w:r>
              <w:rPr>
                <w:rFonts w:ascii="宋体"/>
                <w:sz w:val="18"/>
                <w:u w:val="single" w:color="000000"/>
              </w:rPr>
              <w:t>-</w:t>
            </w:r>
            <w:r>
              <w:rPr>
                <w:rFonts w:ascii="宋体"/>
                <w:sz w:val="18"/>
              </w:rPr>
            </w:r>
          </w:p>
        </w:tc>
        <w:tc>
          <w:tcPr>
            <w:tcW w:w="1248" w:type="dxa"/>
            <w:tcBorders>
              <w:top w:val="nil" w:sz="6" w:space="0" w:color="auto"/>
              <w:left w:val="nil" w:sz="6" w:space="0" w:color="auto"/>
              <w:bottom w:val="nil" w:sz="6" w:space="0" w:color="auto"/>
              <w:right w:val="nil" w:sz="6" w:space="0" w:color="auto"/>
            </w:tcBorders>
          </w:tcPr>
          <w:p>
            <w:pPr>
              <w:pStyle w:val="TableParagraph"/>
              <w:tabs>
                <w:tab w:pos="1838" w:val="left" w:leader="none"/>
              </w:tabs>
              <w:spacing w:line="223" w:lineRule="exact"/>
              <w:ind w:right="-695"/>
              <w:jc w:val="right"/>
              <w:rPr>
                <w:rFonts w:ascii="宋体" w:hAnsi="宋体" w:cs="宋体" w:eastAsia="宋体" w:hint="default"/>
                <w:sz w:val="18"/>
                <w:szCs w:val="18"/>
              </w:rPr>
            </w:pPr>
            <w:r>
              <w:rPr>
                <w:rFonts w:ascii="宋体"/>
                <w:sz w:val="18"/>
              </w:rPr>
            </w:r>
            <w:r>
              <w:rPr>
                <w:rFonts w:ascii="宋体"/>
                <w:spacing w:val="-1"/>
                <w:sz w:val="18"/>
                <w:u w:val="single" w:color="000000"/>
              </w:rPr>
              <w:t>272,581,046</w:t>
            </w:r>
            <w:r>
              <w:rPr>
                <w:rFonts w:ascii="宋体"/>
                <w:spacing w:val="-1"/>
                <w:sz w:val="18"/>
              </w:rPr>
            </w:r>
            <w:r>
              <w:rPr>
                <w:rFonts w:ascii="宋体"/>
                <w:spacing w:val="-55"/>
                <w:sz w:val="18"/>
              </w:rPr>
              <w:t> </w:t>
            </w:r>
            <w:r>
              <w:rPr>
                <w:rFonts w:ascii="宋体"/>
                <w:sz w:val="18"/>
                <w:u w:val="single" w:color="000000"/>
              </w:rPr>
              <w:t> </w:t>
              <w:tab/>
            </w:r>
            <w:r>
              <w:rPr>
                <w:rFonts w:ascii="宋体"/>
                <w:sz w:val="18"/>
              </w:rPr>
            </w:r>
          </w:p>
        </w:tc>
        <w:tc>
          <w:tcPr>
            <w:tcW w:w="908" w:type="dxa"/>
            <w:tcBorders>
              <w:top w:val="nil" w:sz="6" w:space="0" w:color="auto"/>
              <w:left w:val="nil" w:sz="6" w:space="0" w:color="auto"/>
              <w:bottom w:val="nil" w:sz="6" w:space="0" w:color="auto"/>
              <w:right w:val="nil" w:sz="6" w:space="0" w:color="auto"/>
            </w:tcBorders>
          </w:tcPr>
          <w:p>
            <w:pPr>
              <w:pStyle w:val="TableParagraph"/>
              <w:spacing w:line="223" w:lineRule="exact"/>
              <w:ind w:right="121"/>
              <w:jc w:val="right"/>
              <w:rPr>
                <w:rFonts w:ascii="宋体" w:hAnsi="宋体" w:cs="宋体" w:eastAsia="宋体" w:hint="default"/>
                <w:sz w:val="18"/>
                <w:szCs w:val="18"/>
              </w:rPr>
            </w:pPr>
            <w:r>
              <w:rPr>
                <w:rFonts w:ascii="宋体"/>
                <w:sz w:val="18"/>
              </w:rPr>
            </w:r>
            <w:r>
              <w:rPr>
                <w:rFonts w:ascii="宋体"/>
                <w:sz w:val="18"/>
                <w:u w:val="single" w:color="000000"/>
              </w:rPr>
              <w:t>-</w:t>
            </w:r>
            <w:r>
              <w:rPr>
                <w:rFonts w:ascii="宋体"/>
                <w:sz w:val="18"/>
              </w:rPr>
            </w:r>
          </w:p>
        </w:tc>
        <w:tc>
          <w:tcPr>
            <w:tcW w:w="1495" w:type="dxa"/>
            <w:tcBorders>
              <w:top w:val="nil" w:sz="6" w:space="0" w:color="auto"/>
              <w:left w:val="nil" w:sz="6" w:space="0" w:color="auto"/>
              <w:bottom w:val="nil" w:sz="6" w:space="0" w:color="auto"/>
              <w:right w:val="nil" w:sz="6" w:space="0" w:color="auto"/>
            </w:tcBorders>
          </w:tcPr>
          <w:p>
            <w:pPr>
              <w:pStyle w:val="TableParagraph"/>
              <w:spacing w:line="223" w:lineRule="exact"/>
              <w:ind w:right="198"/>
              <w:jc w:val="right"/>
              <w:rPr>
                <w:rFonts w:ascii="宋体" w:hAnsi="宋体" w:cs="宋体" w:eastAsia="宋体" w:hint="default"/>
                <w:sz w:val="18"/>
                <w:szCs w:val="18"/>
              </w:rPr>
            </w:pPr>
            <w:r>
              <w:rPr>
                <w:rFonts w:ascii="宋体"/>
                <w:sz w:val="18"/>
              </w:rPr>
            </w:r>
            <w:r>
              <w:rPr>
                <w:rFonts w:ascii="宋体"/>
                <w:sz w:val="18"/>
                <w:u w:val="single" w:color="000000"/>
              </w:rPr>
              <w:t> </w:t>
            </w:r>
            <w:r>
              <w:rPr>
                <w:rFonts w:ascii="宋体"/>
                <w:spacing w:val="2"/>
                <w:sz w:val="18"/>
                <w:u w:val="single" w:color="000000"/>
              </w:rPr>
              <w:t> </w:t>
            </w:r>
            <w:r>
              <w:rPr>
                <w:rFonts w:ascii="宋体"/>
                <w:spacing w:val="-1"/>
                <w:sz w:val="18"/>
                <w:u w:val="single" w:color="000000"/>
              </w:rPr>
              <w:t>272,581,046</w:t>
            </w:r>
            <w:r>
              <w:rPr>
                <w:rFonts w:ascii="宋体"/>
                <w:spacing w:val="-1"/>
                <w:sz w:val="18"/>
              </w:rPr>
            </w:r>
          </w:p>
        </w:tc>
      </w:tr>
      <w:tr>
        <w:trPr>
          <w:trHeight w:val="364" w:hRule="exact"/>
        </w:trPr>
        <w:tc>
          <w:tcPr>
            <w:tcW w:w="1473"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93"/>
              <w:jc w:val="right"/>
              <w:rPr>
                <w:rFonts w:ascii="宋体" w:hAnsi="宋体" w:cs="宋体" w:eastAsia="宋体" w:hint="default"/>
                <w:sz w:val="18"/>
                <w:szCs w:val="18"/>
              </w:rPr>
            </w:pPr>
            <w:r>
              <w:rPr>
                <w:rFonts w:ascii="宋体"/>
                <w:sz w:val="18"/>
              </w:rPr>
            </w:r>
            <w:r>
              <w:rPr>
                <w:rFonts w:ascii="宋体"/>
                <w:spacing w:val="-1"/>
                <w:sz w:val="18"/>
                <w:u w:val="thick" w:color="000000"/>
              </w:rPr>
              <w:t>476,222,605</w:t>
            </w:r>
            <w:r>
              <w:rPr>
                <w:rFonts w:ascii="宋体"/>
                <w:spacing w:val="-1"/>
                <w:sz w:val="18"/>
              </w:rPr>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94" w:right="0"/>
              <w:jc w:val="left"/>
              <w:rPr>
                <w:rFonts w:ascii="宋体" w:hAnsi="宋体" w:cs="宋体" w:eastAsia="宋体" w:hint="default"/>
                <w:sz w:val="18"/>
                <w:szCs w:val="18"/>
              </w:rPr>
            </w:pPr>
            <w:r>
              <w:rPr>
                <w:rFonts w:ascii="宋体"/>
                <w:sz w:val="18"/>
              </w:rPr>
            </w:r>
            <w:r>
              <w:rPr>
                <w:rFonts w:ascii="宋体"/>
                <w:sz w:val="18"/>
                <w:u w:val="thick" w:color="000000"/>
              </w:rPr>
              <w:t>734,587,312</w:t>
            </w:r>
            <w:r>
              <w:rPr>
                <w:rFonts w:ascii="宋体"/>
                <w:sz w:val="18"/>
              </w:rPr>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93"/>
              <w:jc w:val="right"/>
              <w:rPr>
                <w:rFonts w:ascii="宋体" w:hAnsi="宋体" w:cs="宋体" w:eastAsia="宋体" w:hint="default"/>
                <w:sz w:val="18"/>
                <w:szCs w:val="18"/>
              </w:rPr>
            </w:pPr>
            <w:r>
              <w:rPr>
                <w:rFonts w:ascii="宋体"/>
                <w:sz w:val="18"/>
              </w:rPr>
            </w:r>
            <w:r>
              <w:rPr>
                <w:rFonts w:ascii="宋体"/>
                <w:spacing w:val="-1"/>
                <w:sz w:val="18"/>
                <w:u w:val="thick" w:color="000000"/>
              </w:rPr>
              <w:t>2,303,133,525</w:t>
            </w:r>
            <w:r>
              <w:rPr>
                <w:rFonts w:ascii="宋体"/>
                <w:spacing w:val="-1"/>
                <w:sz w:val="18"/>
              </w:rPr>
            </w:r>
          </w:p>
        </w:tc>
        <w:tc>
          <w:tcPr>
            <w:tcW w:w="1248" w:type="dxa"/>
            <w:tcBorders>
              <w:top w:val="nil" w:sz="6" w:space="0" w:color="auto"/>
              <w:left w:val="nil" w:sz="6" w:space="0" w:color="auto"/>
              <w:bottom w:val="nil" w:sz="6" w:space="0" w:color="auto"/>
              <w:right w:val="nil" w:sz="6" w:space="0" w:color="auto"/>
            </w:tcBorders>
          </w:tcPr>
          <w:p>
            <w:pPr>
              <w:pStyle w:val="TableParagraph"/>
              <w:tabs>
                <w:tab w:pos="1847" w:val="left" w:leader="none"/>
              </w:tabs>
              <w:spacing w:line="240" w:lineRule="auto" w:before="128"/>
              <w:ind w:right="-695"/>
              <w:jc w:val="right"/>
              <w:rPr>
                <w:rFonts w:ascii="宋体" w:hAnsi="宋体" w:cs="宋体" w:eastAsia="宋体" w:hint="default"/>
                <w:sz w:val="18"/>
                <w:szCs w:val="18"/>
              </w:rPr>
            </w:pPr>
            <w:r>
              <w:rPr>
                <w:rFonts w:ascii="宋体"/>
                <w:sz w:val="18"/>
              </w:rPr>
            </w:r>
            <w:r>
              <w:rPr>
                <w:rFonts w:ascii="宋体"/>
                <w:spacing w:val="-1"/>
                <w:sz w:val="18"/>
                <w:u w:val="thick" w:color="000000"/>
              </w:rPr>
              <w:t>272,893,546</w:t>
              <w:tab/>
            </w:r>
            <w:r>
              <w:rPr>
                <w:rFonts w:ascii="宋体"/>
                <w:spacing w:val="-1"/>
                <w:sz w:val="18"/>
              </w:rPr>
            </w:r>
          </w:p>
        </w:tc>
        <w:tc>
          <w:tcPr>
            <w:tcW w:w="908"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21"/>
              <w:jc w:val="right"/>
              <w:rPr>
                <w:rFonts w:ascii="宋体" w:hAnsi="宋体" w:cs="宋体" w:eastAsia="宋体" w:hint="default"/>
                <w:sz w:val="18"/>
                <w:szCs w:val="18"/>
              </w:rPr>
            </w:pPr>
            <w:r>
              <w:rPr>
                <w:rFonts w:ascii="宋体"/>
                <w:sz w:val="18"/>
              </w:rPr>
            </w:r>
            <w:r>
              <w:rPr>
                <w:rFonts w:ascii="宋体"/>
                <w:sz w:val="18"/>
                <w:u w:val="thick" w:color="000000"/>
              </w:rPr>
              <w:t>-</w:t>
            </w:r>
            <w:r>
              <w:rPr>
                <w:rFonts w:ascii="宋体"/>
                <w:sz w:val="18"/>
              </w:rPr>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98"/>
              <w:jc w:val="right"/>
              <w:rPr>
                <w:rFonts w:ascii="宋体" w:hAnsi="宋体" w:cs="宋体" w:eastAsia="宋体" w:hint="default"/>
                <w:sz w:val="18"/>
                <w:szCs w:val="18"/>
              </w:rPr>
            </w:pPr>
            <w:r>
              <w:rPr>
                <w:rFonts w:ascii="宋体"/>
                <w:sz w:val="18"/>
              </w:rPr>
            </w:r>
            <w:r>
              <w:rPr>
                <w:rFonts w:ascii="宋体"/>
                <w:spacing w:val="-1"/>
                <w:sz w:val="18"/>
                <w:u w:val="thick" w:color="000000"/>
              </w:rPr>
              <w:t>3,786,836,988</w:t>
            </w:r>
            <w:r>
              <w:rPr>
                <w:rFonts w:ascii="宋体"/>
                <w:spacing w:val="-1"/>
                <w:sz w:val="18"/>
              </w:rPr>
            </w:r>
          </w:p>
        </w:tc>
      </w:tr>
    </w:tbl>
    <w:p>
      <w:pPr>
        <w:spacing w:after="0" w:line="240" w:lineRule="auto"/>
        <w:jc w:val="right"/>
        <w:rPr>
          <w:rFonts w:ascii="宋体" w:hAnsi="宋体" w:cs="宋体" w:eastAsia="宋体" w:hint="default"/>
          <w:sz w:val="18"/>
          <w:szCs w:val="18"/>
        </w:rPr>
        <w:sectPr>
          <w:pgSz w:w="11910" w:h="16840"/>
          <w:pgMar w:header="857" w:footer="1195" w:top="1280" w:bottom="1380" w:left="1540" w:right="112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p>
      <w:pPr>
        <w:pStyle w:val="Heading3"/>
        <w:spacing w:line="240" w:lineRule="auto"/>
        <w:ind w:left="138" w:right="0"/>
        <w:jc w:val="both"/>
        <w:rPr>
          <w:b w:val="0"/>
          <w:bCs w:val="0"/>
        </w:rPr>
      </w:pPr>
      <w:r>
        <w:rPr>
          <w:rFonts w:ascii="宋体" w:hAnsi="宋体" w:cs="宋体" w:eastAsia="宋体" w:hint="default"/>
        </w:rPr>
        <w:t>3</w:t>
      </w:r>
      <w:r>
        <w:rPr/>
        <w:t>．    资本管理</w:t>
      </w:r>
      <w:r>
        <w:rPr>
          <w:b w:val="0"/>
          <w:bCs w:val="0"/>
        </w:rPr>
      </w:r>
    </w:p>
    <w:p>
      <w:pPr>
        <w:spacing w:line="240" w:lineRule="auto" w:before="10"/>
        <w:rPr>
          <w:rFonts w:ascii="宋体" w:hAnsi="宋体" w:cs="宋体" w:eastAsia="宋体" w:hint="default"/>
          <w:b/>
          <w:bCs/>
          <w:sz w:val="22"/>
          <w:szCs w:val="22"/>
        </w:rPr>
      </w:pPr>
    </w:p>
    <w:p>
      <w:pPr>
        <w:pStyle w:val="BodyText"/>
        <w:spacing w:line="272" w:lineRule="exact"/>
        <w:ind w:left="138" w:right="148"/>
        <w:jc w:val="both"/>
      </w:pPr>
      <w:r>
        <w:rPr/>
        <w:t>本集团资本管理的主要目标是确保本集团持续经营的能力，并保持健康的资本比率，以支</w:t>
      </w:r>
      <w:r>
        <w:rPr>
          <w:spacing w:val="8"/>
        </w:rPr>
        <w:t> </w:t>
      </w:r>
      <w:r>
        <w:rPr/>
        <w:t>持业</w:t>
      </w:r>
      <w:r>
        <w:rPr>
          <w:w w:val="100"/>
        </w:rPr>
        <w:t> </w:t>
      </w:r>
      <w:r>
        <w:rPr/>
        <w:t>务发展并使股东价值最大化。</w:t>
      </w:r>
    </w:p>
    <w:p>
      <w:pPr>
        <w:spacing w:line="240" w:lineRule="auto" w:before="6"/>
        <w:rPr>
          <w:rFonts w:ascii="宋体" w:hAnsi="宋体" w:cs="宋体" w:eastAsia="宋体" w:hint="default"/>
          <w:sz w:val="19"/>
          <w:szCs w:val="19"/>
        </w:rPr>
      </w:pPr>
    </w:p>
    <w:p>
      <w:pPr>
        <w:pStyle w:val="BodyText"/>
        <w:spacing w:line="237" w:lineRule="auto"/>
        <w:ind w:left="138" w:right="148"/>
        <w:jc w:val="both"/>
      </w:pPr>
      <w:r>
        <w:rPr>
          <w:spacing w:val="-1"/>
        </w:rPr>
        <w:t>本集团管理资本结构并根据经济形势以及相关资产的风险特征的变化对其进行调整。为维持或调</w:t>
      </w:r>
      <w:r>
        <w:rPr>
          <w:spacing w:val="-55"/>
        </w:rPr>
        <w:t> </w:t>
      </w:r>
      <w:r>
        <w:rPr>
          <w:spacing w:val="-55"/>
        </w:rPr>
      </w:r>
      <w:r>
        <w:rPr>
          <w:spacing w:val="-1"/>
        </w:rPr>
        <w:t>整资本结构，本集团可以调整对股东的利润分配、向股东归还资本或发行新股。本集团不受外部</w:t>
      </w:r>
      <w:r>
        <w:rPr>
          <w:spacing w:val="-55"/>
        </w:rPr>
        <w:t> </w:t>
      </w:r>
      <w:r>
        <w:rPr>
          <w:spacing w:val="-55"/>
        </w:rPr>
      </w:r>
      <w:r>
        <w:rPr/>
        <w:t>强制性资本要求约束。</w:t>
      </w:r>
      <w:r>
        <w:rPr>
          <w:rFonts w:ascii="宋体" w:hAnsi="宋体" w:cs="宋体" w:eastAsia="宋体" w:hint="default"/>
        </w:rPr>
        <w:t>2017</w:t>
      </w:r>
      <w:r>
        <w:rPr>
          <w:rFonts w:ascii="宋体" w:hAnsi="宋体" w:cs="宋体" w:eastAsia="宋体" w:hint="default"/>
          <w:spacing w:val="-55"/>
        </w:rPr>
        <w:t> </w:t>
      </w:r>
      <w:r>
        <w:rPr/>
        <w:t>年度和</w:t>
      </w:r>
      <w:r>
        <w:rPr>
          <w:spacing w:val="-55"/>
        </w:rPr>
        <w:t> </w:t>
      </w:r>
      <w:r>
        <w:rPr>
          <w:rFonts w:ascii="宋体" w:hAnsi="宋体" w:cs="宋体" w:eastAsia="宋体" w:hint="default"/>
        </w:rPr>
        <w:t>2016</w:t>
      </w:r>
      <w:r>
        <w:rPr>
          <w:rFonts w:ascii="宋体" w:hAnsi="宋体" w:cs="宋体" w:eastAsia="宋体" w:hint="default"/>
          <w:spacing w:val="-57"/>
        </w:rPr>
        <w:t> </w:t>
      </w:r>
      <w:r>
        <w:rPr/>
        <w:t>年度，资本管理目标、政策或程序未发生变化。</w:t>
      </w:r>
    </w:p>
    <w:p>
      <w:pPr>
        <w:spacing w:line="240" w:lineRule="auto" w:before="11"/>
        <w:rPr>
          <w:rFonts w:ascii="宋体" w:hAnsi="宋体" w:cs="宋体" w:eastAsia="宋体" w:hint="default"/>
          <w:sz w:val="20"/>
          <w:szCs w:val="20"/>
        </w:rPr>
      </w:pPr>
    </w:p>
    <w:p>
      <w:pPr>
        <w:pStyle w:val="BodyText"/>
        <w:spacing w:line="237" w:lineRule="auto"/>
        <w:ind w:left="138" w:right="148"/>
        <w:jc w:val="both"/>
      </w:pPr>
      <w:r>
        <w:rPr>
          <w:spacing w:val="-1"/>
        </w:rPr>
        <w:t>本集团采用杠杆比率来管理资本，杠杆比率是指净负债和调整后资本加净负债的比率。净负债包</w:t>
      </w:r>
      <w:r>
        <w:rPr>
          <w:spacing w:val="-55"/>
        </w:rPr>
        <w:t> </w:t>
      </w:r>
      <w:r>
        <w:rPr>
          <w:spacing w:val="-55"/>
        </w:rPr>
      </w:r>
      <w:r>
        <w:rPr>
          <w:spacing w:val="-1"/>
        </w:rPr>
        <w:t>括所有借款款项、应付账款、应付职工薪酬、除应交所得税之外的其他应交税费、其他应付款及</w:t>
      </w:r>
      <w:r>
        <w:rPr>
          <w:spacing w:val="-56"/>
        </w:rPr>
        <w:t> </w:t>
      </w:r>
      <w:r>
        <w:rPr>
          <w:spacing w:val="-56"/>
        </w:rPr>
      </w:r>
      <w:r>
        <w:rPr>
          <w:spacing w:val="-1"/>
        </w:rPr>
        <w:t>应付债券减现金和现金等价物后的净额。资本包括归属于母公司股东权益，本集团于资产负债表</w:t>
      </w:r>
      <w:r>
        <w:rPr>
          <w:spacing w:val="-55"/>
        </w:rPr>
        <w:t> </w:t>
      </w:r>
      <w:r>
        <w:rPr>
          <w:spacing w:val="-55"/>
        </w:rPr>
      </w:r>
      <w:r>
        <w:rPr/>
        <w:t>日的杠杆比率如下：</w:t>
      </w:r>
    </w:p>
    <w:p>
      <w:pPr>
        <w:spacing w:line="240" w:lineRule="auto" w:before="10"/>
        <w:rPr>
          <w:rFonts w:ascii="宋体" w:hAnsi="宋体" w:cs="宋体" w:eastAsia="宋体" w:hint="default"/>
          <w:sz w:val="27"/>
          <w:szCs w:val="27"/>
        </w:rPr>
      </w:pPr>
    </w:p>
    <w:tbl>
      <w:tblPr>
        <w:tblW w:w="0" w:type="auto"/>
        <w:jc w:val="left"/>
        <w:tblInd w:w="564" w:type="dxa"/>
        <w:tblLayout w:type="fixed"/>
        <w:tblCellMar>
          <w:top w:w="0" w:type="dxa"/>
          <w:left w:w="0" w:type="dxa"/>
          <w:bottom w:w="0" w:type="dxa"/>
          <w:right w:w="0" w:type="dxa"/>
        </w:tblCellMar>
        <w:tblLook w:val="01E0"/>
      </w:tblPr>
      <w:tblGrid>
        <w:gridCol w:w="3325"/>
        <w:gridCol w:w="2457"/>
        <w:gridCol w:w="2415"/>
      </w:tblGrid>
      <w:tr>
        <w:trPr>
          <w:trHeight w:val="368" w:hRule="exact"/>
        </w:trPr>
        <w:tc>
          <w:tcPr>
            <w:tcW w:w="3325" w:type="dxa"/>
            <w:tcBorders>
              <w:top w:val="nil" w:sz="6" w:space="0" w:color="auto"/>
              <w:left w:val="nil" w:sz="6" w:space="0" w:color="auto"/>
              <w:bottom w:val="nil" w:sz="6" w:space="0" w:color="auto"/>
              <w:right w:val="nil" w:sz="6" w:space="0" w:color="auto"/>
            </w:tcBorders>
          </w:tcPr>
          <w:p>
            <w:pPr/>
          </w:p>
        </w:tc>
        <w:tc>
          <w:tcPr>
            <w:tcW w:w="2457" w:type="dxa"/>
            <w:tcBorders>
              <w:top w:val="nil" w:sz="6" w:space="0" w:color="auto"/>
              <w:left w:val="nil" w:sz="6" w:space="0" w:color="auto"/>
              <w:bottom w:val="nil" w:sz="6" w:space="0" w:color="auto"/>
              <w:right w:val="nil" w:sz="6" w:space="0" w:color="auto"/>
            </w:tcBorders>
          </w:tcPr>
          <w:p>
            <w:pPr>
              <w:pStyle w:val="TableParagraph"/>
              <w:spacing w:line="211" w:lineRule="exact"/>
              <w:ind w:right="476"/>
              <w:jc w:val="righ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415" w:type="dxa"/>
            <w:tcBorders>
              <w:top w:val="nil" w:sz="6" w:space="0" w:color="auto"/>
              <w:left w:val="nil" w:sz="6" w:space="0" w:color="auto"/>
              <w:bottom w:val="nil" w:sz="6" w:space="0" w:color="auto"/>
              <w:right w:val="nil" w:sz="6" w:space="0" w:color="auto"/>
            </w:tcBorders>
          </w:tcPr>
          <w:p>
            <w:pPr>
              <w:pStyle w:val="TableParagraph"/>
              <w:spacing w:line="211" w:lineRule="exact"/>
              <w:ind w:right="198"/>
              <w:jc w:val="right"/>
              <w:rPr>
                <w:rFonts w:ascii="宋体" w:hAnsi="宋体" w:cs="宋体" w:eastAsia="宋体" w:hint="default"/>
                <w:sz w:val="21"/>
                <w:szCs w:val="21"/>
              </w:rPr>
            </w:pPr>
            <w:r>
              <w:rPr>
                <w:rFonts w:ascii="宋体" w:hAnsi="宋体" w:cs="宋体" w:eastAsia="宋体" w:hint="default"/>
                <w:sz w:val="21"/>
                <w:szCs w:val="21"/>
              </w:rPr>
              <w:t>2016</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431" w:hRule="exact"/>
        </w:trPr>
        <w:tc>
          <w:tcPr>
            <w:tcW w:w="3325" w:type="dxa"/>
            <w:tcBorders>
              <w:top w:val="nil" w:sz="6" w:space="0" w:color="auto"/>
              <w:left w:val="nil" w:sz="6" w:space="0" w:color="auto"/>
              <w:bottom w:val="nil" w:sz="6" w:space="0" w:color="auto"/>
              <w:right w:val="nil" w:sz="6" w:space="0" w:color="auto"/>
            </w:tcBorders>
          </w:tcPr>
          <w:p>
            <w:pPr>
              <w:pStyle w:val="TableParagraph"/>
              <w:spacing w:line="240" w:lineRule="auto" w:before="93"/>
              <w:ind w:left="200"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2457"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477"/>
              <w:jc w:val="right"/>
              <w:rPr>
                <w:rFonts w:ascii="宋体" w:hAnsi="宋体" w:cs="宋体" w:eastAsia="宋体" w:hint="default"/>
                <w:sz w:val="21"/>
                <w:szCs w:val="21"/>
              </w:rPr>
            </w:pPr>
            <w:r>
              <w:rPr>
                <w:rFonts w:ascii="宋体"/>
                <w:spacing w:val="-1"/>
                <w:sz w:val="21"/>
              </w:rPr>
              <w:t>3,450,000,000</w:t>
            </w:r>
          </w:p>
        </w:tc>
        <w:tc>
          <w:tcPr>
            <w:tcW w:w="241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98"/>
              <w:jc w:val="right"/>
              <w:rPr>
                <w:rFonts w:ascii="宋体" w:hAnsi="宋体" w:cs="宋体" w:eastAsia="宋体" w:hint="default"/>
                <w:sz w:val="21"/>
                <w:szCs w:val="21"/>
              </w:rPr>
            </w:pPr>
            <w:r>
              <w:rPr>
                <w:rFonts w:ascii="宋体"/>
                <w:spacing w:val="-1"/>
                <w:sz w:val="21"/>
              </w:rPr>
              <w:t>2,352,342,112</w:t>
            </w:r>
          </w:p>
        </w:tc>
      </w:tr>
      <w:tr>
        <w:trPr>
          <w:trHeight w:val="278" w:hRule="exact"/>
        </w:trPr>
        <w:tc>
          <w:tcPr>
            <w:tcW w:w="3325" w:type="dxa"/>
            <w:tcBorders>
              <w:top w:val="nil" w:sz="6" w:space="0" w:color="auto"/>
              <w:left w:val="nil" w:sz="6" w:space="0" w:color="auto"/>
              <w:bottom w:val="nil" w:sz="6" w:space="0" w:color="auto"/>
              <w:right w:val="nil" w:sz="6" w:space="0" w:color="auto"/>
            </w:tcBorders>
          </w:tcPr>
          <w:p>
            <w:pPr>
              <w:pStyle w:val="TableParagraph"/>
              <w:spacing w:line="245" w:lineRule="exact"/>
              <w:ind w:left="200"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2457" w:type="dxa"/>
            <w:tcBorders>
              <w:top w:val="nil" w:sz="6" w:space="0" w:color="auto"/>
              <w:left w:val="nil" w:sz="6" w:space="0" w:color="auto"/>
              <w:bottom w:val="nil" w:sz="6" w:space="0" w:color="auto"/>
              <w:right w:val="nil" w:sz="6" w:space="0" w:color="auto"/>
            </w:tcBorders>
          </w:tcPr>
          <w:p>
            <w:pPr>
              <w:pStyle w:val="TableParagraph"/>
              <w:spacing w:line="245" w:lineRule="exact"/>
              <w:ind w:right="476"/>
              <w:jc w:val="right"/>
              <w:rPr>
                <w:rFonts w:ascii="宋体" w:hAnsi="宋体" w:cs="宋体" w:eastAsia="宋体" w:hint="default"/>
                <w:sz w:val="21"/>
                <w:szCs w:val="21"/>
              </w:rPr>
            </w:pPr>
            <w:r>
              <w:rPr>
                <w:rFonts w:ascii="宋体"/>
                <w:spacing w:val="-1"/>
                <w:sz w:val="21"/>
              </w:rPr>
              <w:t>452,912,908</w:t>
            </w:r>
          </w:p>
        </w:tc>
        <w:tc>
          <w:tcPr>
            <w:tcW w:w="2415" w:type="dxa"/>
            <w:tcBorders>
              <w:top w:val="nil" w:sz="6" w:space="0" w:color="auto"/>
              <w:left w:val="nil" w:sz="6" w:space="0" w:color="auto"/>
              <w:bottom w:val="nil" w:sz="6" w:space="0" w:color="auto"/>
              <w:right w:val="nil" w:sz="6" w:space="0" w:color="auto"/>
            </w:tcBorders>
          </w:tcPr>
          <w:p>
            <w:pPr>
              <w:pStyle w:val="TableParagraph"/>
              <w:spacing w:line="245" w:lineRule="exact"/>
              <w:ind w:right="198"/>
              <w:jc w:val="right"/>
              <w:rPr>
                <w:rFonts w:ascii="宋体" w:hAnsi="宋体" w:cs="宋体" w:eastAsia="宋体" w:hint="default"/>
                <w:sz w:val="21"/>
                <w:szCs w:val="21"/>
              </w:rPr>
            </w:pPr>
            <w:r>
              <w:rPr>
                <w:rFonts w:ascii="宋体"/>
                <w:spacing w:val="-1"/>
                <w:sz w:val="21"/>
              </w:rPr>
              <w:t>436,007,797</w:t>
            </w:r>
          </w:p>
        </w:tc>
      </w:tr>
      <w:tr>
        <w:trPr>
          <w:trHeight w:val="278" w:hRule="exact"/>
        </w:trPr>
        <w:tc>
          <w:tcPr>
            <w:tcW w:w="3325" w:type="dxa"/>
            <w:tcBorders>
              <w:top w:val="nil" w:sz="6" w:space="0" w:color="auto"/>
              <w:left w:val="nil" w:sz="6" w:space="0" w:color="auto"/>
              <w:bottom w:val="nil" w:sz="6" w:space="0" w:color="auto"/>
              <w:right w:val="nil" w:sz="6" w:space="0" w:color="auto"/>
            </w:tcBorders>
          </w:tcPr>
          <w:p>
            <w:pPr>
              <w:pStyle w:val="TableParagraph"/>
              <w:spacing w:line="245" w:lineRule="exact"/>
              <w:ind w:left="200"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2457" w:type="dxa"/>
            <w:tcBorders>
              <w:top w:val="nil" w:sz="6" w:space="0" w:color="auto"/>
              <w:left w:val="nil" w:sz="6" w:space="0" w:color="auto"/>
              <w:bottom w:val="nil" w:sz="6" w:space="0" w:color="auto"/>
              <w:right w:val="nil" w:sz="6" w:space="0" w:color="auto"/>
            </w:tcBorders>
          </w:tcPr>
          <w:p>
            <w:pPr>
              <w:pStyle w:val="TableParagraph"/>
              <w:spacing w:line="245" w:lineRule="exact"/>
              <w:ind w:right="476"/>
              <w:jc w:val="right"/>
              <w:rPr>
                <w:rFonts w:ascii="宋体" w:hAnsi="宋体" w:cs="宋体" w:eastAsia="宋体" w:hint="default"/>
                <w:sz w:val="21"/>
                <w:szCs w:val="21"/>
              </w:rPr>
            </w:pPr>
            <w:r>
              <w:rPr>
                <w:rFonts w:ascii="宋体"/>
                <w:spacing w:val="-1"/>
                <w:sz w:val="21"/>
              </w:rPr>
              <w:t>644,927,547</w:t>
            </w:r>
          </w:p>
        </w:tc>
        <w:tc>
          <w:tcPr>
            <w:tcW w:w="2415" w:type="dxa"/>
            <w:tcBorders>
              <w:top w:val="nil" w:sz="6" w:space="0" w:color="auto"/>
              <w:left w:val="nil" w:sz="6" w:space="0" w:color="auto"/>
              <w:bottom w:val="nil" w:sz="6" w:space="0" w:color="auto"/>
              <w:right w:val="nil" w:sz="6" w:space="0" w:color="auto"/>
            </w:tcBorders>
          </w:tcPr>
          <w:p>
            <w:pPr>
              <w:pStyle w:val="TableParagraph"/>
              <w:spacing w:line="245" w:lineRule="exact"/>
              <w:ind w:right="198"/>
              <w:jc w:val="right"/>
              <w:rPr>
                <w:rFonts w:ascii="宋体" w:hAnsi="宋体" w:cs="宋体" w:eastAsia="宋体" w:hint="default"/>
                <w:sz w:val="21"/>
                <w:szCs w:val="21"/>
              </w:rPr>
            </w:pPr>
            <w:r>
              <w:rPr>
                <w:rFonts w:ascii="宋体"/>
                <w:spacing w:val="-1"/>
                <w:sz w:val="21"/>
              </w:rPr>
              <w:t>603,245,801</w:t>
            </w:r>
          </w:p>
        </w:tc>
      </w:tr>
      <w:tr>
        <w:trPr>
          <w:trHeight w:val="278" w:hRule="exact"/>
        </w:trPr>
        <w:tc>
          <w:tcPr>
            <w:tcW w:w="3325" w:type="dxa"/>
            <w:tcBorders>
              <w:top w:val="nil" w:sz="6" w:space="0" w:color="auto"/>
              <w:left w:val="nil" w:sz="6" w:space="0" w:color="auto"/>
              <w:bottom w:val="nil" w:sz="6" w:space="0" w:color="auto"/>
              <w:right w:val="nil" w:sz="6" w:space="0" w:color="auto"/>
            </w:tcBorders>
          </w:tcPr>
          <w:p>
            <w:pPr>
              <w:pStyle w:val="TableParagraph"/>
              <w:spacing w:line="245" w:lineRule="exact"/>
              <w:ind w:left="200" w:right="0"/>
              <w:jc w:val="left"/>
              <w:rPr>
                <w:rFonts w:ascii="宋体" w:hAnsi="宋体" w:cs="宋体" w:eastAsia="宋体" w:hint="default"/>
                <w:sz w:val="21"/>
                <w:szCs w:val="21"/>
              </w:rPr>
            </w:pPr>
            <w:r>
              <w:rPr>
                <w:rFonts w:ascii="宋体" w:hAnsi="宋体" w:cs="宋体" w:eastAsia="宋体" w:hint="default"/>
                <w:sz w:val="21"/>
                <w:szCs w:val="21"/>
              </w:rPr>
              <w:t>长期借款（含一年内到期）</w:t>
            </w:r>
          </w:p>
        </w:tc>
        <w:tc>
          <w:tcPr>
            <w:tcW w:w="2457" w:type="dxa"/>
            <w:tcBorders>
              <w:top w:val="nil" w:sz="6" w:space="0" w:color="auto"/>
              <w:left w:val="nil" w:sz="6" w:space="0" w:color="auto"/>
              <w:bottom w:val="nil" w:sz="6" w:space="0" w:color="auto"/>
              <w:right w:val="nil" w:sz="6" w:space="0" w:color="auto"/>
            </w:tcBorders>
          </w:tcPr>
          <w:p>
            <w:pPr>
              <w:pStyle w:val="TableParagraph"/>
              <w:spacing w:line="245" w:lineRule="exact"/>
              <w:ind w:right="476"/>
              <w:jc w:val="right"/>
              <w:rPr>
                <w:rFonts w:ascii="宋体" w:hAnsi="宋体" w:cs="宋体" w:eastAsia="宋体" w:hint="default"/>
                <w:sz w:val="21"/>
                <w:szCs w:val="21"/>
              </w:rPr>
            </w:pPr>
            <w:r>
              <w:rPr>
                <w:rFonts w:ascii="宋体"/>
                <w:spacing w:val="-1"/>
                <w:sz w:val="21"/>
              </w:rPr>
              <w:t>457,495,314</w:t>
            </w:r>
          </w:p>
        </w:tc>
        <w:tc>
          <w:tcPr>
            <w:tcW w:w="2415" w:type="dxa"/>
            <w:tcBorders>
              <w:top w:val="nil" w:sz="6" w:space="0" w:color="auto"/>
              <w:left w:val="nil" w:sz="6" w:space="0" w:color="auto"/>
              <w:bottom w:val="nil" w:sz="6" w:space="0" w:color="auto"/>
              <w:right w:val="nil" w:sz="6" w:space="0" w:color="auto"/>
            </w:tcBorders>
          </w:tcPr>
          <w:p>
            <w:pPr>
              <w:pStyle w:val="TableParagraph"/>
              <w:spacing w:line="245" w:lineRule="exact"/>
              <w:ind w:right="198"/>
              <w:jc w:val="right"/>
              <w:rPr>
                <w:rFonts w:ascii="宋体" w:hAnsi="宋体" w:cs="宋体" w:eastAsia="宋体" w:hint="default"/>
                <w:sz w:val="21"/>
                <w:szCs w:val="21"/>
              </w:rPr>
            </w:pPr>
            <w:r>
              <w:rPr>
                <w:rFonts w:ascii="宋体"/>
                <w:spacing w:val="-1"/>
                <w:sz w:val="21"/>
              </w:rPr>
              <w:t>335,813,799</w:t>
            </w:r>
          </w:p>
        </w:tc>
      </w:tr>
      <w:tr>
        <w:trPr>
          <w:trHeight w:val="416" w:hRule="exact"/>
        </w:trPr>
        <w:tc>
          <w:tcPr>
            <w:tcW w:w="3325" w:type="dxa"/>
            <w:tcBorders>
              <w:top w:val="nil" w:sz="6" w:space="0" w:color="auto"/>
              <w:left w:val="nil" w:sz="6" w:space="0" w:color="auto"/>
              <w:bottom w:val="nil" w:sz="6" w:space="0" w:color="auto"/>
              <w:right w:val="nil" w:sz="6" w:space="0" w:color="auto"/>
            </w:tcBorders>
          </w:tcPr>
          <w:p>
            <w:pPr>
              <w:pStyle w:val="TableParagraph"/>
              <w:spacing w:line="245" w:lineRule="exact"/>
              <w:ind w:left="200" w:right="0"/>
              <w:jc w:val="left"/>
              <w:rPr>
                <w:rFonts w:ascii="宋体" w:hAnsi="宋体" w:cs="宋体" w:eastAsia="宋体" w:hint="default"/>
                <w:sz w:val="21"/>
                <w:szCs w:val="21"/>
              </w:rPr>
            </w:pPr>
            <w:r>
              <w:rPr>
                <w:rFonts w:ascii="宋体" w:hAnsi="宋体" w:cs="宋体" w:eastAsia="宋体" w:hint="default"/>
                <w:sz w:val="21"/>
                <w:szCs w:val="21"/>
              </w:rPr>
              <w:t>减：现金和现金等价物</w:t>
            </w:r>
          </w:p>
        </w:tc>
        <w:tc>
          <w:tcPr>
            <w:tcW w:w="2457" w:type="dxa"/>
            <w:tcBorders>
              <w:top w:val="nil" w:sz="6" w:space="0" w:color="auto"/>
              <w:left w:val="nil" w:sz="6" w:space="0" w:color="auto"/>
              <w:bottom w:val="nil" w:sz="6" w:space="0" w:color="auto"/>
              <w:right w:val="nil" w:sz="6" w:space="0" w:color="auto"/>
            </w:tcBorders>
          </w:tcPr>
          <w:p>
            <w:pPr>
              <w:pStyle w:val="TableParagraph"/>
              <w:spacing w:line="245" w:lineRule="exact"/>
              <w:ind w:right="484"/>
              <w:jc w:val="right"/>
              <w:rPr>
                <w:rFonts w:ascii="宋体" w:hAnsi="宋体" w:cs="宋体" w:eastAsia="宋体" w:hint="default"/>
                <w:sz w:val="21"/>
                <w:szCs w:val="21"/>
              </w:rPr>
            </w:pPr>
            <w:r>
              <w:rPr>
                <w:rFonts w:ascii="宋体"/>
                <w:w w:val="100"/>
                <w:sz w:val="21"/>
              </w:rPr>
            </w:r>
            <w:r>
              <w:rPr>
                <w:rFonts w:ascii="宋体"/>
                <w:spacing w:val="-1"/>
                <w:sz w:val="21"/>
                <w:u w:val="single" w:color="000000"/>
              </w:rPr>
              <w:t>4,022,148,465</w:t>
            </w:r>
            <w:r>
              <w:rPr>
                <w:rFonts w:ascii="宋体"/>
                <w:spacing w:val="-1"/>
                <w:sz w:val="21"/>
              </w:rPr>
            </w:r>
          </w:p>
        </w:tc>
        <w:tc>
          <w:tcPr>
            <w:tcW w:w="2415" w:type="dxa"/>
            <w:tcBorders>
              <w:top w:val="nil" w:sz="6" w:space="0" w:color="auto"/>
              <w:left w:val="nil" w:sz="6" w:space="0" w:color="auto"/>
              <w:bottom w:val="nil" w:sz="6" w:space="0" w:color="auto"/>
              <w:right w:val="nil" w:sz="6" w:space="0" w:color="auto"/>
            </w:tcBorders>
          </w:tcPr>
          <w:p>
            <w:pPr>
              <w:pStyle w:val="TableParagraph"/>
              <w:spacing w:line="245" w:lineRule="exact"/>
              <w:ind w:right="205"/>
              <w:jc w:val="right"/>
              <w:rPr>
                <w:rFonts w:ascii="宋体" w:hAnsi="宋体" w:cs="宋体" w:eastAsia="宋体" w:hint="default"/>
                <w:sz w:val="21"/>
                <w:szCs w:val="21"/>
              </w:rPr>
            </w:pPr>
            <w:r>
              <w:rPr>
                <w:rFonts w:ascii="宋体"/>
                <w:w w:val="100"/>
                <w:sz w:val="21"/>
              </w:rPr>
            </w:r>
            <w:r>
              <w:rPr>
                <w:rFonts w:ascii="宋体"/>
                <w:spacing w:val="-1"/>
                <w:sz w:val="21"/>
                <w:u w:val="single" w:color="000000"/>
              </w:rPr>
              <w:t>4,545,989,288</w:t>
            </w:r>
            <w:r>
              <w:rPr>
                <w:rFonts w:ascii="宋体"/>
                <w:spacing w:val="-1"/>
                <w:sz w:val="21"/>
              </w:rPr>
            </w:r>
          </w:p>
        </w:tc>
      </w:tr>
      <w:tr>
        <w:trPr>
          <w:trHeight w:val="413" w:hRule="exact"/>
        </w:trPr>
        <w:tc>
          <w:tcPr>
            <w:tcW w:w="3325"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200" w:right="0"/>
              <w:jc w:val="left"/>
              <w:rPr>
                <w:rFonts w:ascii="宋体" w:hAnsi="宋体" w:cs="宋体" w:eastAsia="宋体" w:hint="default"/>
                <w:sz w:val="21"/>
                <w:szCs w:val="21"/>
              </w:rPr>
            </w:pPr>
            <w:r>
              <w:rPr>
                <w:rFonts w:ascii="宋体" w:hAnsi="宋体" w:cs="宋体" w:eastAsia="宋体" w:hint="default"/>
                <w:sz w:val="21"/>
                <w:szCs w:val="21"/>
              </w:rPr>
              <w:t>净负债</w:t>
            </w:r>
          </w:p>
        </w:tc>
        <w:tc>
          <w:tcPr>
            <w:tcW w:w="245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77"/>
              <w:jc w:val="right"/>
              <w:rPr>
                <w:rFonts w:ascii="宋体" w:hAnsi="宋体" w:cs="宋体" w:eastAsia="宋体" w:hint="default"/>
                <w:sz w:val="21"/>
                <w:szCs w:val="21"/>
              </w:rPr>
            </w:pPr>
            <w:r>
              <w:rPr>
                <w:rFonts w:ascii="宋体"/>
                <w:spacing w:val="-1"/>
                <w:sz w:val="21"/>
              </w:rPr>
              <w:t>2,059,598,646</w:t>
            </w:r>
          </w:p>
        </w:tc>
        <w:tc>
          <w:tcPr>
            <w:tcW w:w="241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98"/>
              <w:jc w:val="right"/>
              <w:rPr>
                <w:rFonts w:ascii="宋体" w:hAnsi="宋体" w:cs="宋体" w:eastAsia="宋体" w:hint="default"/>
                <w:sz w:val="21"/>
                <w:szCs w:val="21"/>
              </w:rPr>
            </w:pPr>
            <w:r>
              <w:rPr>
                <w:rFonts w:ascii="宋体"/>
                <w:spacing w:val="-1"/>
                <w:sz w:val="21"/>
              </w:rPr>
              <w:t>126,744,801</w:t>
            </w:r>
          </w:p>
        </w:tc>
      </w:tr>
      <w:tr>
        <w:trPr>
          <w:trHeight w:val="405" w:hRule="exact"/>
        </w:trPr>
        <w:tc>
          <w:tcPr>
            <w:tcW w:w="3325" w:type="dxa"/>
            <w:tcBorders>
              <w:top w:val="nil" w:sz="6" w:space="0" w:color="auto"/>
              <w:left w:val="nil" w:sz="6" w:space="0" w:color="auto"/>
              <w:bottom w:val="nil" w:sz="6" w:space="0" w:color="auto"/>
              <w:right w:val="nil" w:sz="6" w:space="0" w:color="auto"/>
            </w:tcBorders>
          </w:tcPr>
          <w:p>
            <w:pPr>
              <w:pStyle w:val="TableParagraph"/>
              <w:spacing w:line="241" w:lineRule="exact"/>
              <w:ind w:left="200" w:right="0"/>
              <w:jc w:val="left"/>
              <w:rPr>
                <w:rFonts w:ascii="宋体" w:hAnsi="宋体" w:cs="宋体" w:eastAsia="宋体" w:hint="default"/>
                <w:sz w:val="21"/>
                <w:szCs w:val="21"/>
              </w:rPr>
            </w:pPr>
            <w:r>
              <w:rPr>
                <w:rFonts w:ascii="宋体" w:hAnsi="宋体" w:cs="宋体" w:eastAsia="宋体" w:hint="default"/>
                <w:sz w:val="21"/>
                <w:szCs w:val="21"/>
              </w:rPr>
              <w:t>归属于母公司的股东权益</w:t>
            </w:r>
          </w:p>
        </w:tc>
        <w:tc>
          <w:tcPr>
            <w:tcW w:w="2457" w:type="dxa"/>
            <w:tcBorders>
              <w:top w:val="nil" w:sz="6" w:space="0" w:color="auto"/>
              <w:left w:val="nil" w:sz="6" w:space="0" w:color="auto"/>
              <w:bottom w:val="nil" w:sz="6" w:space="0" w:color="auto"/>
              <w:right w:val="nil" w:sz="6" w:space="0" w:color="auto"/>
            </w:tcBorders>
          </w:tcPr>
          <w:p>
            <w:pPr>
              <w:pStyle w:val="TableParagraph"/>
              <w:spacing w:line="241" w:lineRule="exact"/>
              <w:ind w:right="477"/>
              <w:jc w:val="right"/>
              <w:rPr>
                <w:rFonts w:ascii="宋体" w:hAnsi="宋体" w:cs="宋体" w:eastAsia="宋体" w:hint="default"/>
                <w:sz w:val="21"/>
                <w:szCs w:val="21"/>
              </w:rPr>
            </w:pPr>
            <w:r>
              <w:rPr>
                <w:rFonts w:ascii="宋体"/>
                <w:w w:val="100"/>
                <w:sz w:val="21"/>
              </w:rPr>
            </w:r>
            <w:r>
              <w:rPr>
                <w:rFonts w:ascii="宋体"/>
                <w:spacing w:val="-1"/>
                <w:sz w:val="21"/>
                <w:u w:val="single" w:color="000000"/>
              </w:rPr>
              <w:t>5,842,129,877</w:t>
            </w:r>
            <w:r>
              <w:rPr>
                <w:rFonts w:ascii="宋体"/>
                <w:spacing w:val="-1"/>
                <w:sz w:val="21"/>
              </w:rPr>
            </w:r>
          </w:p>
        </w:tc>
        <w:tc>
          <w:tcPr>
            <w:tcW w:w="2415" w:type="dxa"/>
            <w:tcBorders>
              <w:top w:val="nil" w:sz="6" w:space="0" w:color="auto"/>
              <w:left w:val="nil" w:sz="6" w:space="0" w:color="auto"/>
              <w:bottom w:val="nil" w:sz="6" w:space="0" w:color="auto"/>
              <w:right w:val="nil" w:sz="6" w:space="0" w:color="auto"/>
            </w:tcBorders>
          </w:tcPr>
          <w:p>
            <w:pPr>
              <w:pStyle w:val="TableParagraph"/>
              <w:spacing w:line="241" w:lineRule="exact"/>
              <w:ind w:right="198"/>
              <w:jc w:val="right"/>
              <w:rPr>
                <w:rFonts w:ascii="宋体" w:hAnsi="宋体" w:cs="宋体" w:eastAsia="宋体" w:hint="default"/>
                <w:sz w:val="21"/>
                <w:szCs w:val="21"/>
              </w:rPr>
            </w:pPr>
            <w:r>
              <w:rPr>
                <w:rFonts w:ascii="宋体"/>
                <w:w w:val="100"/>
                <w:sz w:val="21"/>
              </w:rPr>
            </w:r>
            <w:r>
              <w:rPr>
                <w:rFonts w:ascii="宋体"/>
                <w:spacing w:val="-1"/>
                <w:sz w:val="21"/>
                <w:u w:val="single" w:color="000000"/>
              </w:rPr>
              <w:t>5,688,120,850</w:t>
            </w:r>
            <w:r>
              <w:rPr>
                <w:rFonts w:ascii="宋体"/>
                <w:spacing w:val="-1"/>
                <w:sz w:val="21"/>
              </w:rPr>
            </w:r>
          </w:p>
        </w:tc>
      </w:tr>
      <w:tr>
        <w:trPr>
          <w:trHeight w:val="403" w:hRule="exact"/>
        </w:trPr>
        <w:tc>
          <w:tcPr>
            <w:tcW w:w="3325" w:type="dxa"/>
            <w:tcBorders>
              <w:top w:val="nil" w:sz="6" w:space="0" w:color="auto"/>
              <w:left w:val="nil" w:sz="6" w:space="0" w:color="auto"/>
              <w:bottom w:val="nil" w:sz="6" w:space="0" w:color="auto"/>
              <w:right w:val="nil" w:sz="6" w:space="0" w:color="auto"/>
            </w:tcBorders>
          </w:tcPr>
          <w:p>
            <w:pPr>
              <w:pStyle w:val="TableParagraph"/>
              <w:spacing w:line="240" w:lineRule="auto" w:before="99"/>
              <w:ind w:left="200" w:right="0"/>
              <w:jc w:val="left"/>
              <w:rPr>
                <w:rFonts w:ascii="宋体" w:hAnsi="宋体" w:cs="宋体" w:eastAsia="宋体" w:hint="default"/>
                <w:sz w:val="21"/>
                <w:szCs w:val="21"/>
              </w:rPr>
            </w:pPr>
            <w:r>
              <w:rPr>
                <w:rFonts w:ascii="宋体" w:hAnsi="宋体" w:cs="宋体" w:eastAsia="宋体" w:hint="default"/>
                <w:sz w:val="21"/>
                <w:szCs w:val="21"/>
              </w:rPr>
              <w:t>资本和净负债</w:t>
            </w:r>
          </w:p>
        </w:tc>
        <w:tc>
          <w:tcPr>
            <w:tcW w:w="2457"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477"/>
              <w:jc w:val="right"/>
              <w:rPr>
                <w:rFonts w:ascii="宋体" w:hAnsi="宋体" w:cs="宋体" w:eastAsia="宋体" w:hint="default"/>
                <w:sz w:val="21"/>
                <w:szCs w:val="21"/>
              </w:rPr>
            </w:pPr>
            <w:r>
              <w:rPr>
                <w:rFonts w:ascii="宋体"/>
                <w:w w:val="100"/>
                <w:sz w:val="21"/>
              </w:rPr>
            </w:r>
            <w:r>
              <w:rPr>
                <w:rFonts w:ascii="宋体"/>
                <w:spacing w:val="-1"/>
                <w:sz w:val="21"/>
                <w:u w:val="single" w:color="000000"/>
              </w:rPr>
              <w:t>6,825,317,181</w:t>
            </w:r>
            <w:r>
              <w:rPr>
                <w:rFonts w:ascii="宋体"/>
                <w:spacing w:val="-1"/>
                <w:sz w:val="21"/>
              </w:rPr>
            </w:r>
          </w:p>
        </w:tc>
        <w:tc>
          <w:tcPr>
            <w:tcW w:w="2415"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98"/>
              <w:jc w:val="right"/>
              <w:rPr>
                <w:rFonts w:ascii="宋体" w:hAnsi="宋体" w:cs="宋体" w:eastAsia="宋体" w:hint="default"/>
                <w:sz w:val="21"/>
                <w:szCs w:val="21"/>
              </w:rPr>
            </w:pPr>
            <w:r>
              <w:rPr>
                <w:rFonts w:ascii="宋体"/>
                <w:w w:val="100"/>
                <w:sz w:val="21"/>
              </w:rPr>
            </w:r>
            <w:r>
              <w:rPr>
                <w:rFonts w:ascii="宋体"/>
                <w:spacing w:val="-1"/>
                <w:sz w:val="21"/>
                <w:u w:val="single" w:color="000000"/>
              </w:rPr>
              <w:t>4,869,541,071</w:t>
            </w:r>
            <w:r>
              <w:rPr>
                <w:rFonts w:ascii="宋体"/>
                <w:spacing w:val="-1"/>
                <w:sz w:val="21"/>
              </w:rPr>
            </w:r>
          </w:p>
        </w:tc>
      </w:tr>
      <w:tr>
        <w:trPr>
          <w:trHeight w:val="240" w:hRule="exact"/>
        </w:trPr>
        <w:tc>
          <w:tcPr>
            <w:tcW w:w="3325" w:type="dxa"/>
            <w:tcBorders>
              <w:top w:val="nil" w:sz="6" w:space="0" w:color="auto"/>
              <w:left w:val="nil" w:sz="6" w:space="0" w:color="auto"/>
              <w:bottom w:val="nil" w:sz="6" w:space="0" w:color="auto"/>
              <w:right w:val="nil" w:sz="6" w:space="0" w:color="auto"/>
            </w:tcBorders>
          </w:tcPr>
          <w:p>
            <w:pPr>
              <w:pStyle w:val="TableParagraph"/>
              <w:spacing w:line="240" w:lineRule="exact"/>
              <w:ind w:left="200" w:right="0"/>
              <w:jc w:val="left"/>
              <w:rPr>
                <w:rFonts w:ascii="宋体" w:hAnsi="宋体" w:cs="宋体" w:eastAsia="宋体" w:hint="default"/>
                <w:sz w:val="21"/>
                <w:szCs w:val="21"/>
              </w:rPr>
            </w:pPr>
            <w:r>
              <w:rPr>
                <w:rFonts w:ascii="宋体" w:hAnsi="宋体" w:cs="宋体" w:eastAsia="宋体" w:hint="default"/>
                <w:sz w:val="21"/>
                <w:szCs w:val="21"/>
              </w:rPr>
              <w:t>杠杆比率</w:t>
            </w:r>
          </w:p>
        </w:tc>
        <w:tc>
          <w:tcPr>
            <w:tcW w:w="2457" w:type="dxa"/>
            <w:tcBorders>
              <w:top w:val="nil" w:sz="6" w:space="0" w:color="auto"/>
              <w:left w:val="nil" w:sz="6" w:space="0" w:color="auto"/>
              <w:bottom w:val="nil" w:sz="6" w:space="0" w:color="auto"/>
              <w:right w:val="nil" w:sz="6" w:space="0" w:color="auto"/>
            </w:tcBorders>
          </w:tcPr>
          <w:p>
            <w:pPr>
              <w:pStyle w:val="TableParagraph"/>
              <w:tabs>
                <w:tab w:pos="631" w:val="left" w:leader="none"/>
              </w:tabs>
              <w:spacing w:line="240" w:lineRule="exact"/>
              <w:ind w:right="476"/>
              <w:jc w:val="right"/>
              <w:rPr>
                <w:rFonts w:ascii="宋体" w:hAnsi="宋体" w:cs="宋体" w:eastAsia="宋体" w:hint="default"/>
                <w:sz w:val="21"/>
                <w:szCs w:val="21"/>
              </w:rPr>
            </w:pPr>
            <w:r>
              <w:rPr>
                <w:rFonts w:ascii="宋体"/>
                <w:w w:val="100"/>
                <w:sz w:val="21"/>
              </w:rPr>
            </w:r>
            <w:r>
              <w:rPr>
                <w:rFonts w:ascii="宋体"/>
                <w:w w:val="100"/>
                <w:sz w:val="21"/>
                <w:u w:val="single" w:color="000000"/>
              </w:rPr>
              <w:t> </w:t>
            </w:r>
            <w:r>
              <w:rPr>
                <w:rFonts w:ascii="宋体"/>
                <w:sz w:val="21"/>
                <w:u w:val="single" w:color="000000"/>
              </w:rPr>
              <w:tab/>
            </w:r>
            <w:r>
              <w:rPr>
                <w:rFonts w:ascii="宋体"/>
                <w:spacing w:val="-1"/>
                <w:sz w:val="21"/>
                <w:u w:val="single" w:color="000000"/>
              </w:rPr>
              <w:t>14.41%</w:t>
            </w:r>
            <w:r>
              <w:rPr>
                <w:rFonts w:ascii="宋体"/>
                <w:spacing w:val="-1"/>
                <w:sz w:val="21"/>
              </w:rPr>
            </w:r>
          </w:p>
        </w:tc>
        <w:tc>
          <w:tcPr>
            <w:tcW w:w="2415" w:type="dxa"/>
            <w:tcBorders>
              <w:top w:val="nil" w:sz="6" w:space="0" w:color="auto"/>
              <w:left w:val="nil" w:sz="6" w:space="0" w:color="auto"/>
              <w:bottom w:val="nil" w:sz="6" w:space="0" w:color="auto"/>
              <w:right w:val="nil" w:sz="6" w:space="0" w:color="auto"/>
            </w:tcBorders>
          </w:tcPr>
          <w:p>
            <w:pPr>
              <w:pStyle w:val="TableParagraph"/>
              <w:tabs>
                <w:tab w:pos="737" w:val="left" w:leader="none"/>
              </w:tabs>
              <w:spacing w:line="240" w:lineRule="exact"/>
              <w:ind w:right="198"/>
              <w:jc w:val="right"/>
              <w:rPr>
                <w:rFonts w:ascii="宋体" w:hAnsi="宋体" w:cs="宋体" w:eastAsia="宋体" w:hint="default"/>
                <w:sz w:val="21"/>
                <w:szCs w:val="21"/>
              </w:rPr>
            </w:pPr>
            <w:r>
              <w:rPr>
                <w:rFonts w:ascii="宋体"/>
                <w:w w:val="100"/>
                <w:sz w:val="21"/>
              </w:rPr>
            </w:r>
            <w:r>
              <w:rPr>
                <w:rFonts w:ascii="宋体"/>
                <w:w w:val="100"/>
                <w:sz w:val="21"/>
                <w:u w:val="single" w:color="000000"/>
              </w:rPr>
              <w:t> </w:t>
            </w:r>
            <w:r>
              <w:rPr>
                <w:rFonts w:ascii="宋体"/>
                <w:sz w:val="21"/>
                <w:u w:val="single" w:color="000000"/>
              </w:rPr>
              <w:tab/>
            </w:r>
            <w:r>
              <w:rPr>
                <w:rFonts w:ascii="宋体"/>
                <w:spacing w:val="-1"/>
                <w:sz w:val="21"/>
                <w:u w:val="single" w:color="000000"/>
              </w:rPr>
              <w:t>-16.81%</w:t>
            </w:r>
            <w:r>
              <w:rPr>
                <w:rFonts w:ascii="宋体"/>
                <w:spacing w:val="-1"/>
                <w:sz w:val="21"/>
              </w:rPr>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pgSz w:w="11910" w:h="16840"/>
          <w:pgMar w:header="857" w:footer="1195" w:top="1280" w:bottom="1380" w:left="1660" w:right="1120"/>
        </w:sectPr>
      </w:pPr>
    </w:p>
    <w:p>
      <w:pPr>
        <w:pStyle w:val="Heading3"/>
        <w:tabs>
          <w:tab w:pos="977" w:val="left" w:leader="none"/>
        </w:tabs>
        <w:spacing w:line="240" w:lineRule="auto" w:before="36"/>
        <w:ind w:left="138" w:right="-18"/>
        <w:jc w:val="left"/>
        <w:rPr>
          <w:b w:val="0"/>
          <w:bCs w:val="0"/>
        </w:rPr>
      </w:pPr>
      <w:r>
        <w:rPr/>
        <w:t>十一、</w:t>
        <w:tab/>
        <w:t>公允价值的披露</w:t>
      </w:r>
      <w:r>
        <w:rPr>
          <w:b w:val="0"/>
          <w:bCs w:val="0"/>
        </w:rPr>
      </w:r>
    </w:p>
    <w:p>
      <w:pPr>
        <w:pStyle w:val="Heading3"/>
        <w:spacing w:line="240" w:lineRule="auto" w:before="58"/>
        <w:ind w:left="138" w:right="-18"/>
        <w:jc w:val="left"/>
        <w:rPr>
          <w:b w:val="0"/>
          <w:bCs w:val="0"/>
        </w:rPr>
      </w:pPr>
      <w:r>
        <w:rPr>
          <w:rFonts w:ascii="宋体" w:hAnsi="宋体" w:cs="宋体" w:eastAsia="宋体" w:hint="default"/>
        </w:rPr>
        <w:t>1</w:t>
      </w:r>
      <w:r>
        <w:rPr/>
        <w:t>、</w:t>
      </w:r>
      <w:r>
        <w:rPr>
          <w:spacing w:val="3"/>
        </w:rPr>
        <w:t> </w:t>
      </w:r>
      <w:r>
        <w:rPr/>
        <w:t>以公允价值计量的资产和负债的期末公允价值</w:t>
      </w:r>
      <w:r>
        <w:rPr>
          <w:b w:val="0"/>
          <w:bCs w:val="0"/>
        </w:rPr>
      </w:r>
    </w:p>
    <w:p>
      <w:pPr>
        <w:pStyle w:val="BodyText"/>
        <w:tabs>
          <w:tab w:pos="980" w:val="left" w:leader="none"/>
        </w:tabs>
        <w:spacing w:line="240" w:lineRule="auto" w:before="56"/>
        <w:ind w:left="138" w:right="-18"/>
        <w:jc w:val="left"/>
      </w:pPr>
      <w:r>
        <w:rPr>
          <w:spacing w:val="-1"/>
        </w:rPr>
        <w:t>√适用</w:t>
        <w:tab/>
      </w:r>
      <w:r>
        <w:rPr>
          <w:spacing w:val="-2"/>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BodyText"/>
        <w:spacing w:line="240" w:lineRule="auto"/>
        <w:ind w:left="138" w:right="0"/>
        <w:jc w:val="left"/>
      </w:pPr>
      <w:r>
        <w:rPr/>
        <w:t>单位</w:t>
      </w:r>
      <w:r>
        <w:rPr>
          <w:rFonts w:ascii="宋体" w:hAnsi="宋体" w:cs="宋体" w:eastAsia="宋体" w:hint="default"/>
        </w:rPr>
        <w:t>:</w:t>
      </w:r>
      <w:r>
        <w:rPr/>
        <w:t>元币种</w:t>
      </w:r>
      <w:r>
        <w:rPr>
          <w:rFonts w:ascii="宋体" w:hAnsi="宋体" w:cs="宋体" w:eastAsia="宋体" w:hint="default"/>
        </w:rPr>
        <w:t>:</w:t>
      </w:r>
      <w:r>
        <w:rPr/>
        <w:t>人民币</w:t>
      </w:r>
    </w:p>
    <w:p>
      <w:pPr>
        <w:spacing w:after="0" w:line="240" w:lineRule="auto"/>
        <w:jc w:val="left"/>
        <w:sectPr>
          <w:type w:val="continuous"/>
          <w:pgSz w:w="11910" w:h="16840"/>
          <w:pgMar w:top="1320" w:bottom="1380" w:left="1660" w:right="1120"/>
          <w:cols w:num="2" w:equalWidth="0">
            <w:col w:w="4783" w:space="2159"/>
            <w:col w:w="2188"/>
          </w:cols>
        </w:sectPr>
      </w:pPr>
    </w:p>
    <w:p>
      <w:pPr>
        <w:spacing w:line="240" w:lineRule="auto" w:before="4"/>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2381"/>
        <w:gridCol w:w="1680"/>
        <w:gridCol w:w="1640"/>
        <w:gridCol w:w="1705"/>
        <w:gridCol w:w="1486"/>
      </w:tblGrid>
      <w:tr>
        <w:trPr>
          <w:trHeight w:val="283" w:hRule="exact"/>
        </w:trPr>
        <w:tc>
          <w:tcPr>
            <w:tcW w:w="2381"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651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期末公允价值</w:t>
            </w:r>
          </w:p>
        </w:tc>
      </w:tr>
      <w:tr>
        <w:trPr>
          <w:trHeight w:val="555" w:hRule="exact"/>
        </w:trPr>
        <w:tc>
          <w:tcPr>
            <w:tcW w:w="2381" w:type="dxa"/>
            <w:vMerge/>
            <w:tcBorders>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第一层次公允价</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值计量</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第二层次公允价</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值计量</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第三层次公允价</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值计量</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21"/>
                <w:szCs w:val="21"/>
              </w:rPr>
            </w:pPr>
            <w:r>
              <w:rPr>
                <w:rFonts w:ascii="宋体" w:hAnsi="宋体" w:cs="宋体" w:eastAsia="宋体" w:hint="default"/>
                <w:sz w:val="21"/>
                <w:szCs w:val="21"/>
              </w:rPr>
              <w:t>合计</w:t>
            </w:r>
          </w:p>
        </w:tc>
      </w:tr>
      <w:tr>
        <w:trPr>
          <w:trHeight w:val="283"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b/>
                <w:bCs/>
                <w:sz w:val="21"/>
                <w:szCs w:val="21"/>
              </w:rPr>
              <w:t>一、持续的公允价值计量</w:t>
            </w:r>
            <w:r>
              <w:rPr>
                <w:rFonts w:ascii="宋体" w:hAnsi="宋体" w:cs="宋体" w:eastAsia="宋体" w:hint="default"/>
                <w:sz w:val="21"/>
                <w:szCs w:val="21"/>
              </w:rPr>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826"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3" w:right="0"/>
              <w:jc w:val="left"/>
              <w:rPr>
                <w:rFonts w:ascii="宋体" w:hAnsi="宋体" w:cs="宋体" w:eastAsia="宋体" w:hint="default"/>
                <w:sz w:val="21"/>
                <w:szCs w:val="21"/>
              </w:rPr>
            </w:pPr>
            <w:r>
              <w:rPr>
                <w:rFonts w:ascii="宋体" w:hAnsi="宋体" w:cs="宋体" w:eastAsia="宋体" w:hint="default"/>
                <w:sz w:val="21"/>
                <w:szCs w:val="21"/>
              </w:rPr>
              <w:t>（一）以公允价值计量且</w:t>
            </w:r>
          </w:p>
          <w:p>
            <w:pPr>
              <w:pStyle w:val="TableParagraph"/>
              <w:spacing w:line="240" w:lineRule="auto"/>
              <w:ind w:left="23" w:right="31"/>
              <w:jc w:val="left"/>
              <w:rPr>
                <w:rFonts w:ascii="宋体" w:hAnsi="宋体" w:cs="宋体" w:eastAsia="宋体" w:hint="default"/>
                <w:sz w:val="21"/>
                <w:szCs w:val="21"/>
              </w:rPr>
            </w:pPr>
            <w:r>
              <w:rPr>
                <w:rFonts w:ascii="宋体" w:hAnsi="宋体" w:cs="宋体" w:eastAsia="宋体" w:hint="default"/>
                <w:spacing w:val="-2"/>
                <w:sz w:val="21"/>
                <w:szCs w:val="21"/>
              </w:rPr>
              <w:t>变动计入当期损益的金融</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资产</w:t>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交易性金融资产</w:t>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）债务工具投资</w:t>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）权益工具投资</w:t>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3</w:t>
            </w:r>
            <w:r>
              <w:rPr>
                <w:rFonts w:ascii="宋体" w:hAnsi="宋体" w:cs="宋体" w:eastAsia="宋体" w:hint="default"/>
                <w:sz w:val="21"/>
                <w:szCs w:val="21"/>
              </w:rPr>
              <w:t>）衍生金融资产</w:t>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828"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指定以公允价值计量且</w:t>
            </w:r>
          </w:p>
          <w:p>
            <w:pPr>
              <w:pStyle w:val="TableParagraph"/>
              <w:spacing w:line="272" w:lineRule="exact" w:before="27"/>
              <w:ind w:left="23" w:right="31"/>
              <w:jc w:val="left"/>
              <w:rPr>
                <w:rFonts w:ascii="宋体" w:hAnsi="宋体" w:cs="宋体" w:eastAsia="宋体" w:hint="default"/>
                <w:sz w:val="21"/>
                <w:szCs w:val="21"/>
              </w:rPr>
            </w:pPr>
            <w:r>
              <w:rPr>
                <w:rFonts w:ascii="宋体" w:hAnsi="宋体" w:cs="宋体" w:eastAsia="宋体" w:hint="default"/>
                <w:spacing w:val="-2"/>
                <w:sz w:val="21"/>
                <w:szCs w:val="21"/>
              </w:rPr>
              <w:t>其变动计入当期损益的金</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融资产</w:t>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）债务工具投资</w:t>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320" w:bottom="1380" w:left="1660" w:right="1120"/>
        </w:sectPr>
      </w:pPr>
    </w:p>
    <w:p>
      <w:pPr>
        <w:spacing w:line="240" w:lineRule="auto" w:before="9"/>
        <w:rPr>
          <w:rFonts w:ascii="宋体" w:hAnsi="宋体" w:cs="宋体" w:eastAsia="宋体" w:hint="default"/>
          <w:sz w:val="17"/>
          <w:szCs w:val="17"/>
        </w:rPr>
      </w:pPr>
    </w:p>
    <w:tbl>
      <w:tblPr>
        <w:tblW w:w="0" w:type="auto"/>
        <w:jc w:val="left"/>
        <w:tblInd w:w="104" w:type="dxa"/>
        <w:tblLayout w:type="fixed"/>
        <w:tblCellMar>
          <w:top w:w="0" w:type="dxa"/>
          <w:left w:w="0" w:type="dxa"/>
          <w:bottom w:w="0" w:type="dxa"/>
          <w:right w:w="0" w:type="dxa"/>
        </w:tblCellMar>
        <w:tblLook w:val="01E0"/>
      </w:tblPr>
      <w:tblGrid>
        <w:gridCol w:w="2381"/>
        <w:gridCol w:w="1680"/>
        <w:gridCol w:w="1640"/>
        <w:gridCol w:w="1705"/>
        <w:gridCol w:w="1486"/>
      </w:tblGrid>
      <w:tr>
        <w:trPr>
          <w:trHeight w:val="284"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2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）权益工具投资</w:t>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（二）可供出售金融资产</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69,995,297</w:t>
            </w: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69,995,297</w:t>
            </w:r>
          </w:p>
        </w:tc>
      </w:tr>
      <w:tr>
        <w:trPr>
          <w:trHeight w:val="281"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）债务工具投资</w:t>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）权益工具投资</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69,995,297</w:t>
            </w: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69,995,297</w:t>
            </w:r>
          </w:p>
        </w:tc>
      </w:tr>
      <w:tr>
        <w:trPr>
          <w:trHeight w:val="283"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3</w:t>
            </w:r>
            <w:r>
              <w:rPr>
                <w:rFonts w:ascii="宋体" w:hAnsi="宋体" w:cs="宋体" w:eastAsia="宋体" w:hint="default"/>
                <w:sz w:val="21"/>
                <w:szCs w:val="21"/>
              </w:rPr>
              <w:t>）其他</w:t>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（三）投资性房地产</w:t>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出租用的土地使用权</w:t>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出租的建筑物</w:t>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持有并准备增值后转让</w:t>
            </w:r>
          </w:p>
          <w:p>
            <w:pPr>
              <w:pStyle w:val="TableParagraph"/>
              <w:spacing w:line="273" w:lineRule="exact"/>
              <w:ind w:left="23" w:right="0"/>
              <w:jc w:val="left"/>
              <w:rPr>
                <w:rFonts w:ascii="宋体" w:hAnsi="宋体" w:cs="宋体" w:eastAsia="宋体" w:hint="default"/>
                <w:sz w:val="21"/>
                <w:szCs w:val="21"/>
              </w:rPr>
            </w:pPr>
            <w:r>
              <w:rPr>
                <w:rFonts w:ascii="宋体" w:hAnsi="宋体" w:cs="宋体" w:eastAsia="宋体" w:hint="default"/>
                <w:sz w:val="21"/>
                <w:szCs w:val="21"/>
              </w:rPr>
              <w:t>的土地使用权</w:t>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（四）生物资产</w:t>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消耗性生物资产</w:t>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生产性生物资产</w:t>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381"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81"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b/>
                <w:bCs/>
                <w:sz w:val="21"/>
                <w:szCs w:val="21"/>
              </w:rPr>
              <w:t>持续以公允价值计量的资</w:t>
            </w:r>
            <w:r>
              <w:rPr>
                <w:rFonts w:ascii="宋体" w:hAnsi="宋体" w:cs="宋体" w:eastAsia="宋体" w:hint="default"/>
                <w:sz w:val="21"/>
                <w:szCs w:val="21"/>
              </w:rPr>
            </w:r>
          </w:p>
          <w:p>
            <w:pPr>
              <w:pStyle w:val="TableParagraph"/>
              <w:spacing w:line="274" w:lineRule="exact"/>
              <w:ind w:left="23" w:right="0"/>
              <w:jc w:val="left"/>
              <w:rPr>
                <w:rFonts w:ascii="宋体" w:hAnsi="宋体" w:cs="宋体" w:eastAsia="宋体" w:hint="default"/>
                <w:sz w:val="21"/>
                <w:szCs w:val="21"/>
              </w:rPr>
            </w:pPr>
            <w:r>
              <w:rPr>
                <w:rFonts w:ascii="宋体" w:hAnsi="宋体" w:cs="宋体" w:eastAsia="宋体" w:hint="default"/>
                <w:b/>
                <w:bCs/>
                <w:sz w:val="21"/>
                <w:szCs w:val="21"/>
              </w:rPr>
              <w:t>产总额</w:t>
            </w:r>
            <w:r>
              <w:rPr>
                <w:rFonts w:ascii="宋体" w:hAnsi="宋体" w:cs="宋体" w:eastAsia="宋体" w:hint="default"/>
                <w:sz w:val="21"/>
                <w:szCs w:val="21"/>
              </w:rPr>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69,995,297</w:t>
            </w: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69,995,297</w:t>
            </w:r>
          </w:p>
        </w:tc>
      </w:tr>
      <w:tr>
        <w:trPr>
          <w:trHeight w:val="307"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（五）交易性金融负债</w:t>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其中：发行的交易性债券</w:t>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55" w:right="0"/>
              <w:jc w:val="left"/>
              <w:rPr>
                <w:rFonts w:ascii="宋体" w:hAnsi="宋体" w:cs="宋体" w:eastAsia="宋体" w:hint="default"/>
                <w:sz w:val="21"/>
                <w:szCs w:val="21"/>
              </w:rPr>
            </w:pPr>
            <w:r>
              <w:rPr>
                <w:rFonts w:ascii="宋体" w:hAnsi="宋体" w:cs="宋体" w:eastAsia="宋体" w:hint="default"/>
                <w:sz w:val="21"/>
                <w:szCs w:val="21"/>
              </w:rPr>
              <w:t>衍生金融负债</w:t>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446"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65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828"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（六）指定为以公允价值</w:t>
            </w:r>
          </w:p>
          <w:p>
            <w:pPr>
              <w:pStyle w:val="TableParagraph"/>
              <w:spacing w:line="272" w:lineRule="exact" w:before="27"/>
              <w:ind w:left="23" w:right="31"/>
              <w:jc w:val="left"/>
              <w:rPr>
                <w:rFonts w:ascii="宋体" w:hAnsi="宋体" w:cs="宋体" w:eastAsia="宋体" w:hint="default"/>
                <w:sz w:val="21"/>
                <w:szCs w:val="21"/>
              </w:rPr>
            </w:pPr>
            <w:r>
              <w:rPr>
                <w:rFonts w:ascii="宋体" w:hAnsi="宋体" w:cs="宋体" w:eastAsia="宋体" w:hint="default"/>
                <w:spacing w:val="-2"/>
                <w:sz w:val="21"/>
                <w:szCs w:val="21"/>
              </w:rPr>
              <w:t>计量且变动计入当期损益</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的金融负债</w:t>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381"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81"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3" w:right="0"/>
              <w:jc w:val="left"/>
              <w:rPr>
                <w:rFonts w:ascii="宋体" w:hAnsi="宋体" w:cs="宋体" w:eastAsia="宋体" w:hint="default"/>
                <w:sz w:val="21"/>
                <w:szCs w:val="21"/>
              </w:rPr>
            </w:pPr>
            <w:r>
              <w:rPr>
                <w:rFonts w:ascii="宋体" w:hAnsi="宋体" w:cs="宋体" w:eastAsia="宋体" w:hint="default"/>
                <w:b/>
                <w:bCs/>
                <w:sz w:val="21"/>
                <w:szCs w:val="21"/>
              </w:rPr>
              <w:t>持续以公允价值计量的负</w:t>
            </w:r>
            <w:r>
              <w:rPr>
                <w:rFonts w:ascii="宋体" w:hAnsi="宋体" w:cs="宋体" w:eastAsia="宋体" w:hint="default"/>
                <w:sz w:val="21"/>
                <w:szCs w:val="21"/>
              </w:rPr>
            </w:r>
          </w:p>
          <w:p>
            <w:pPr>
              <w:pStyle w:val="TableParagraph"/>
              <w:spacing w:line="273" w:lineRule="exact"/>
              <w:ind w:left="23" w:right="0"/>
              <w:jc w:val="left"/>
              <w:rPr>
                <w:rFonts w:ascii="宋体" w:hAnsi="宋体" w:cs="宋体" w:eastAsia="宋体" w:hint="default"/>
                <w:sz w:val="21"/>
                <w:szCs w:val="21"/>
              </w:rPr>
            </w:pPr>
            <w:r>
              <w:rPr>
                <w:rFonts w:ascii="宋体" w:hAnsi="宋体" w:cs="宋体" w:eastAsia="宋体" w:hint="default"/>
                <w:b/>
                <w:bCs/>
                <w:sz w:val="21"/>
                <w:szCs w:val="21"/>
              </w:rPr>
              <w:t>债总额</w:t>
            </w:r>
            <w:r>
              <w:rPr>
                <w:rFonts w:ascii="宋体" w:hAnsi="宋体" w:cs="宋体" w:eastAsia="宋体" w:hint="default"/>
                <w:sz w:val="21"/>
                <w:szCs w:val="21"/>
              </w:rPr>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b/>
                <w:bCs/>
                <w:sz w:val="21"/>
                <w:szCs w:val="21"/>
              </w:rPr>
              <w:t>二、非持续的公允价值计</w:t>
            </w:r>
            <w:r>
              <w:rPr>
                <w:rFonts w:ascii="宋体" w:hAnsi="宋体" w:cs="宋体" w:eastAsia="宋体" w:hint="default"/>
                <w:sz w:val="21"/>
                <w:szCs w:val="21"/>
              </w:rPr>
            </w:r>
          </w:p>
          <w:p>
            <w:pPr>
              <w:pStyle w:val="TableParagraph"/>
              <w:spacing w:line="274" w:lineRule="exact"/>
              <w:ind w:left="23" w:right="0"/>
              <w:jc w:val="left"/>
              <w:rPr>
                <w:rFonts w:ascii="宋体" w:hAnsi="宋体" w:cs="宋体" w:eastAsia="宋体" w:hint="default"/>
                <w:sz w:val="21"/>
                <w:szCs w:val="21"/>
              </w:rPr>
            </w:pPr>
            <w:r>
              <w:rPr>
                <w:rFonts w:ascii="宋体" w:hAnsi="宋体" w:cs="宋体" w:eastAsia="宋体" w:hint="default"/>
                <w:b/>
                <w:bCs/>
                <w:w w:val="100"/>
                <w:sz w:val="21"/>
                <w:szCs w:val="21"/>
              </w:rPr>
              <w:t>量</w:t>
            </w:r>
            <w:r>
              <w:rPr>
                <w:rFonts w:ascii="宋体" w:hAnsi="宋体" w:cs="宋体" w:eastAsia="宋体" w:hint="default"/>
                <w:w w:val="100"/>
                <w:sz w:val="21"/>
                <w:szCs w:val="21"/>
              </w:rPr>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（一）持有待售资产</w:t>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381"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81"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555"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b/>
                <w:bCs/>
                <w:sz w:val="21"/>
                <w:szCs w:val="21"/>
              </w:rPr>
              <w:t>非持续以公允价值计量的</w:t>
            </w:r>
            <w:r>
              <w:rPr>
                <w:rFonts w:ascii="宋体" w:hAnsi="宋体" w:cs="宋体" w:eastAsia="宋体" w:hint="default"/>
                <w:sz w:val="21"/>
                <w:szCs w:val="21"/>
              </w:rPr>
            </w:r>
          </w:p>
          <w:p>
            <w:pPr>
              <w:pStyle w:val="TableParagraph"/>
              <w:spacing w:line="275" w:lineRule="exact"/>
              <w:ind w:left="23" w:right="0"/>
              <w:jc w:val="left"/>
              <w:rPr>
                <w:rFonts w:ascii="宋体" w:hAnsi="宋体" w:cs="宋体" w:eastAsia="宋体" w:hint="default"/>
                <w:sz w:val="21"/>
                <w:szCs w:val="21"/>
              </w:rPr>
            </w:pPr>
            <w:r>
              <w:rPr>
                <w:rFonts w:ascii="宋体" w:hAnsi="宋体" w:cs="宋体" w:eastAsia="宋体" w:hint="default"/>
                <w:b/>
                <w:bCs/>
                <w:sz w:val="21"/>
                <w:szCs w:val="21"/>
              </w:rPr>
              <w:t>资产总额</w:t>
            </w:r>
            <w:r>
              <w:rPr>
                <w:rFonts w:ascii="宋体" w:hAnsi="宋体" w:cs="宋体" w:eastAsia="宋体" w:hint="default"/>
                <w:sz w:val="21"/>
                <w:szCs w:val="21"/>
              </w:rPr>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81"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381"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b/>
                <w:bCs/>
                <w:sz w:val="21"/>
                <w:szCs w:val="21"/>
              </w:rPr>
              <w:t>非持续以公允价值计量的</w:t>
            </w:r>
            <w:r>
              <w:rPr>
                <w:rFonts w:ascii="宋体" w:hAnsi="宋体" w:cs="宋体" w:eastAsia="宋体" w:hint="default"/>
                <w:sz w:val="21"/>
                <w:szCs w:val="21"/>
              </w:rPr>
            </w:r>
          </w:p>
          <w:p>
            <w:pPr>
              <w:pStyle w:val="TableParagraph"/>
              <w:spacing w:line="273" w:lineRule="exact"/>
              <w:ind w:left="23" w:right="0"/>
              <w:jc w:val="left"/>
              <w:rPr>
                <w:rFonts w:ascii="宋体" w:hAnsi="宋体" w:cs="宋体" w:eastAsia="宋体" w:hint="default"/>
                <w:sz w:val="21"/>
                <w:szCs w:val="21"/>
              </w:rPr>
            </w:pPr>
            <w:r>
              <w:rPr>
                <w:rFonts w:ascii="宋体" w:hAnsi="宋体" w:cs="宋体" w:eastAsia="宋体" w:hint="default"/>
                <w:b/>
                <w:bCs/>
                <w:sz w:val="21"/>
                <w:szCs w:val="21"/>
              </w:rPr>
              <w:t>负债总额</w:t>
            </w:r>
            <w:r>
              <w:rPr>
                <w:rFonts w:ascii="宋体" w:hAnsi="宋体" w:cs="宋体" w:eastAsia="宋体" w:hint="default"/>
                <w:sz w:val="21"/>
                <w:szCs w:val="21"/>
              </w:rPr>
            </w:r>
          </w:p>
        </w:tc>
        <w:tc>
          <w:tcPr>
            <w:tcW w:w="1680"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5"/>
        <w:rPr>
          <w:rFonts w:ascii="宋体" w:hAnsi="宋体" w:cs="宋体" w:eastAsia="宋体" w:hint="default"/>
          <w:sz w:val="15"/>
          <w:szCs w:val="15"/>
        </w:rPr>
      </w:pPr>
    </w:p>
    <w:p>
      <w:pPr>
        <w:pStyle w:val="BodyText"/>
        <w:spacing w:line="240" w:lineRule="auto" w:before="36"/>
        <w:ind w:left="138" w:right="0"/>
        <w:jc w:val="left"/>
      </w:pPr>
      <w:r>
        <w:rPr>
          <w:w w:val="100"/>
        </w:rPr>
        <w:t>于</w:t>
      </w:r>
      <w:r>
        <w:rPr>
          <w:spacing w:val="-49"/>
          <w:w w:val="100"/>
        </w:rPr>
        <w:t> </w:t>
      </w:r>
      <w:r>
        <w:rPr>
          <w:rFonts w:ascii="宋体" w:hAnsi="宋体" w:cs="宋体" w:eastAsia="宋体" w:hint="default"/>
          <w:spacing w:val="-1"/>
          <w:w w:val="100"/>
        </w:rPr>
        <w:t>2017</w:t>
      </w:r>
      <w:r>
        <w:rPr>
          <w:rFonts w:ascii="宋体" w:hAnsi="宋体" w:cs="宋体" w:eastAsia="宋体" w:hint="default"/>
          <w:spacing w:val="-49"/>
          <w:w w:val="100"/>
        </w:rPr>
        <w:t> </w:t>
      </w:r>
      <w:r>
        <w:rPr>
          <w:w w:val="100"/>
        </w:rPr>
        <w:t>年</w:t>
      </w:r>
      <w:r>
        <w:rPr>
          <w:spacing w:val="-51"/>
          <w:w w:val="100"/>
        </w:rPr>
        <w:t> </w:t>
      </w:r>
      <w:r>
        <w:rPr>
          <w:rFonts w:ascii="宋体" w:hAnsi="宋体" w:cs="宋体" w:eastAsia="宋体" w:hint="default"/>
          <w:w w:val="100"/>
        </w:rPr>
        <w:t>12</w:t>
      </w:r>
      <w:r>
        <w:rPr>
          <w:rFonts w:ascii="宋体" w:hAnsi="宋体" w:cs="宋体" w:eastAsia="宋体" w:hint="default"/>
          <w:spacing w:val="-51"/>
          <w:w w:val="100"/>
        </w:rPr>
        <w:t> </w:t>
      </w:r>
      <w:r>
        <w:rPr>
          <w:w w:val="100"/>
        </w:rPr>
        <w:t>月</w:t>
      </w:r>
      <w:r>
        <w:rPr>
          <w:spacing w:val="-49"/>
          <w:w w:val="100"/>
        </w:rPr>
        <w:t> </w:t>
      </w:r>
      <w:r>
        <w:rPr>
          <w:rFonts w:ascii="宋体" w:hAnsi="宋体" w:cs="宋体" w:eastAsia="宋体" w:hint="default"/>
          <w:w w:val="100"/>
        </w:rPr>
        <w:t>31</w:t>
      </w:r>
      <w:r>
        <w:rPr>
          <w:rFonts w:ascii="宋体" w:hAnsi="宋体" w:cs="宋体" w:eastAsia="宋体" w:hint="default"/>
          <w:spacing w:val="-51"/>
          <w:w w:val="100"/>
        </w:rPr>
        <w:t> </w:t>
      </w:r>
      <w:r>
        <w:rPr>
          <w:spacing w:val="-5"/>
          <w:w w:val="100"/>
        </w:rPr>
        <w:t>日，本集团持有的以公允价值计量的可供出售金融资产为持有的上市公司创业</w:t>
      </w:r>
      <w:r>
        <w:rPr>
          <w:spacing w:val="-104"/>
          <w:w w:val="100"/>
        </w:rPr>
        <w:t> </w:t>
      </w:r>
      <w:r>
        <w:rPr>
          <w:spacing w:val="-104"/>
          <w:w w:val="100"/>
        </w:rPr>
      </w:r>
      <w:r>
        <w:rPr/>
        <w:t>黑马</w:t>
      </w:r>
      <w:r>
        <w:rPr>
          <w:rFonts w:ascii="宋体" w:hAnsi="宋体" w:cs="宋体" w:eastAsia="宋体" w:hint="default"/>
        </w:rPr>
        <w:t>(</w:t>
      </w:r>
      <w:r>
        <w:rPr/>
        <w:t>北京</w:t>
      </w:r>
      <w:r>
        <w:rPr>
          <w:rFonts w:ascii="宋体" w:hAnsi="宋体" w:cs="宋体" w:eastAsia="宋体" w:hint="default"/>
        </w:rPr>
        <w:t>)</w:t>
      </w:r>
      <w:r>
        <w:rPr/>
        <w:t>科技股份有限公司股票。</w:t>
      </w:r>
    </w:p>
    <w:p>
      <w:pPr>
        <w:spacing w:line="240" w:lineRule="auto" w:before="3"/>
        <w:rPr>
          <w:rFonts w:ascii="宋体" w:hAnsi="宋体" w:cs="宋体" w:eastAsia="宋体" w:hint="default"/>
          <w:sz w:val="25"/>
          <w:szCs w:val="25"/>
        </w:rPr>
      </w:pPr>
    </w:p>
    <w:p>
      <w:pPr>
        <w:pStyle w:val="Heading3"/>
        <w:spacing w:line="240" w:lineRule="auto"/>
        <w:ind w:left="138" w:right="0"/>
        <w:jc w:val="left"/>
        <w:rPr>
          <w:b w:val="0"/>
          <w:bCs w:val="0"/>
        </w:rPr>
      </w:pPr>
      <w:r>
        <w:rPr>
          <w:rFonts w:ascii="宋体" w:hAnsi="宋体" w:cs="宋体" w:eastAsia="宋体" w:hint="default"/>
        </w:rPr>
        <w:t>2</w:t>
      </w:r>
      <w:r>
        <w:rPr/>
        <w:t>、</w:t>
      </w:r>
      <w:r>
        <w:rPr>
          <w:spacing w:val="-1"/>
        </w:rPr>
        <w:t> </w:t>
      </w:r>
      <w:r>
        <w:rPr/>
        <w:t>持续和非持续第一层次公允价值计量项目市价的确定依据</w:t>
      </w:r>
      <w:r>
        <w:rPr>
          <w:b w:val="0"/>
          <w:bCs w:val="0"/>
        </w:rPr>
      </w:r>
    </w:p>
    <w:p>
      <w:pPr>
        <w:pStyle w:val="BodyText"/>
        <w:tabs>
          <w:tab w:pos="980" w:val="left" w:leader="none"/>
        </w:tabs>
        <w:spacing w:line="240" w:lineRule="auto" w:before="56"/>
        <w:ind w:left="138" w:right="0"/>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left="138" w:right="0"/>
        <w:jc w:val="left"/>
        <w:rPr>
          <w:b w:val="0"/>
          <w:bCs w:val="0"/>
        </w:rPr>
      </w:pPr>
      <w:r>
        <w:rPr>
          <w:rFonts w:ascii="宋体" w:hAnsi="宋体" w:cs="宋体" w:eastAsia="宋体" w:hint="default"/>
        </w:rPr>
        <w:t>3</w:t>
      </w:r>
      <w:r>
        <w:rPr/>
        <w:t>、</w:t>
      </w:r>
      <w:r>
        <w:rPr>
          <w:spacing w:val="-1"/>
        </w:rPr>
        <w:t> </w:t>
      </w:r>
      <w:r>
        <w:rPr/>
        <w:t>持续和非持续第二层次公允价值计量项目，采用的估值技术和重要参数的定性及定量信息</w:t>
      </w:r>
      <w:r>
        <w:rPr>
          <w:b w:val="0"/>
          <w:bCs w:val="0"/>
        </w:rPr>
      </w:r>
    </w:p>
    <w:p>
      <w:pPr>
        <w:pStyle w:val="BodyText"/>
        <w:tabs>
          <w:tab w:pos="980" w:val="left" w:leader="none"/>
        </w:tabs>
        <w:spacing w:line="240" w:lineRule="auto" w:before="56"/>
        <w:ind w:left="138" w:right="0"/>
        <w:jc w:val="left"/>
      </w:pPr>
      <w:r>
        <w:rPr>
          <w:spacing w:val="-1"/>
        </w:rPr>
        <w:t>□适用</w:t>
        <w:tab/>
      </w:r>
      <w:r>
        <w:rPr>
          <w:spacing w:val="-2"/>
        </w:rPr>
        <w:t>√不适用</w:t>
      </w:r>
    </w:p>
    <w:p>
      <w:pPr>
        <w:spacing w:after="0" w:line="240" w:lineRule="auto"/>
        <w:jc w:val="left"/>
        <w:sectPr>
          <w:pgSz w:w="11910" w:h="16840"/>
          <w:pgMar w:header="857" w:footer="1195" w:top="1280" w:bottom="1380" w:left="1660" w:right="112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7"/>
          <w:szCs w:val="17"/>
        </w:rPr>
      </w:pPr>
    </w:p>
    <w:p>
      <w:pPr>
        <w:pStyle w:val="Heading3"/>
        <w:spacing w:line="240" w:lineRule="auto" w:before="36"/>
        <w:ind w:left="138" w:right="102"/>
        <w:jc w:val="left"/>
        <w:rPr>
          <w:b w:val="0"/>
          <w:bCs w:val="0"/>
        </w:rPr>
      </w:pPr>
      <w:r>
        <w:rPr>
          <w:rFonts w:ascii="宋体" w:hAnsi="宋体" w:cs="宋体" w:eastAsia="宋体" w:hint="default"/>
        </w:rPr>
        <w:t>4</w:t>
      </w:r>
      <w:r>
        <w:rPr/>
        <w:t>、</w:t>
      </w:r>
      <w:r>
        <w:rPr>
          <w:spacing w:val="-1"/>
        </w:rPr>
        <w:t> </w:t>
      </w:r>
      <w:r>
        <w:rPr/>
        <w:t>持续和非持续第三层次公允价值计量项目，采用的估值技术和重要参数的定性及定量信息</w:t>
      </w:r>
      <w:r>
        <w:rPr>
          <w:b w:val="0"/>
          <w:bCs w:val="0"/>
        </w:rPr>
      </w:r>
    </w:p>
    <w:p>
      <w:pPr>
        <w:pStyle w:val="BodyText"/>
        <w:tabs>
          <w:tab w:pos="980" w:val="left" w:leader="none"/>
        </w:tabs>
        <w:spacing w:line="240" w:lineRule="auto" w:before="56"/>
        <w:ind w:left="138" w:right="102"/>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left="562" w:right="197" w:hanging="425"/>
        <w:jc w:val="left"/>
        <w:rPr>
          <w:b w:val="0"/>
          <w:bCs w:val="0"/>
        </w:rPr>
      </w:pPr>
      <w:r>
        <w:rPr>
          <w:rFonts w:ascii="宋体" w:hAnsi="宋体" w:cs="宋体" w:eastAsia="宋体" w:hint="default"/>
        </w:rPr>
        <w:t>5</w:t>
      </w:r>
      <w:r>
        <w:rPr/>
        <w:t>、</w:t>
      </w:r>
      <w:r>
        <w:rPr>
          <w:spacing w:val="-23"/>
        </w:rPr>
        <w:t> </w:t>
      </w:r>
      <w:r>
        <w:rPr/>
        <w:t>持续的第三层次公允价值计量项目，期初与期末账面价值间的调节信息及不可观察参数敏感</w:t>
      </w:r>
      <w:r>
        <w:rPr>
          <w:w w:val="100"/>
        </w:rPr>
        <w:t> </w:t>
      </w:r>
      <w:r>
        <w:rPr/>
        <w:t>性分析</w:t>
      </w:r>
      <w:r>
        <w:rPr>
          <w:b w:val="0"/>
          <w:bCs w:val="0"/>
        </w:rPr>
      </w:r>
    </w:p>
    <w:p>
      <w:pPr>
        <w:pStyle w:val="BodyText"/>
        <w:tabs>
          <w:tab w:pos="980" w:val="left" w:leader="none"/>
        </w:tabs>
        <w:spacing w:line="240" w:lineRule="auto" w:before="56"/>
        <w:ind w:left="138" w:right="102"/>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left="562" w:right="198" w:hanging="425"/>
        <w:jc w:val="left"/>
        <w:rPr>
          <w:b w:val="0"/>
          <w:bCs w:val="0"/>
        </w:rPr>
      </w:pPr>
      <w:r>
        <w:rPr>
          <w:rFonts w:ascii="宋体" w:hAnsi="宋体" w:cs="宋体" w:eastAsia="宋体" w:hint="default"/>
        </w:rPr>
        <w:t>6</w:t>
      </w:r>
      <w:r>
        <w:rPr/>
        <w:t>、</w:t>
      </w:r>
      <w:r>
        <w:rPr>
          <w:spacing w:val="-24"/>
        </w:rPr>
        <w:t> </w:t>
      </w:r>
      <w:r>
        <w:rPr/>
        <w:t>持续的公允价值计量项目，本期内发生各层级之间转换的，转换的原因及确定转换时点的政</w:t>
      </w:r>
      <w:r>
        <w:rPr>
          <w:w w:val="100"/>
        </w:rPr>
        <w:t> </w:t>
      </w:r>
      <w:r>
        <w:rPr/>
        <w:t>策</w:t>
      </w:r>
      <w:r>
        <w:rPr>
          <w:b w:val="0"/>
          <w:bCs w:val="0"/>
        </w:rPr>
      </w:r>
    </w:p>
    <w:p>
      <w:pPr>
        <w:pStyle w:val="BodyText"/>
        <w:tabs>
          <w:tab w:pos="980" w:val="left" w:leader="none"/>
        </w:tabs>
        <w:spacing w:line="240" w:lineRule="auto" w:before="56"/>
        <w:ind w:left="138" w:right="102"/>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left="138" w:right="102"/>
        <w:jc w:val="left"/>
        <w:rPr>
          <w:b w:val="0"/>
          <w:bCs w:val="0"/>
        </w:rPr>
      </w:pPr>
      <w:r>
        <w:rPr>
          <w:rFonts w:ascii="宋体" w:hAnsi="宋体" w:cs="宋体" w:eastAsia="宋体" w:hint="default"/>
        </w:rPr>
        <w:t>7</w:t>
      </w:r>
      <w:r>
        <w:rPr/>
        <w:t>、</w:t>
      </w:r>
      <w:r>
        <w:rPr>
          <w:spacing w:val="2"/>
        </w:rPr>
        <w:t> </w:t>
      </w:r>
      <w:r>
        <w:rPr/>
        <w:t>本期内发生的估值技术变更及变更原因</w:t>
      </w:r>
      <w:r>
        <w:rPr>
          <w:b w:val="0"/>
          <w:bCs w:val="0"/>
        </w:rPr>
      </w:r>
    </w:p>
    <w:p>
      <w:pPr>
        <w:pStyle w:val="BodyText"/>
        <w:tabs>
          <w:tab w:pos="980" w:val="left" w:leader="none"/>
        </w:tabs>
        <w:spacing w:line="240" w:lineRule="auto" w:before="58"/>
        <w:ind w:left="138" w:right="102"/>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left="138" w:right="102"/>
        <w:jc w:val="left"/>
        <w:rPr>
          <w:b w:val="0"/>
          <w:bCs w:val="0"/>
        </w:rPr>
      </w:pPr>
      <w:r>
        <w:rPr>
          <w:rFonts w:ascii="宋体" w:hAnsi="宋体" w:cs="宋体" w:eastAsia="宋体" w:hint="default"/>
        </w:rPr>
        <w:t>8</w:t>
      </w:r>
      <w:r>
        <w:rPr/>
        <w:t>、</w:t>
      </w:r>
      <w:r>
        <w:rPr>
          <w:spacing w:val="-1"/>
        </w:rPr>
        <w:t> </w:t>
      </w:r>
      <w:r>
        <w:rPr/>
        <w:t>不以公允价值计量的金融资产和金融负债的公允价值情况</w:t>
      </w:r>
      <w:r>
        <w:rPr>
          <w:b w:val="0"/>
          <w:bCs w:val="0"/>
        </w:rPr>
      </w:r>
    </w:p>
    <w:p>
      <w:pPr>
        <w:pStyle w:val="BodyText"/>
        <w:tabs>
          <w:tab w:pos="980" w:val="left" w:leader="none"/>
        </w:tabs>
        <w:spacing w:line="240" w:lineRule="auto" w:before="56"/>
        <w:ind w:left="138" w:right="102"/>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left="138" w:right="102"/>
        <w:jc w:val="left"/>
        <w:rPr>
          <w:b w:val="0"/>
          <w:bCs w:val="0"/>
        </w:rPr>
      </w:pPr>
      <w:r>
        <w:rPr>
          <w:rFonts w:ascii="宋体" w:hAnsi="宋体" w:cs="宋体" w:eastAsia="宋体" w:hint="default"/>
        </w:rPr>
        <w:t>9</w:t>
      </w:r>
      <w:r>
        <w:rPr/>
        <w:t>、</w:t>
      </w:r>
      <w:r>
        <w:rPr>
          <w:spacing w:val="2"/>
        </w:rPr>
        <w:t> </w:t>
      </w:r>
      <w:r>
        <w:rPr/>
        <w:t>其他</w:t>
      </w:r>
      <w:r>
        <w:rPr>
          <w:b w:val="0"/>
          <w:bCs w:val="0"/>
        </w:rPr>
      </w:r>
    </w:p>
    <w:p>
      <w:pPr>
        <w:pStyle w:val="BodyText"/>
        <w:tabs>
          <w:tab w:pos="980" w:val="left" w:leader="none"/>
        </w:tabs>
        <w:spacing w:line="274" w:lineRule="exact" w:before="56"/>
        <w:ind w:left="138" w:right="102"/>
        <w:jc w:val="left"/>
      </w:pPr>
      <w:r>
        <w:rPr>
          <w:spacing w:val="-1"/>
        </w:rPr>
        <w:t>√适用</w:t>
        <w:tab/>
      </w:r>
      <w:r>
        <w:rPr>
          <w:spacing w:val="-2"/>
        </w:rPr>
        <w:t>□不适用</w:t>
      </w:r>
    </w:p>
    <w:p>
      <w:pPr>
        <w:pStyle w:val="BodyText"/>
        <w:spacing w:line="274" w:lineRule="exact"/>
        <w:ind w:left="138" w:right="102"/>
        <w:jc w:val="left"/>
      </w:pPr>
      <w:r>
        <w:rPr/>
        <w:t>于</w:t>
      </w:r>
      <w:r>
        <w:rPr>
          <w:spacing w:val="-53"/>
        </w:rPr>
        <w:t> </w:t>
      </w:r>
      <w:r>
        <w:rPr>
          <w:rFonts w:ascii="宋体" w:hAnsi="宋体" w:cs="宋体" w:eastAsia="宋体" w:hint="default"/>
        </w:rPr>
        <w:t>2016</w:t>
      </w:r>
      <w:r>
        <w:rPr>
          <w:rFonts w:ascii="宋体" w:hAnsi="宋体" w:cs="宋体" w:eastAsia="宋体" w:hint="default"/>
          <w:spacing w:val="-53"/>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日，本集团未持有以公允价值计量的资产和负债。</w:t>
      </w:r>
    </w:p>
    <w:p>
      <w:pPr>
        <w:spacing w:line="240" w:lineRule="auto" w:before="6"/>
        <w:rPr>
          <w:rFonts w:ascii="宋体" w:hAnsi="宋体" w:cs="宋体" w:eastAsia="宋体" w:hint="default"/>
          <w:sz w:val="20"/>
          <w:szCs w:val="20"/>
        </w:rPr>
      </w:pPr>
    </w:p>
    <w:p>
      <w:pPr>
        <w:pStyle w:val="BodyText"/>
        <w:spacing w:line="240" w:lineRule="auto"/>
        <w:ind w:left="138" w:right="102"/>
        <w:jc w:val="left"/>
      </w:pPr>
      <w:r>
        <w:rPr>
          <w:rFonts w:ascii="Times New Roman" w:hAnsi="Times New Roman" w:cs="Times New Roman" w:eastAsia="Times New Roman" w:hint="default"/>
          <w:w w:val="100"/>
        </w:rPr>
      </w:r>
      <w:r>
        <w:rPr>
          <w:rFonts w:ascii="Times New Roman" w:hAnsi="Times New Roman" w:cs="Times New Roman" w:eastAsia="Times New Roman" w:hint="default"/>
          <w:spacing w:val="-53"/>
          <w:w w:val="100"/>
          <w:u w:val="single" w:color="000000"/>
        </w:rPr>
        <w:t> </w:t>
      </w:r>
      <w:r>
        <w:rPr>
          <w:u w:val="single" w:color="000000"/>
        </w:rPr>
        <w:t>金融工具公允价值</w:t>
      </w:r>
      <w:r>
        <w:rPr/>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pStyle w:val="BodyText"/>
        <w:spacing w:line="240" w:lineRule="auto" w:before="36"/>
        <w:ind w:left="850" w:right="102"/>
        <w:jc w:val="left"/>
      </w:pPr>
      <w:r>
        <w:rPr>
          <w:spacing w:val="-4"/>
        </w:rPr>
        <w:t>以下是本集团除账面价值与公允价值相差很小的金融工具、活跃市场中没有报价且其公允</w:t>
      </w:r>
      <w:r>
        <w:rPr>
          <w:spacing w:val="-25"/>
        </w:rPr>
        <w:t> </w:t>
      </w:r>
      <w:r>
        <w:rPr>
          <w:spacing w:val="-25"/>
        </w:rPr>
      </w:r>
      <w:r>
        <w:rPr/>
        <w:t>价值无法可靠计量的权益工具之外的各类别金融工具的账面价值与公允价值：</w:t>
      </w:r>
    </w:p>
    <w:p>
      <w:pPr>
        <w:spacing w:line="240" w:lineRule="auto" w:before="7"/>
        <w:rPr>
          <w:rFonts w:ascii="宋体" w:hAnsi="宋体" w:cs="宋体" w:eastAsia="宋体" w:hint="default"/>
          <w:sz w:val="27"/>
          <w:szCs w:val="27"/>
        </w:rPr>
      </w:pPr>
    </w:p>
    <w:tbl>
      <w:tblPr>
        <w:tblW w:w="0" w:type="auto"/>
        <w:jc w:val="left"/>
        <w:tblInd w:w="530" w:type="dxa"/>
        <w:tblLayout w:type="fixed"/>
        <w:tblCellMar>
          <w:top w:w="0" w:type="dxa"/>
          <w:left w:w="0" w:type="dxa"/>
          <w:bottom w:w="0" w:type="dxa"/>
          <w:right w:w="0" w:type="dxa"/>
        </w:tblCellMar>
        <w:tblLook w:val="01E0"/>
      </w:tblPr>
      <w:tblGrid>
        <w:gridCol w:w="1950"/>
        <w:gridCol w:w="1769"/>
        <w:gridCol w:w="1337"/>
        <w:gridCol w:w="250"/>
        <w:gridCol w:w="1634"/>
        <w:gridCol w:w="1338"/>
      </w:tblGrid>
      <w:tr>
        <w:trPr>
          <w:trHeight w:val="234" w:hRule="exact"/>
        </w:trPr>
        <w:tc>
          <w:tcPr>
            <w:tcW w:w="5056" w:type="dxa"/>
            <w:gridSpan w:val="3"/>
            <w:tcBorders>
              <w:top w:val="nil" w:sz="6" w:space="0" w:color="auto"/>
              <w:left w:val="nil" w:sz="6" w:space="0" w:color="auto"/>
              <w:bottom w:val="nil" w:sz="6" w:space="0" w:color="auto"/>
              <w:right w:val="nil" w:sz="6" w:space="0" w:color="auto"/>
            </w:tcBorders>
          </w:tcPr>
          <w:p>
            <w:pPr>
              <w:pStyle w:val="TableParagraph"/>
              <w:spacing w:line="211" w:lineRule="exact"/>
              <w:ind w:right="682"/>
              <w:jc w:val="right"/>
              <w:rPr>
                <w:rFonts w:ascii="宋体" w:hAnsi="宋体" w:cs="宋体" w:eastAsia="宋体" w:hint="default"/>
                <w:sz w:val="21"/>
                <w:szCs w:val="21"/>
              </w:rPr>
            </w:pPr>
            <w:r>
              <w:rPr>
                <w:rFonts w:ascii="宋体" w:hAnsi="宋体" w:cs="宋体" w:eastAsia="宋体" w:hint="default"/>
                <w:spacing w:val="-2"/>
                <w:sz w:val="21"/>
                <w:szCs w:val="21"/>
              </w:rPr>
              <w:t>账面价值</w:t>
            </w:r>
          </w:p>
        </w:tc>
        <w:tc>
          <w:tcPr>
            <w:tcW w:w="3221" w:type="dxa"/>
            <w:gridSpan w:val="3"/>
            <w:tcBorders>
              <w:top w:val="nil" w:sz="6" w:space="0" w:color="auto"/>
              <w:left w:val="nil" w:sz="6" w:space="0" w:color="auto"/>
              <w:bottom w:val="nil" w:sz="6" w:space="0" w:color="auto"/>
              <w:right w:val="nil" w:sz="6" w:space="0" w:color="auto"/>
            </w:tcBorders>
          </w:tcPr>
          <w:p>
            <w:pPr>
              <w:pStyle w:val="TableParagraph"/>
              <w:spacing w:line="211" w:lineRule="exact"/>
              <w:ind w:left="1709" w:right="0"/>
              <w:jc w:val="left"/>
              <w:rPr>
                <w:rFonts w:ascii="宋体" w:hAnsi="宋体" w:cs="宋体" w:eastAsia="宋体" w:hint="default"/>
                <w:sz w:val="21"/>
                <w:szCs w:val="21"/>
              </w:rPr>
            </w:pPr>
            <w:r>
              <w:rPr>
                <w:rFonts w:ascii="宋体" w:hAnsi="宋体" w:cs="宋体" w:eastAsia="宋体" w:hint="default"/>
                <w:sz w:val="21"/>
                <w:szCs w:val="21"/>
              </w:rPr>
              <w:t>公允价值</w:t>
            </w:r>
          </w:p>
        </w:tc>
      </w:tr>
      <w:tr>
        <w:trPr>
          <w:trHeight w:val="353" w:hRule="exact"/>
        </w:trPr>
        <w:tc>
          <w:tcPr>
            <w:tcW w:w="1950" w:type="dxa"/>
            <w:tcBorders>
              <w:top w:val="nil" w:sz="6" w:space="0" w:color="auto"/>
              <w:left w:val="nil" w:sz="6" w:space="0" w:color="auto"/>
              <w:bottom w:val="nil" w:sz="6" w:space="0" w:color="auto"/>
              <w:right w:val="nil" w:sz="6" w:space="0" w:color="auto"/>
            </w:tcBorders>
          </w:tcPr>
          <w:p>
            <w:pPr/>
          </w:p>
        </w:tc>
        <w:tc>
          <w:tcPr>
            <w:tcW w:w="1769" w:type="dxa"/>
            <w:tcBorders>
              <w:top w:val="single" w:sz="4" w:space="0" w:color="000000"/>
              <w:left w:val="nil" w:sz="6" w:space="0" w:color="auto"/>
              <w:bottom w:val="nil" w:sz="6" w:space="0" w:color="auto"/>
              <w:right w:val="nil" w:sz="6" w:space="0" w:color="auto"/>
            </w:tcBorders>
          </w:tcPr>
          <w:p>
            <w:pPr>
              <w:pStyle w:val="TableParagraph"/>
              <w:spacing w:line="236" w:lineRule="exact"/>
              <w:ind w:right="154"/>
              <w:jc w:val="righ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337" w:type="dxa"/>
            <w:tcBorders>
              <w:top w:val="single" w:sz="4" w:space="0" w:color="000000"/>
              <w:left w:val="nil" w:sz="6" w:space="0" w:color="auto"/>
              <w:bottom w:val="nil" w:sz="6" w:space="0" w:color="auto"/>
              <w:right w:val="nil" w:sz="6" w:space="0" w:color="auto"/>
            </w:tcBorders>
          </w:tcPr>
          <w:p>
            <w:pPr>
              <w:pStyle w:val="TableParagraph"/>
              <w:spacing w:line="236" w:lineRule="exact"/>
              <w:ind w:right="22"/>
              <w:jc w:val="right"/>
              <w:rPr>
                <w:rFonts w:ascii="宋体" w:hAnsi="宋体" w:cs="宋体" w:eastAsia="宋体" w:hint="default"/>
                <w:sz w:val="21"/>
                <w:szCs w:val="21"/>
              </w:rPr>
            </w:pPr>
            <w:r>
              <w:rPr>
                <w:rFonts w:ascii="宋体" w:hAnsi="宋体" w:cs="宋体" w:eastAsia="宋体" w:hint="default"/>
                <w:sz w:val="21"/>
                <w:szCs w:val="21"/>
              </w:rPr>
              <w:t>2016</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50" w:type="dxa"/>
            <w:tcBorders>
              <w:top w:val="nil" w:sz="6" w:space="0" w:color="auto"/>
              <w:left w:val="nil" w:sz="6" w:space="0" w:color="auto"/>
              <w:bottom w:val="nil" w:sz="6" w:space="0" w:color="auto"/>
              <w:right w:val="nil" w:sz="6" w:space="0" w:color="auto"/>
            </w:tcBorders>
          </w:tcPr>
          <w:p>
            <w:pPr/>
          </w:p>
        </w:tc>
        <w:tc>
          <w:tcPr>
            <w:tcW w:w="1634" w:type="dxa"/>
            <w:tcBorders>
              <w:top w:val="single" w:sz="4" w:space="0" w:color="000000"/>
              <w:left w:val="nil" w:sz="6" w:space="0" w:color="auto"/>
              <w:bottom w:val="nil" w:sz="6" w:space="0" w:color="auto"/>
              <w:right w:val="nil" w:sz="6" w:space="0" w:color="auto"/>
            </w:tcBorders>
          </w:tcPr>
          <w:p>
            <w:pPr>
              <w:pStyle w:val="TableParagraph"/>
              <w:spacing w:line="236" w:lineRule="exact"/>
              <w:ind w:right="153"/>
              <w:jc w:val="righ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338" w:type="dxa"/>
            <w:tcBorders>
              <w:top w:val="single" w:sz="4" w:space="0" w:color="000000"/>
              <w:left w:val="nil" w:sz="6" w:space="0" w:color="auto"/>
              <w:bottom w:val="nil" w:sz="6" w:space="0" w:color="auto"/>
              <w:right w:val="nil" w:sz="6" w:space="0" w:color="auto"/>
            </w:tcBorders>
          </w:tcPr>
          <w:p>
            <w:pPr>
              <w:pStyle w:val="TableParagraph"/>
              <w:spacing w:line="236" w:lineRule="exact"/>
              <w:ind w:right="24"/>
              <w:jc w:val="right"/>
              <w:rPr>
                <w:rFonts w:ascii="宋体" w:hAnsi="宋体" w:cs="宋体" w:eastAsia="宋体" w:hint="default"/>
                <w:sz w:val="21"/>
                <w:szCs w:val="21"/>
              </w:rPr>
            </w:pPr>
            <w:r>
              <w:rPr>
                <w:rFonts w:ascii="宋体" w:hAnsi="宋体" w:cs="宋体" w:eastAsia="宋体" w:hint="default"/>
                <w:sz w:val="21"/>
                <w:szCs w:val="21"/>
              </w:rPr>
              <w:t>2016</w:t>
            </w:r>
            <w:r>
              <w:rPr>
                <w:rFonts w:ascii="宋体" w:hAnsi="宋体" w:cs="宋体" w:eastAsia="宋体" w:hint="default"/>
                <w:spacing w:val="-52"/>
                <w:sz w:val="21"/>
                <w:szCs w:val="21"/>
              </w:rPr>
              <w:t> </w:t>
            </w:r>
            <w:r>
              <w:rPr>
                <w:rFonts w:ascii="宋体" w:hAnsi="宋体" w:cs="宋体" w:eastAsia="宋体" w:hint="default"/>
                <w:sz w:val="21"/>
                <w:szCs w:val="21"/>
              </w:rPr>
              <w:t>年</w:t>
            </w:r>
          </w:p>
        </w:tc>
      </w:tr>
      <w:tr>
        <w:trPr>
          <w:trHeight w:val="323" w:hRule="exact"/>
        </w:trPr>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48"/>
              <w:ind w:left="200"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76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53"/>
              <w:jc w:val="right"/>
              <w:rPr>
                <w:rFonts w:ascii="宋体" w:hAnsi="宋体" w:cs="宋体" w:eastAsia="宋体" w:hint="default"/>
                <w:sz w:val="21"/>
                <w:szCs w:val="21"/>
              </w:rPr>
            </w:pPr>
            <w:r>
              <w:rPr>
                <w:rFonts w:ascii="宋体"/>
                <w:w w:val="100"/>
                <w:sz w:val="21"/>
              </w:rPr>
            </w:r>
            <w:r>
              <w:rPr>
                <w:rFonts w:ascii="宋体"/>
                <w:spacing w:val="-1"/>
                <w:sz w:val="21"/>
                <w:u w:val="single" w:color="000000"/>
              </w:rPr>
              <w:t>305,133,983</w:t>
            </w:r>
            <w:r>
              <w:rPr>
                <w:rFonts w:ascii="宋体"/>
                <w:spacing w:val="-1"/>
                <w:sz w:val="21"/>
              </w:rPr>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2"/>
              <w:jc w:val="right"/>
              <w:rPr>
                <w:rFonts w:ascii="宋体" w:hAnsi="宋体" w:cs="宋体" w:eastAsia="宋体" w:hint="default"/>
                <w:sz w:val="21"/>
                <w:szCs w:val="21"/>
              </w:rPr>
            </w:pPr>
            <w:r>
              <w:rPr>
                <w:rFonts w:ascii="宋体"/>
                <w:w w:val="100"/>
                <w:sz w:val="21"/>
              </w:rPr>
            </w:r>
            <w:r>
              <w:rPr>
                <w:rFonts w:ascii="宋体"/>
                <w:spacing w:val="-1"/>
                <w:sz w:val="21"/>
                <w:u w:val="single" w:color="000000"/>
              </w:rPr>
              <w:t>254,327,079</w:t>
            </w:r>
            <w:r>
              <w:rPr>
                <w:rFonts w:ascii="宋体"/>
                <w:spacing w:val="-1"/>
                <w:sz w:val="21"/>
              </w:rPr>
            </w:r>
          </w:p>
        </w:tc>
        <w:tc>
          <w:tcPr>
            <w:tcW w:w="250"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53"/>
              <w:jc w:val="right"/>
              <w:rPr>
                <w:rFonts w:ascii="宋体" w:hAnsi="宋体" w:cs="宋体" w:eastAsia="宋体" w:hint="default"/>
                <w:sz w:val="21"/>
                <w:szCs w:val="21"/>
              </w:rPr>
            </w:pPr>
            <w:r>
              <w:rPr>
                <w:rFonts w:ascii="宋体"/>
                <w:w w:val="100"/>
                <w:sz w:val="21"/>
              </w:rPr>
            </w:r>
            <w:r>
              <w:rPr>
                <w:rFonts w:ascii="宋体"/>
                <w:spacing w:val="-1"/>
                <w:sz w:val="21"/>
                <w:u w:val="single" w:color="000000"/>
              </w:rPr>
              <w:t>292,663,414</w:t>
            </w:r>
            <w:r>
              <w:rPr>
                <w:rFonts w:ascii="宋体"/>
                <w:spacing w:val="-1"/>
                <w:sz w:val="21"/>
              </w:rPr>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4"/>
              <w:jc w:val="right"/>
              <w:rPr>
                <w:rFonts w:ascii="宋体" w:hAnsi="宋体" w:cs="宋体" w:eastAsia="宋体" w:hint="default"/>
                <w:sz w:val="21"/>
                <w:szCs w:val="21"/>
              </w:rPr>
            </w:pPr>
            <w:r>
              <w:rPr>
                <w:rFonts w:ascii="宋体"/>
                <w:w w:val="100"/>
                <w:sz w:val="21"/>
              </w:rPr>
            </w:r>
            <w:r>
              <w:rPr>
                <w:rFonts w:ascii="宋体"/>
                <w:spacing w:val="-1"/>
                <w:sz w:val="21"/>
                <w:u w:val="single" w:color="000000"/>
              </w:rPr>
              <w:t>237,537,711</w:t>
            </w:r>
            <w:r>
              <w:rPr>
                <w:rFonts w:ascii="宋体"/>
                <w:spacing w:val="-1"/>
                <w:sz w:val="21"/>
              </w:rPr>
            </w:r>
          </w:p>
        </w:tc>
      </w:tr>
    </w:tbl>
    <w:p>
      <w:pPr>
        <w:spacing w:line="240" w:lineRule="auto" w:before="12"/>
        <w:rPr>
          <w:rFonts w:ascii="宋体" w:hAnsi="宋体" w:cs="宋体" w:eastAsia="宋体" w:hint="default"/>
          <w:sz w:val="16"/>
          <w:szCs w:val="16"/>
        </w:rPr>
      </w:pPr>
    </w:p>
    <w:p>
      <w:pPr>
        <w:pStyle w:val="BodyText"/>
        <w:spacing w:line="237" w:lineRule="auto" w:before="38"/>
        <w:ind w:left="138" w:right="102"/>
        <w:jc w:val="both"/>
      </w:pPr>
      <w:r>
        <w:rPr>
          <w:spacing w:val="-4"/>
        </w:rPr>
        <w:t>管理层已经评估了货币资金、应收票据、应收账款、应收利息、其他应收款、其他流动资产</w:t>
      </w:r>
      <w:r>
        <w:rPr>
          <w:rFonts w:ascii="宋体" w:hAnsi="宋体" w:cs="宋体" w:eastAsia="宋体" w:hint="default"/>
          <w:spacing w:val="-4"/>
        </w:rPr>
        <w:t>(</w:t>
      </w:r>
      <w:r>
        <w:rPr>
          <w:spacing w:val="-4"/>
        </w:rPr>
        <w:t>理财</w:t>
      </w:r>
      <w:r>
        <w:rPr>
          <w:spacing w:val="-35"/>
        </w:rPr>
        <w:t> </w:t>
      </w:r>
      <w:r>
        <w:rPr>
          <w:spacing w:val="-4"/>
        </w:rPr>
        <w:t>产品</w:t>
      </w:r>
      <w:r>
        <w:rPr>
          <w:rFonts w:ascii="宋体" w:hAnsi="宋体" w:cs="宋体" w:eastAsia="宋体" w:hint="default"/>
          <w:spacing w:val="-4"/>
        </w:rPr>
        <w:t>)</w:t>
      </w:r>
      <w:r>
        <w:rPr>
          <w:spacing w:val="-4"/>
        </w:rPr>
        <w:t>、短期借款、应付账款、应付利息、其他应付款、一年内到期的长期借款等，因剩余期限不</w:t>
      </w:r>
      <w:r>
        <w:rPr>
          <w:spacing w:val="-35"/>
        </w:rPr>
        <w:t> </w:t>
      </w:r>
      <w:r>
        <w:rPr>
          <w:spacing w:val="-35"/>
        </w:rPr>
      </w:r>
      <w:r>
        <w:rPr/>
        <w:t>长，公允价值与账面价值相若。</w:t>
      </w:r>
    </w:p>
    <w:p>
      <w:pPr>
        <w:spacing w:line="240" w:lineRule="auto" w:before="10"/>
        <w:rPr>
          <w:rFonts w:ascii="宋体" w:hAnsi="宋体" w:cs="宋体" w:eastAsia="宋体" w:hint="default"/>
          <w:sz w:val="22"/>
          <w:szCs w:val="22"/>
        </w:rPr>
      </w:pPr>
    </w:p>
    <w:p>
      <w:pPr>
        <w:pStyle w:val="BodyText"/>
        <w:spacing w:line="272" w:lineRule="exact"/>
        <w:ind w:left="138" w:right="102"/>
        <w:jc w:val="both"/>
      </w:pPr>
      <w:r>
        <w:rPr>
          <w:spacing w:val="-4"/>
          <w:w w:val="100"/>
        </w:rPr>
        <w:t>本集团所持有的可供出售金融资产除上述以公允价值计量的项目外，均系未上市的权益工具投资，</w:t>
      </w:r>
      <w:r>
        <w:rPr>
          <w:spacing w:val="-85"/>
          <w:w w:val="100"/>
        </w:rPr>
        <w:t> </w:t>
      </w:r>
      <w:r>
        <w:rPr>
          <w:spacing w:val="-85"/>
          <w:w w:val="100"/>
        </w:rPr>
      </w:r>
      <w:r>
        <w:rPr/>
        <w:t>由于其在活跃市场没有报价且不能可靠计量，故按成本计量。</w:t>
      </w:r>
    </w:p>
    <w:p>
      <w:pPr>
        <w:spacing w:line="240" w:lineRule="auto" w:before="12"/>
        <w:rPr>
          <w:rFonts w:ascii="宋体" w:hAnsi="宋体" w:cs="宋体" w:eastAsia="宋体" w:hint="default"/>
          <w:sz w:val="18"/>
          <w:szCs w:val="18"/>
        </w:rPr>
      </w:pPr>
    </w:p>
    <w:p>
      <w:pPr>
        <w:pStyle w:val="BodyText"/>
        <w:spacing w:line="237" w:lineRule="auto"/>
        <w:ind w:left="138" w:right="208"/>
        <w:jc w:val="both"/>
      </w:pPr>
      <w:r>
        <w:rPr>
          <w:spacing w:val="-1"/>
        </w:rPr>
        <w:t>本集团的财务部门由财务经理领导，负责制定金融工具公允价值计量的政策和程序。财务经理直</w:t>
      </w:r>
      <w:r>
        <w:rPr>
          <w:spacing w:val="-55"/>
        </w:rPr>
        <w:t> </w:t>
      </w:r>
      <w:r>
        <w:rPr>
          <w:spacing w:val="-55"/>
        </w:rPr>
      </w:r>
      <w:r>
        <w:rPr>
          <w:spacing w:val="-1"/>
        </w:rPr>
        <w:t>接向财务总监和审计委员会报告。每个资产负债表日，财务部门分析金融工具价值变动，确定估</w:t>
      </w:r>
      <w:r>
        <w:rPr>
          <w:spacing w:val="-55"/>
        </w:rPr>
        <w:t> </w:t>
      </w:r>
      <w:r>
        <w:rPr>
          <w:spacing w:val="-55"/>
        </w:rPr>
      </w:r>
      <w:r>
        <w:rPr/>
        <w:t>值适用的主要输入值。估值须经财务总监审核批准。</w:t>
      </w:r>
    </w:p>
    <w:p>
      <w:pPr>
        <w:spacing w:line="240" w:lineRule="auto" w:before="11"/>
        <w:rPr>
          <w:rFonts w:ascii="宋体" w:hAnsi="宋体" w:cs="宋体" w:eastAsia="宋体" w:hint="default"/>
          <w:sz w:val="20"/>
          <w:szCs w:val="20"/>
        </w:rPr>
      </w:pPr>
    </w:p>
    <w:p>
      <w:pPr>
        <w:pStyle w:val="BodyText"/>
        <w:spacing w:line="237" w:lineRule="auto"/>
        <w:ind w:left="138" w:right="208"/>
        <w:jc w:val="both"/>
      </w:pPr>
      <w:r>
        <w:rPr>
          <w:spacing w:val="-1"/>
        </w:rPr>
        <w:t>金融资产和金融负债的公允价值，是指以在公平交易中，熟悉情况的交易双方自愿进行资产交换</w:t>
      </w:r>
      <w:r>
        <w:rPr>
          <w:spacing w:val="-55"/>
        </w:rPr>
        <w:t> </w:t>
      </w:r>
      <w:r>
        <w:rPr>
          <w:spacing w:val="-55"/>
        </w:rPr>
      </w:r>
      <w:r>
        <w:rPr>
          <w:spacing w:val="-1"/>
        </w:rPr>
        <w:t>或者债务清偿的金额确定，而不是被迫出售或清算情况下的金额。以下方法和假设用于估计公允</w:t>
      </w:r>
      <w:r>
        <w:rPr>
          <w:spacing w:val="-55"/>
        </w:rPr>
        <w:t> </w:t>
      </w:r>
      <w:r>
        <w:rPr>
          <w:spacing w:val="-55"/>
        </w:rPr>
      </w:r>
      <w:r>
        <w:rPr/>
        <w:t>价值。</w:t>
      </w:r>
    </w:p>
    <w:p>
      <w:pPr>
        <w:spacing w:after="0" w:line="237" w:lineRule="auto"/>
        <w:jc w:val="both"/>
        <w:sectPr>
          <w:pgSz w:w="11910" w:h="16840"/>
          <w:pgMar w:header="857" w:footer="1195" w:top="1280" w:bottom="1380" w:left="1660" w:right="1060"/>
        </w:sectPr>
      </w:pPr>
    </w:p>
    <w:p>
      <w:pPr>
        <w:spacing w:line="240" w:lineRule="auto" w:before="4"/>
        <w:rPr>
          <w:rFonts w:ascii="宋体" w:hAnsi="宋体" w:cs="宋体" w:eastAsia="宋体" w:hint="default"/>
          <w:sz w:val="12"/>
          <w:szCs w:val="12"/>
        </w:rPr>
      </w:pPr>
    </w:p>
    <w:p>
      <w:pPr>
        <w:pStyle w:val="BodyText"/>
        <w:spacing w:line="237" w:lineRule="auto" w:before="38"/>
        <w:ind w:right="228"/>
        <w:jc w:val="both"/>
      </w:pPr>
      <w:r>
        <w:rPr>
          <w:spacing w:val="-1"/>
        </w:rPr>
        <w:t>长短期借款采用未来现金流量折现法确定公允价值，以有相似合同条款、信用风险和剩余期限的</w:t>
      </w:r>
      <w:r>
        <w:rPr>
          <w:spacing w:val="-55"/>
        </w:rPr>
        <w:t> </w:t>
      </w:r>
      <w:r>
        <w:rPr>
          <w:spacing w:val="-55"/>
        </w:rPr>
      </w:r>
      <w:r>
        <w:rPr>
          <w:spacing w:val="-3"/>
        </w:rPr>
        <w:t>其他金融工具的市场收益率作为折现率。</w:t>
      </w:r>
      <w:r>
        <w:rPr>
          <w:rFonts w:ascii="宋体" w:hAnsi="宋体" w:cs="宋体" w:eastAsia="宋体" w:hint="default"/>
          <w:spacing w:val="-3"/>
        </w:rPr>
        <w:t>2017</w:t>
      </w:r>
      <w:r>
        <w:rPr>
          <w:rFonts w:ascii="宋体" w:hAnsi="宋体" w:cs="宋体" w:eastAsia="宋体" w:hint="default"/>
          <w:spacing w:val="-39"/>
        </w:rPr>
        <w:t> </w:t>
      </w:r>
      <w:r>
        <w:rPr/>
        <w:t>年</w:t>
      </w:r>
      <w:r>
        <w:rPr>
          <w:spacing w:val="-42"/>
        </w:rPr>
        <w:t> </w:t>
      </w:r>
      <w:r>
        <w:rPr>
          <w:rFonts w:ascii="宋体" w:hAnsi="宋体" w:cs="宋体" w:eastAsia="宋体" w:hint="default"/>
        </w:rPr>
        <w:t>12</w:t>
      </w:r>
      <w:r>
        <w:rPr>
          <w:rFonts w:ascii="宋体" w:hAnsi="宋体" w:cs="宋体" w:eastAsia="宋体" w:hint="default"/>
          <w:spacing w:val="-42"/>
        </w:rPr>
        <w:t> </w:t>
      </w:r>
      <w:r>
        <w:rPr/>
        <w:t>月</w:t>
      </w:r>
      <w:r>
        <w:rPr>
          <w:spacing w:val="-39"/>
        </w:rPr>
        <w:t> </w:t>
      </w:r>
      <w:r>
        <w:rPr>
          <w:rFonts w:ascii="宋体" w:hAnsi="宋体" w:cs="宋体" w:eastAsia="宋体" w:hint="default"/>
        </w:rPr>
        <w:t>31</w:t>
      </w:r>
      <w:r>
        <w:rPr>
          <w:rFonts w:ascii="宋体" w:hAnsi="宋体" w:cs="宋体" w:eastAsia="宋体" w:hint="default"/>
          <w:spacing w:val="-42"/>
        </w:rPr>
        <w:t> </w:t>
      </w:r>
      <w:r>
        <w:rPr>
          <w:spacing w:val="-3"/>
        </w:rPr>
        <w:t>日，针对长短期借款的自身不履约风险</w:t>
      </w:r>
      <w:r>
        <w:rPr>
          <w:spacing w:val="-100"/>
        </w:rPr>
        <w:t> </w:t>
      </w:r>
      <w:r>
        <w:rPr>
          <w:spacing w:val="-100"/>
        </w:rPr>
      </w:r>
      <w:r>
        <w:rPr/>
        <w:t>评估为不重大。</w:t>
      </w:r>
    </w:p>
    <w:p>
      <w:pPr>
        <w:pStyle w:val="Heading3"/>
        <w:tabs>
          <w:tab w:pos="1057" w:val="left" w:leader="none"/>
        </w:tabs>
        <w:spacing w:line="290" w:lineRule="auto" w:before="59"/>
        <w:ind w:right="6536"/>
        <w:jc w:val="left"/>
        <w:rPr>
          <w:b w:val="0"/>
          <w:bCs w:val="0"/>
        </w:rPr>
      </w:pPr>
      <w:r>
        <w:rPr/>
        <w:t>十二、</w:t>
        <w:tab/>
        <w:t>关联方及关联交易</w:t>
      </w:r>
      <w:r>
        <w:rPr>
          <w:spacing w:val="-103"/>
        </w:rPr>
        <w:t> </w:t>
      </w:r>
      <w:r>
        <w:rPr>
          <w:spacing w:val="-103"/>
        </w:rPr>
      </w:r>
      <w:r>
        <w:rPr>
          <w:rFonts w:ascii="宋体" w:hAnsi="宋体" w:cs="宋体" w:eastAsia="宋体" w:hint="default"/>
        </w:rPr>
        <w:t>1</w:t>
      </w:r>
      <w:r>
        <w:rPr/>
        <w:t>、</w:t>
      </w:r>
      <w:r>
        <w:rPr>
          <w:spacing w:val="5"/>
        </w:rPr>
        <w:t> </w:t>
      </w:r>
      <w:r>
        <w:rPr/>
        <w:t>本企业的母公司情况</w:t>
      </w:r>
      <w:r>
        <w:rPr>
          <w:b w:val="0"/>
          <w:bCs w:val="0"/>
        </w:rPr>
      </w:r>
    </w:p>
    <w:p>
      <w:pPr>
        <w:pStyle w:val="BodyText"/>
        <w:spacing w:line="240" w:lineRule="auto" w:before="14"/>
        <w:ind w:right="0"/>
        <w:jc w:val="both"/>
      </w:pPr>
      <w:r>
        <w:rPr/>
        <w:t>√适用</w:t>
      </w:r>
      <w:r>
        <w:rPr>
          <w:spacing w:val="104"/>
        </w:rPr>
        <w:t> </w:t>
      </w:r>
      <w:r>
        <w:rPr/>
        <w:t>□不适用</w:t>
      </w:r>
    </w:p>
    <w:p>
      <w:pPr>
        <w:pStyle w:val="BodyText"/>
        <w:spacing w:line="271" w:lineRule="exact"/>
        <w:ind w:left="0" w:right="230"/>
        <w:jc w:val="right"/>
      </w:pPr>
      <w:r>
        <w:rPr>
          <w:spacing w:val="-2"/>
        </w:rPr>
        <w:t>单位：元币种：人民币</w:t>
      </w: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387"/>
        <w:gridCol w:w="1234"/>
        <w:gridCol w:w="1464"/>
        <w:gridCol w:w="1464"/>
        <w:gridCol w:w="1683"/>
        <w:gridCol w:w="1817"/>
      </w:tblGrid>
      <w:tr>
        <w:trPr>
          <w:trHeight w:val="852" w:hRule="exact"/>
        </w:trPr>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163" w:right="0"/>
              <w:jc w:val="left"/>
              <w:rPr>
                <w:rFonts w:ascii="宋体" w:hAnsi="宋体" w:cs="宋体" w:eastAsia="宋体" w:hint="default"/>
                <w:sz w:val="21"/>
                <w:szCs w:val="21"/>
              </w:rPr>
            </w:pPr>
            <w:r>
              <w:rPr>
                <w:rFonts w:ascii="宋体" w:hAnsi="宋体" w:cs="宋体" w:eastAsia="宋体" w:hint="default"/>
                <w:sz w:val="21"/>
                <w:szCs w:val="21"/>
              </w:rPr>
              <w:t>母公司名称</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295" w:right="0"/>
              <w:jc w:val="left"/>
              <w:rPr>
                <w:rFonts w:ascii="宋体" w:hAnsi="宋体" w:cs="宋体" w:eastAsia="宋体" w:hint="default"/>
                <w:sz w:val="21"/>
                <w:szCs w:val="21"/>
              </w:rPr>
            </w:pPr>
            <w:r>
              <w:rPr>
                <w:rFonts w:ascii="宋体" w:hAnsi="宋体" w:cs="宋体" w:eastAsia="宋体" w:hint="default"/>
                <w:sz w:val="21"/>
                <w:szCs w:val="21"/>
              </w:rPr>
              <w:t>注册地</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07" w:right="0"/>
              <w:jc w:val="left"/>
              <w:rPr>
                <w:rFonts w:ascii="宋体" w:hAnsi="宋体" w:cs="宋体" w:eastAsia="宋体" w:hint="default"/>
                <w:sz w:val="21"/>
                <w:szCs w:val="21"/>
              </w:rPr>
            </w:pPr>
            <w:r>
              <w:rPr>
                <w:rFonts w:ascii="宋体" w:hAnsi="宋体" w:cs="宋体" w:eastAsia="宋体" w:hint="default"/>
                <w:sz w:val="21"/>
                <w:szCs w:val="21"/>
              </w:rPr>
              <w:t>业务性质</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07" w:right="0"/>
              <w:jc w:val="left"/>
              <w:rPr>
                <w:rFonts w:ascii="宋体" w:hAnsi="宋体" w:cs="宋体" w:eastAsia="宋体" w:hint="default"/>
                <w:sz w:val="21"/>
                <w:szCs w:val="21"/>
              </w:rPr>
            </w:pPr>
            <w:r>
              <w:rPr>
                <w:rFonts w:ascii="宋体" w:hAnsi="宋体" w:cs="宋体" w:eastAsia="宋体" w:hint="default"/>
                <w:sz w:val="21"/>
                <w:szCs w:val="21"/>
              </w:rPr>
              <w:t>注册资本</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 w:right="0"/>
              <w:jc w:val="center"/>
              <w:rPr>
                <w:rFonts w:ascii="宋体" w:hAnsi="宋体" w:cs="宋体" w:eastAsia="宋体" w:hint="default"/>
                <w:sz w:val="21"/>
                <w:szCs w:val="21"/>
              </w:rPr>
            </w:pPr>
            <w:r>
              <w:rPr>
                <w:rFonts w:ascii="宋体" w:hAnsi="宋体" w:cs="宋体" w:eastAsia="宋体" w:hint="default"/>
                <w:sz w:val="21"/>
                <w:szCs w:val="21"/>
              </w:rPr>
              <w:t>母公司对本企</w:t>
            </w:r>
          </w:p>
          <w:p>
            <w:pPr>
              <w:pStyle w:val="TableParagraph"/>
              <w:spacing w:line="272" w:lineRule="exact" w:before="27"/>
              <w:ind w:left="206" w:right="202"/>
              <w:jc w:val="center"/>
              <w:rPr>
                <w:rFonts w:ascii="宋体" w:hAnsi="宋体" w:cs="宋体" w:eastAsia="宋体" w:hint="default"/>
                <w:sz w:val="21"/>
                <w:szCs w:val="21"/>
              </w:rPr>
            </w:pPr>
            <w:r>
              <w:rPr>
                <w:rFonts w:ascii="宋体" w:hAnsi="宋体" w:cs="宋体" w:eastAsia="宋体" w:hint="default"/>
                <w:spacing w:val="-1"/>
                <w:sz w:val="21"/>
                <w:szCs w:val="21"/>
              </w:rPr>
              <w:t>业的持股比例</w:t>
            </w:r>
            <w:r>
              <w:rPr>
                <w:rFonts w:ascii="宋体" w:hAnsi="宋体" w:cs="宋体" w:eastAsia="宋体" w:hint="default"/>
                <w:w w:val="100"/>
                <w:sz w:val="21"/>
                <w:szCs w:val="21"/>
              </w:rPr>
              <w:t> </w:t>
            </w:r>
            <w:r>
              <w:rPr>
                <w:rFonts w:ascii="宋体" w:hAnsi="宋体" w:cs="宋体" w:eastAsia="宋体" w:hint="default"/>
                <w:sz w:val="21"/>
                <w:szCs w:val="21"/>
              </w:rPr>
              <w:t>(%)</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42"/>
              <w:ind w:left="115" w:right="113" w:firstLine="52"/>
              <w:jc w:val="left"/>
              <w:rPr>
                <w:rFonts w:ascii="宋体" w:hAnsi="宋体" w:cs="宋体" w:eastAsia="宋体" w:hint="default"/>
                <w:sz w:val="21"/>
                <w:szCs w:val="21"/>
              </w:rPr>
            </w:pPr>
            <w:r>
              <w:rPr>
                <w:rFonts w:ascii="宋体" w:hAnsi="宋体" w:cs="宋体" w:eastAsia="宋体" w:hint="default"/>
                <w:sz w:val="21"/>
                <w:szCs w:val="21"/>
              </w:rPr>
              <w:t>母公司对本企业</w:t>
            </w:r>
            <w:r>
              <w:rPr>
                <w:rFonts w:ascii="宋体" w:hAnsi="宋体" w:cs="宋体" w:eastAsia="宋体" w:hint="default"/>
                <w:w w:val="100"/>
                <w:sz w:val="21"/>
                <w:szCs w:val="21"/>
              </w:rPr>
              <w:t> </w:t>
            </w:r>
            <w:r>
              <w:rPr>
                <w:rFonts w:ascii="宋体" w:hAnsi="宋体" w:cs="宋体" w:eastAsia="宋体" w:hint="default"/>
                <w:spacing w:val="-2"/>
                <w:sz w:val="21"/>
                <w:szCs w:val="21"/>
              </w:rPr>
              <w:t>的表决权比例</w:t>
            </w:r>
            <w:r>
              <w:rPr>
                <w:rFonts w:ascii="宋体" w:hAnsi="宋体" w:cs="宋体" w:eastAsia="宋体" w:hint="default"/>
                <w:spacing w:val="-2"/>
                <w:sz w:val="21"/>
                <w:szCs w:val="21"/>
              </w:rPr>
              <w:t>(%)</w:t>
            </w:r>
          </w:p>
        </w:tc>
      </w:tr>
      <w:tr>
        <w:trPr>
          <w:trHeight w:val="2189" w:hRule="exact"/>
        </w:trPr>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北</w:t>
            </w:r>
            <w:r>
              <w:rPr>
                <w:rFonts w:ascii="宋体" w:hAnsi="宋体" w:cs="宋体" w:eastAsia="宋体" w:hint="default"/>
                <w:spacing w:val="-76"/>
                <w:sz w:val="21"/>
                <w:szCs w:val="21"/>
              </w:rPr>
              <w:t> </w:t>
            </w:r>
            <w:r>
              <w:rPr>
                <w:rFonts w:ascii="宋体" w:hAnsi="宋体" w:cs="宋体" w:eastAsia="宋体" w:hint="default"/>
                <w:sz w:val="21"/>
                <w:szCs w:val="21"/>
              </w:rPr>
              <w:t>京</w:t>
            </w:r>
            <w:r>
              <w:rPr>
                <w:rFonts w:ascii="宋体" w:hAnsi="宋体" w:cs="宋体" w:eastAsia="宋体" w:hint="default"/>
                <w:spacing w:val="-76"/>
                <w:sz w:val="21"/>
                <w:szCs w:val="21"/>
              </w:rPr>
              <w:t> </w:t>
            </w:r>
            <w:r>
              <w:rPr>
                <w:rFonts w:ascii="宋体" w:hAnsi="宋体" w:cs="宋体" w:eastAsia="宋体" w:hint="default"/>
                <w:sz w:val="21"/>
                <w:szCs w:val="21"/>
              </w:rPr>
              <w:t>用</w:t>
            </w:r>
            <w:r>
              <w:rPr>
                <w:rFonts w:ascii="宋体" w:hAnsi="宋体" w:cs="宋体" w:eastAsia="宋体" w:hint="default"/>
                <w:spacing w:val="-76"/>
                <w:sz w:val="21"/>
                <w:szCs w:val="21"/>
              </w:rPr>
              <w:t> </w:t>
            </w:r>
            <w:r>
              <w:rPr>
                <w:rFonts w:ascii="宋体" w:hAnsi="宋体" w:cs="宋体" w:eastAsia="宋体" w:hint="default"/>
                <w:sz w:val="21"/>
                <w:szCs w:val="21"/>
              </w:rPr>
              <w:t>友</w:t>
            </w:r>
            <w:r>
              <w:rPr>
                <w:rFonts w:ascii="宋体" w:hAnsi="宋体" w:cs="宋体" w:eastAsia="宋体" w:hint="default"/>
                <w:spacing w:val="-73"/>
                <w:sz w:val="21"/>
                <w:szCs w:val="21"/>
              </w:rPr>
              <w:t> </w:t>
            </w:r>
            <w:r>
              <w:rPr>
                <w:rFonts w:ascii="宋体" w:hAnsi="宋体" w:cs="宋体" w:eastAsia="宋体" w:hint="default"/>
                <w:sz w:val="21"/>
                <w:szCs w:val="21"/>
              </w:rPr>
              <w:t>科</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技有限公司</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both"/>
              <w:rPr>
                <w:rFonts w:ascii="宋体" w:hAnsi="宋体" w:cs="宋体" w:eastAsia="宋体" w:hint="default"/>
                <w:sz w:val="21"/>
                <w:szCs w:val="21"/>
              </w:rPr>
            </w:pPr>
            <w:r>
              <w:rPr>
                <w:rFonts w:ascii="宋体" w:hAnsi="宋体" w:cs="宋体" w:eastAsia="宋体" w:hint="default"/>
                <w:spacing w:val="-3"/>
                <w:sz w:val="21"/>
                <w:szCs w:val="21"/>
              </w:rPr>
              <w:t>技术开发、技</w:t>
            </w:r>
          </w:p>
          <w:p>
            <w:pPr>
              <w:pStyle w:val="TableParagraph"/>
              <w:spacing w:line="237" w:lineRule="auto" w:before="1"/>
              <w:ind w:left="103" w:right="98"/>
              <w:jc w:val="both"/>
              <w:rPr>
                <w:rFonts w:ascii="宋体" w:hAnsi="宋体" w:cs="宋体" w:eastAsia="宋体" w:hint="default"/>
                <w:sz w:val="21"/>
                <w:szCs w:val="21"/>
              </w:rPr>
            </w:pPr>
            <w:r>
              <w:rPr>
                <w:rFonts w:ascii="宋体" w:hAnsi="宋体" w:cs="宋体" w:eastAsia="宋体" w:hint="default"/>
                <w:spacing w:val="-4"/>
                <w:sz w:val="21"/>
                <w:szCs w:val="21"/>
              </w:rPr>
              <w:t>术转让、技术</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3"/>
                <w:sz w:val="21"/>
                <w:szCs w:val="21"/>
              </w:rPr>
              <w:t>咨询、技术服</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4"/>
                <w:sz w:val="21"/>
                <w:szCs w:val="21"/>
              </w:rPr>
              <w:t>务、企业管理</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3"/>
                <w:sz w:val="21"/>
                <w:szCs w:val="21"/>
              </w:rPr>
              <w:t>咨询、经济信</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4"/>
                <w:sz w:val="21"/>
                <w:szCs w:val="21"/>
              </w:rPr>
              <w:t>息咨询、项目</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3"/>
                <w:sz w:val="21"/>
                <w:szCs w:val="21"/>
              </w:rPr>
              <w:t>投资、投资管</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理。</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00" w:right="0"/>
              <w:jc w:val="left"/>
              <w:rPr>
                <w:rFonts w:ascii="宋体" w:hAnsi="宋体" w:cs="宋体" w:eastAsia="宋体" w:hint="default"/>
                <w:sz w:val="21"/>
                <w:szCs w:val="21"/>
              </w:rPr>
            </w:pPr>
            <w:r>
              <w:rPr>
                <w:rFonts w:ascii="宋体"/>
                <w:sz w:val="21"/>
              </w:rPr>
              <w:t>85,000,000</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28.64%</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28.64%</w:t>
            </w:r>
          </w:p>
        </w:tc>
      </w:tr>
      <w:tr>
        <w:trPr>
          <w:trHeight w:val="1644" w:hRule="exact"/>
        </w:trPr>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上</w:t>
            </w:r>
            <w:r>
              <w:rPr>
                <w:rFonts w:ascii="宋体" w:hAnsi="宋体" w:cs="宋体" w:eastAsia="宋体" w:hint="default"/>
                <w:spacing w:val="-76"/>
                <w:sz w:val="21"/>
                <w:szCs w:val="21"/>
              </w:rPr>
              <w:t> </w:t>
            </w:r>
            <w:r>
              <w:rPr>
                <w:rFonts w:ascii="宋体" w:hAnsi="宋体" w:cs="宋体" w:eastAsia="宋体" w:hint="default"/>
                <w:sz w:val="21"/>
                <w:szCs w:val="21"/>
              </w:rPr>
              <w:t>海</w:t>
            </w:r>
            <w:r>
              <w:rPr>
                <w:rFonts w:ascii="宋体" w:hAnsi="宋体" w:cs="宋体" w:eastAsia="宋体" w:hint="default"/>
                <w:spacing w:val="-76"/>
                <w:sz w:val="21"/>
                <w:szCs w:val="21"/>
              </w:rPr>
              <w:t> </w:t>
            </w:r>
            <w:r>
              <w:rPr>
                <w:rFonts w:ascii="宋体" w:hAnsi="宋体" w:cs="宋体" w:eastAsia="宋体" w:hint="default"/>
                <w:sz w:val="21"/>
                <w:szCs w:val="21"/>
              </w:rPr>
              <w:t>用</w:t>
            </w:r>
            <w:r>
              <w:rPr>
                <w:rFonts w:ascii="宋体" w:hAnsi="宋体" w:cs="宋体" w:eastAsia="宋体" w:hint="default"/>
                <w:spacing w:val="-76"/>
                <w:sz w:val="21"/>
                <w:szCs w:val="21"/>
              </w:rPr>
              <w:t> </w:t>
            </w:r>
            <w:r>
              <w:rPr>
                <w:rFonts w:ascii="宋体" w:hAnsi="宋体" w:cs="宋体" w:eastAsia="宋体" w:hint="default"/>
                <w:sz w:val="21"/>
                <w:szCs w:val="21"/>
              </w:rPr>
              <w:t>友</w:t>
            </w:r>
            <w:r>
              <w:rPr>
                <w:rFonts w:ascii="宋体" w:hAnsi="宋体" w:cs="宋体" w:eastAsia="宋体" w:hint="default"/>
                <w:spacing w:val="-73"/>
                <w:sz w:val="21"/>
                <w:szCs w:val="21"/>
              </w:rPr>
              <w:t> </w:t>
            </w:r>
            <w:r>
              <w:rPr>
                <w:rFonts w:ascii="宋体" w:hAnsi="宋体" w:cs="宋体" w:eastAsia="宋体" w:hint="default"/>
                <w:sz w:val="21"/>
                <w:szCs w:val="21"/>
              </w:rPr>
              <w:t>科</w:t>
            </w:r>
          </w:p>
          <w:p>
            <w:pPr>
              <w:pStyle w:val="TableParagraph"/>
              <w:spacing w:line="240" w:lineRule="auto"/>
              <w:ind w:left="103" w:right="99"/>
              <w:jc w:val="left"/>
              <w:rPr>
                <w:rFonts w:ascii="宋体" w:hAnsi="宋体" w:cs="宋体" w:eastAsia="宋体" w:hint="default"/>
                <w:sz w:val="21"/>
                <w:szCs w:val="21"/>
              </w:rPr>
            </w:pPr>
            <w:r>
              <w:rPr>
                <w:rFonts w:ascii="宋体" w:hAnsi="宋体" w:cs="宋体" w:eastAsia="宋体" w:hint="default"/>
                <w:sz w:val="21"/>
                <w:szCs w:val="21"/>
              </w:rPr>
              <w:t>技</w:t>
            </w:r>
            <w:r>
              <w:rPr>
                <w:rFonts w:ascii="宋体" w:hAnsi="宋体" w:cs="宋体" w:eastAsia="宋体" w:hint="default"/>
                <w:spacing w:val="-76"/>
                <w:sz w:val="21"/>
                <w:szCs w:val="21"/>
              </w:rPr>
              <w:t> </w:t>
            </w:r>
            <w:r>
              <w:rPr>
                <w:rFonts w:ascii="宋体" w:hAnsi="宋体" w:cs="宋体" w:eastAsia="宋体" w:hint="default"/>
                <w:sz w:val="21"/>
                <w:szCs w:val="21"/>
              </w:rPr>
              <w:t>咨</w:t>
            </w:r>
            <w:r>
              <w:rPr>
                <w:rFonts w:ascii="宋体" w:hAnsi="宋体" w:cs="宋体" w:eastAsia="宋体" w:hint="default"/>
                <w:spacing w:val="-76"/>
                <w:sz w:val="21"/>
                <w:szCs w:val="21"/>
              </w:rPr>
              <w:t> </w:t>
            </w:r>
            <w:r>
              <w:rPr>
                <w:rFonts w:ascii="宋体" w:hAnsi="宋体" w:cs="宋体" w:eastAsia="宋体" w:hint="default"/>
                <w:sz w:val="21"/>
                <w:szCs w:val="21"/>
              </w:rPr>
              <w:t>询</w:t>
            </w:r>
            <w:r>
              <w:rPr>
                <w:rFonts w:ascii="宋体" w:hAnsi="宋体" w:cs="宋体" w:eastAsia="宋体" w:hint="default"/>
                <w:spacing w:val="-76"/>
                <w:sz w:val="21"/>
                <w:szCs w:val="21"/>
              </w:rPr>
              <w:t> </w:t>
            </w:r>
            <w:r>
              <w:rPr>
                <w:rFonts w:ascii="宋体" w:hAnsi="宋体" w:cs="宋体" w:eastAsia="宋体" w:hint="default"/>
                <w:sz w:val="21"/>
                <w:szCs w:val="21"/>
              </w:rPr>
              <w:t>有</w:t>
            </w:r>
            <w:r>
              <w:rPr>
                <w:rFonts w:ascii="宋体" w:hAnsi="宋体" w:cs="宋体" w:eastAsia="宋体" w:hint="default"/>
                <w:spacing w:val="-73"/>
                <w:sz w:val="21"/>
                <w:szCs w:val="21"/>
              </w:rPr>
              <w:t> </w:t>
            </w:r>
            <w:r>
              <w:rPr>
                <w:rFonts w:ascii="宋体" w:hAnsi="宋体" w:cs="宋体" w:eastAsia="宋体" w:hint="default"/>
                <w:sz w:val="21"/>
                <w:szCs w:val="21"/>
              </w:rPr>
              <w:t>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计算机软硬</w:t>
            </w:r>
          </w:p>
          <w:p>
            <w:pPr>
              <w:pStyle w:val="TableParagraph"/>
              <w:spacing w:line="237" w:lineRule="auto"/>
              <w:ind w:left="103" w:right="98"/>
              <w:jc w:val="left"/>
              <w:rPr>
                <w:rFonts w:ascii="宋体" w:hAnsi="宋体" w:cs="宋体" w:eastAsia="宋体" w:hint="default"/>
                <w:sz w:val="21"/>
                <w:szCs w:val="21"/>
              </w:rPr>
            </w:pPr>
            <w:r>
              <w:rPr>
                <w:rFonts w:ascii="宋体" w:hAnsi="宋体" w:cs="宋体" w:eastAsia="宋体" w:hint="default"/>
                <w:sz w:val="21"/>
                <w:szCs w:val="21"/>
              </w:rPr>
              <w:t>件的技术咨</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4"/>
                <w:sz w:val="21"/>
                <w:szCs w:val="21"/>
              </w:rPr>
              <w:t>询、企业管理</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3"/>
                <w:sz w:val="21"/>
                <w:szCs w:val="21"/>
              </w:rPr>
              <w:t>咨询，投资管</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理、实业投</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资。</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00" w:right="0"/>
              <w:jc w:val="left"/>
              <w:rPr>
                <w:rFonts w:ascii="宋体" w:hAnsi="宋体" w:cs="宋体" w:eastAsia="宋体" w:hint="default"/>
                <w:sz w:val="21"/>
                <w:szCs w:val="21"/>
              </w:rPr>
            </w:pPr>
            <w:r>
              <w:rPr>
                <w:rFonts w:ascii="宋体"/>
                <w:sz w:val="21"/>
              </w:rPr>
              <w:t>22,932,980</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12.19%</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12.19%</w:t>
            </w:r>
          </w:p>
        </w:tc>
      </w:tr>
      <w:tr>
        <w:trPr>
          <w:trHeight w:val="1915" w:hRule="exact"/>
        </w:trPr>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both"/>
              <w:rPr>
                <w:rFonts w:ascii="宋体" w:hAnsi="宋体" w:cs="宋体" w:eastAsia="宋体" w:hint="default"/>
                <w:sz w:val="21"/>
                <w:szCs w:val="21"/>
              </w:rPr>
            </w:pPr>
            <w:r>
              <w:rPr>
                <w:rFonts w:ascii="宋体" w:hAnsi="宋体" w:cs="宋体" w:eastAsia="宋体" w:hint="default"/>
                <w:sz w:val="21"/>
                <w:szCs w:val="21"/>
              </w:rPr>
              <w:t>北</w:t>
            </w:r>
            <w:r>
              <w:rPr>
                <w:rFonts w:ascii="宋体" w:hAnsi="宋体" w:cs="宋体" w:eastAsia="宋体" w:hint="default"/>
                <w:spacing w:val="-76"/>
                <w:sz w:val="21"/>
                <w:szCs w:val="21"/>
              </w:rPr>
              <w:t> </w:t>
            </w:r>
            <w:r>
              <w:rPr>
                <w:rFonts w:ascii="宋体" w:hAnsi="宋体" w:cs="宋体" w:eastAsia="宋体" w:hint="default"/>
                <w:sz w:val="21"/>
                <w:szCs w:val="21"/>
              </w:rPr>
              <w:t>京</w:t>
            </w:r>
            <w:r>
              <w:rPr>
                <w:rFonts w:ascii="宋体" w:hAnsi="宋体" w:cs="宋体" w:eastAsia="宋体" w:hint="default"/>
                <w:spacing w:val="-76"/>
                <w:sz w:val="21"/>
                <w:szCs w:val="21"/>
              </w:rPr>
              <w:t> </w:t>
            </w:r>
            <w:r>
              <w:rPr>
                <w:rFonts w:ascii="宋体" w:hAnsi="宋体" w:cs="宋体" w:eastAsia="宋体" w:hint="default"/>
                <w:sz w:val="21"/>
                <w:szCs w:val="21"/>
              </w:rPr>
              <w:t>用</w:t>
            </w:r>
            <w:r>
              <w:rPr>
                <w:rFonts w:ascii="宋体" w:hAnsi="宋体" w:cs="宋体" w:eastAsia="宋体" w:hint="default"/>
                <w:spacing w:val="-76"/>
                <w:sz w:val="21"/>
                <w:szCs w:val="21"/>
              </w:rPr>
              <w:t> </w:t>
            </w:r>
            <w:r>
              <w:rPr>
                <w:rFonts w:ascii="宋体" w:hAnsi="宋体" w:cs="宋体" w:eastAsia="宋体" w:hint="default"/>
                <w:sz w:val="21"/>
                <w:szCs w:val="21"/>
              </w:rPr>
              <w:t>友</w:t>
            </w:r>
            <w:r>
              <w:rPr>
                <w:rFonts w:ascii="宋体" w:hAnsi="宋体" w:cs="宋体" w:eastAsia="宋体" w:hint="default"/>
                <w:spacing w:val="-73"/>
                <w:sz w:val="21"/>
                <w:szCs w:val="21"/>
              </w:rPr>
              <w:t> </w:t>
            </w:r>
            <w:r>
              <w:rPr>
                <w:rFonts w:ascii="宋体" w:hAnsi="宋体" w:cs="宋体" w:eastAsia="宋体" w:hint="default"/>
                <w:sz w:val="21"/>
                <w:szCs w:val="21"/>
              </w:rPr>
              <w:t>企</w:t>
            </w:r>
          </w:p>
          <w:p>
            <w:pPr>
              <w:pStyle w:val="TableParagraph"/>
              <w:spacing w:line="240" w:lineRule="auto"/>
              <w:ind w:left="103" w:right="99"/>
              <w:jc w:val="both"/>
              <w:rPr>
                <w:rFonts w:ascii="宋体" w:hAnsi="宋体" w:cs="宋体" w:eastAsia="宋体" w:hint="default"/>
                <w:sz w:val="21"/>
                <w:szCs w:val="21"/>
              </w:rPr>
            </w:pPr>
            <w:r>
              <w:rPr>
                <w:rFonts w:ascii="宋体" w:hAnsi="宋体" w:cs="宋体" w:eastAsia="宋体" w:hint="default"/>
                <w:sz w:val="21"/>
                <w:szCs w:val="21"/>
              </w:rPr>
              <w:t>业</w:t>
            </w:r>
            <w:r>
              <w:rPr>
                <w:rFonts w:ascii="宋体" w:hAnsi="宋体" w:cs="宋体" w:eastAsia="宋体" w:hint="default"/>
                <w:spacing w:val="-76"/>
                <w:sz w:val="21"/>
                <w:szCs w:val="21"/>
              </w:rPr>
              <w:t> </w:t>
            </w:r>
            <w:r>
              <w:rPr>
                <w:rFonts w:ascii="宋体" w:hAnsi="宋体" w:cs="宋体" w:eastAsia="宋体" w:hint="default"/>
                <w:sz w:val="21"/>
                <w:szCs w:val="21"/>
              </w:rPr>
              <w:t>管</w:t>
            </w:r>
            <w:r>
              <w:rPr>
                <w:rFonts w:ascii="宋体" w:hAnsi="宋体" w:cs="宋体" w:eastAsia="宋体" w:hint="default"/>
                <w:spacing w:val="-76"/>
                <w:sz w:val="21"/>
                <w:szCs w:val="21"/>
              </w:rPr>
              <w:t> </w:t>
            </w:r>
            <w:r>
              <w:rPr>
                <w:rFonts w:ascii="宋体" w:hAnsi="宋体" w:cs="宋体" w:eastAsia="宋体" w:hint="default"/>
                <w:sz w:val="21"/>
                <w:szCs w:val="21"/>
              </w:rPr>
              <w:t>理</w:t>
            </w:r>
            <w:r>
              <w:rPr>
                <w:rFonts w:ascii="宋体" w:hAnsi="宋体" w:cs="宋体" w:eastAsia="宋体" w:hint="default"/>
                <w:spacing w:val="-76"/>
                <w:sz w:val="21"/>
                <w:szCs w:val="21"/>
              </w:rPr>
              <w:t> </w:t>
            </w:r>
            <w:r>
              <w:rPr>
                <w:rFonts w:ascii="宋体" w:hAnsi="宋体" w:cs="宋体" w:eastAsia="宋体" w:hint="default"/>
                <w:sz w:val="21"/>
                <w:szCs w:val="21"/>
              </w:rPr>
              <w:t>研</w:t>
            </w:r>
            <w:r>
              <w:rPr>
                <w:rFonts w:ascii="宋体" w:hAnsi="宋体" w:cs="宋体" w:eastAsia="宋体" w:hint="default"/>
                <w:spacing w:val="-73"/>
                <w:sz w:val="21"/>
                <w:szCs w:val="21"/>
              </w:rPr>
              <w:t> </w:t>
            </w:r>
            <w:r>
              <w:rPr>
                <w:rFonts w:ascii="宋体" w:hAnsi="宋体" w:cs="宋体" w:eastAsia="宋体" w:hint="default"/>
                <w:sz w:val="21"/>
                <w:szCs w:val="21"/>
              </w:rPr>
              <w:t>究</w:t>
            </w:r>
            <w:r>
              <w:rPr>
                <w:rFonts w:ascii="宋体" w:hAnsi="宋体" w:cs="宋体" w:eastAsia="宋体" w:hint="default"/>
                <w:w w:val="100"/>
                <w:sz w:val="21"/>
                <w:szCs w:val="21"/>
              </w:rPr>
              <w:t> </w:t>
            </w:r>
            <w:r>
              <w:rPr>
                <w:rFonts w:ascii="宋体" w:hAnsi="宋体" w:cs="宋体" w:eastAsia="宋体" w:hint="default"/>
                <w:sz w:val="21"/>
                <w:szCs w:val="21"/>
              </w:rPr>
              <w:t>所</w:t>
            </w:r>
            <w:r>
              <w:rPr>
                <w:rFonts w:ascii="宋体" w:hAnsi="宋体" w:cs="宋体" w:eastAsia="宋体" w:hint="default"/>
                <w:spacing w:val="-76"/>
                <w:sz w:val="21"/>
                <w:szCs w:val="21"/>
              </w:rPr>
              <w:t> </w:t>
            </w:r>
            <w:r>
              <w:rPr>
                <w:rFonts w:ascii="宋体" w:hAnsi="宋体" w:cs="宋体" w:eastAsia="宋体" w:hint="default"/>
                <w:sz w:val="21"/>
                <w:szCs w:val="21"/>
              </w:rPr>
              <w:t>有</w:t>
            </w:r>
            <w:r>
              <w:rPr>
                <w:rFonts w:ascii="宋体" w:hAnsi="宋体" w:cs="宋体" w:eastAsia="宋体" w:hint="default"/>
                <w:spacing w:val="-76"/>
                <w:sz w:val="21"/>
                <w:szCs w:val="21"/>
              </w:rPr>
              <w:t> </w:t>
            </w:r>
            <w:r>
              <w:rPr>
                <w:rFonts w:ascii="宋体" w:hAnsi="宋体" w:cs="宋体" w:eastAsia="宋体" w:hint="default"/>
                <w:sz w:val="21"/>
                <w:szCs w:val="21"/>
              </w:rPr>
              <w:t>限</w:t>
            </w:r>
            <w:r>
              <w:rPr>
                <w:rFonts w:ascii="宋体" w:hAnsi="宋体" w:cs="宋体" w:eastAsia="宋体" w:hint="default"/>
                <w:spacing w:val="-76"/>
                <w:sz w:val="21"/>
                <w:szCs w:val="21"/>
              </w:rPr>
              <w:t> </w:t>
            </w:r>
            <w:r>
              <w:rPr>
                <w:rFonts w:ascii="宋体" w:hAnsi="宋体" w:cs="宋体" w:eastAsia="宋体" w:hint="default"/>
                <w:sz w:val="21"/>
                <w:szCs w:val="21"/>
              </w:rPr>
              <w:t>公</w:t>
            </w:r>
            <w:r>
              <w:rPr>
                <w:rFonts w:ascii="宋体" w:hAnsi="宋体" w:cs="宋体" w:eastAsia="宋体" w:hint="default"/>
                <w:spacing w:val="-73"/>
                <w:sz w:val="21"/>
                <w:szCs w:val="21"/>
              </w:rPr>
              <w:t> </w:t>
            </w:r>
            <w:r>
              <w:rPr>
                <w:rFonts w:ascii="宋体" w:hAnsi="宋体" w:cs="宋体" w:eastAsia="宋体" w:hint="default"/>
                <w:sz w:val="21"/>
                <w:szCs w:val="21"/>
              </w:rPr>
              <w:t>司</w:t>
            </w:r>
          </w:p>
          <w:p>
            <w:pPr>
              <w:pStyle w:val="TableParagraph"/>
              <w:spacing w:line="237" w:lineRule="auto"/>
              <w:ind w:left="103" w:right="99"/>
              <w:jc w:val="both"/>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76"/>
                <w:sz w:val="21"/>
                <w:szCs w:val="21"/>
              </w:rPr>
              <w:t> </w:t>
            </w:r>
            <w:r>
              <w:rPr>
                <w:rFonts w:ascii="宋体" w:hAnsi="宋体" w:cs="宋体" w:eastAsia="宋体" w:hint="default"/>
                <w:sz w:val="21"/>
                <w:szCs w:val="21"/>
              </w:rPr>
              <w:t>以</w:t>
            </w:r>
            <w:r>
              <w:rPr>
                <w:rFonts w:ascii="宋体" w:hAnsi="宋体" w:cs="宋体" w:eastAsia="宋体" w:hint="default"/>
                <w:spacing w:val="-76"/>
                <w:sz w:val="21"/>
                <w:szCs w:val="21"/>
              </w:rPr>
              <w:t> </w:t>
            </w:r>
            <w:r>
              <w:rPr>
                <w:rFonts w:ascii="宋体" w:hAnsi="宋体" w:cs="宋体" w:eastAsia="宋体" w:hint="default"/>
                <w:sz w:val="21"/>
                <w:szCs w:val="21"/>
              </w:rPr>
              <w:t>下</w:t>
            </w:r>
            <w:r>
              <w:rPr>
                <w:rFonts w:ascii="宋体" w:hAnsi="宋体" w:cs="宋体" w:eastAsia="宋体" w:hint="default"/>
                <w:spacing w:val="-76"/>
                <w:sz w:val="21"/>
                <w:szCs w:val="21"/>
              </w:rPr>
              <w:t> </w:t>
            </w:r>
            <w:r>
              <w:rPr>
                <w:rFonts w:ascii="宋体" w:hAnsi="宋体" w:cs="宋体" w:eastAsia="宋体" w:hint="default"/>
                <w:sz w:val="21"/>
                <w:szCs w:val="21"/>
              </w:rPr>
              <w:t>简</w:t>
            </w:r>
            <w:r>
              <w:rPr>
                <w:rFonts w:ascii="宋体" w:hAnsi="宋体" w:cs="宋体" w:eastAsia="宋体" w:hint="default"/>
                <w:spacing w:val="-73"/>
                <w:sz w:val="21"/>
                <w:szCs w:val="21"/>
              </w:rPr>
              <w:t> </w:t>
            </w:r>
            <w:r>
              <w:rPr>
                <w:rFonts w:ascii="宋体" w:hAnsi="宋体" w:cs="宋体" w:eastAsia="宋体" w:hint="default"/>
                <w:sz w:val="21"/>
                <w:szCs w:val="21"/>
              </w:rPr>
              <w:t>称</w:t>
            </w:r>
            <w:r>
              <w:rPr>
                <w:rFonts w:ascii="宋体" w:hAnsi="宋体" w:cs="宋体" w:eastAsia="宋体" w:hint="default"/>
                <w:w w:val="100"/>
                <w:sz w:val="21"/>
                <w:szCs w:val="21"/>
              </w:rPr>
              <w:t> </w:t>
            </w:r>
            <w:r>
              <w:rPr>
                <w:rFonts w:ascii="宋体" w:hAnsi="宋体" w:cs="宋体" w:eastAsia="宋体" w:hint="default"/>
                <w:sz w:val="21"/>
                <w:szCs w:val="21"/>
              </w:rPr>
              <w:t>“</w:t>
            </w:r>
            <w:r>
              <w:rPr>
                <w:rFonts w:ascii="宋体" w:hAnsi="宋体" w:cs="宋体" w:eastAsia="宋体" w:hint="default"/>
                <w:spacing w:val="-76"/>
                <w:sz w:val="21"/>
                <w:szCs w:val="21"/>
              </w:rPr>
              <w:t> </w:t>
            </w:r>
            <w:r>
              <w:rPr>
                <w:rFonts w:ascii="宋体" w:hAnsi="宋体" w:cs="宋体" w:eastAsia="宋体" w:hint="default"/>
                <w:sz w:val="21"/>
                <w:szCs w:val="21"/>
              </w:rPr>
              <w:t>用</w:t>
            </w:r>
            <w:r>
              <w:rPr>
                <w:rFonts w:ascii="宋体" w:hAnsi="宋体" w:cs="宋体" w:eastAsia="宋体" w:hint="default"/>
                <w:spacing w:val="-76"/>
                <w:sz w:val="21"/>
                <w:szCs w:val="21"/>
              </w:rPr>
              <w:t> </w:t>
            </w:r>
            <w:r>
              <w:rPr>
                <w:rFonts w:ascii="宋体" w:hAnsi="宋体" w:cs="宋体" w:eastAsia="宋体" w:hint="default"/>
                <w:sz w:val="21"/>
                <w:szCs w:val="21"/>
              </w:rPr>
              <w:t>友</w:t>
            </w:r>
            <w:r>
              <w:rPr>
                <w:rFonts w:ascii="宋体" w:hAnsi="宋体" w:cs="宋体" w:eastAsia="宋体" w:hint="default"/>
                <w:spacing w:val="-76"/>
                <w:sz w:val="21"/>
                <w:szCs w:val="21"/>
              </w:rPr>
              <w:t> </w:t>
            </w:r>
            <w:r>
              <w:rPr>
                <w:rFonts w:ascii="宋体" w:hAnsi="宋体" w:cs="宋体" w:eastAsia="宋体" w:hint="default"/>
                <w:sz w:val="21"/>
                <w:szCs w:val="21"/>
              </w:rPr>
              <w:t>研</w:t>
            </w:r>
            <w:r>
              <w:rPr>
                <w:rFonts w:ascii="宋体" w:hAnsi="宋体" w:cs="宋体" w:eastAsia="宋体" w:hint="default"/>
                <w:spacing w:val="-73"/>
                <w:sz w:val="21"/>
                <w:szCs w:val="21"/>
              </w:rPr>
              <w:t> </w:t>
            </w:r>
            <w:r>
              <w:rPr>
                <w:rFonts w:ascii="宋体" w:hAnsi="宋体" w:cs="宋体" w:eastAsia="宋体" w:hint="default"/>
                <w:sz w:val="21"/>
                <w:szCs w:val="21"/>
              </w:rPr>
              <w:t>究</w:t>
            </w:r>
            <w:r>
              <w:rPr>
                <w:rFonts w:ascii="宋体" w:hAnsi="宋体" w:cs="宋体" w:eastAsia="宋体" w:hint="default"/>
                <w:w w:val="100"/>
                <w:sz w:val="21"/>
                <w:szCs w:val="21"/>
              </w:rPr>
              <w:t> </w:t>
            </w:r>
            <w:r>
              <w:rPr>
                <w:rFonts w:ascii="宋体" w:hAnsi="宋体" w:cs="宋体" w:eastAsia="宋体" w:hint="default"/>
                <w:sz w:val="21"/>
                <w:szCs w:val="21"/>
              </w:rPr>
              <w:t>所”）</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both"/>
              <w:rPr>
                <w:rFonts w:ascii="宋体" w:hAnsi="宋体" w:cs="宋体" w:eastAsia="宋体" w:hint="default"/>
                <w:sz w:val="21"/>
                <w:szCs w:val="21"/>
              </w:rPr>
            </w:pPr>
            <w:r>
              <w:rPr>
                <w:rFonts w:ascii="宋体" w:hAnsi="宋体" w:cs="宋体" w:eastAsia="宋体" w:hint="default"/>
                <w:spacing w:val="-3"/>
                <w:sz w:val="21"/>
                <w:szCs w:val="21"/>
              </w:rPr>
              <w:t>技术开发、技</w:t>
            </w:r>
          </w:p>
          <w:p>
            <w:pPr>
              <w:pStyle w:val="TableParagraph"/>
              <w:spacing w:line="237" w:lineRule="auto"/>
              <w:ind w:left="103" w:right="98"/>
              <w:jc w:val="both"/>
              <w:rPr>
                <w:rFonts w:ascii="宋体" w:hAnsi="宋体" w:cs="宋体" w:eastAsia="宋体" w:hint="default"/>
                <w:sz w:val="21"/>
                <w:szCs w:val="21"/>
              </w:rPr>
            </w:pPr>
            <w:r>
              <w:rPr>
                <w:rFonts w:ascii="宋体" w:hAnsi="宋体" w:cs="宋体" w:eastAsia="宋体" w:hint="default"/>
                <w:spacing w:val="-4"/>
                <w:sz w:val="21"/>
                <w:szCs w:val="21"/>
              </w:rPr>
              <w:t>术转让、技术</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3"/>
                <w:sz w:val="21"/>
                <w:szCs w:val="21"/>
              </w:rPr>
              <w:t>咨询、技术服</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4"/>
                <w:sz w:val="21"/>
                <w:szCs w:val="21"/>
              </w:rPr>
              <w:t>务、企业管理</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3"/>
                <w:sz w:val="21"/>
                <w:szCs w:val="21"/>
              </w:rPr>
              <w:t>咨询、经济贸</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4"/>
                <w:sz w:val="21"/>
                <w:szCs w:val="21"/>
              </w:rPr>
              <w:t>易咨询、投资</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管理。</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00" w:right="0"/>
              <w:jc w:val="left"/>
              <w:rPr>
                <w:rFonts w:ascii="宋体" w:hAnsi="宋体" w:cs="宋体" w:eastAsia="宋体" w:hint="default"/>
                <w:sz w:val="21"/>
                <w:szCs w:val="21"/>
              </w:rPr>
            </w:pPr>
            <w:r>
              <w:rPr>
                <w:rFonts w:ascii="宋体"/>
                <w:sz w:val="21"/>
              </w:rPr>
              <w:t>25,000,000</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4.00%</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4.00%</w:t>
            </w:r>
          </w:p>
        </w:tc>
      </w:tr>
    </w:tbl>
    <w:p>
      <w:pPr>
        <w:pStyle w:val="BodyText"/>
        <w:spacing w:line="241" w:lineRule="exact"/>
        <w:ind w:right="99"/>
        <w:jc w:val="left"/>
      </w:pPr>
      <w:r>
        <w:rPr/>
        <w:t>企业最终控制方是上述三家主要股东的最终控制方为王文京。</w:t>
      </w:r>
    </w:p>
    <w:p>
      <w:pPr>
        <w:spacing w:line="240" w:lineRule="auto" w:before="3"/>
        <w:rPr>
          <w:rFonts w:ascii="宋体" w:hAnsi="宋体" w:cs="宋体" w:eastAsia="宋体" w:hint="default"/>
          <w:sz w:val="25"/>
          <w:szCs w:val="25"/>
        </w:rPr>
      </w:pPr>
    </w:p>
    <w:p>
      <w:pPr>
        <w:pStyle w:val="Heading3"/>
        <w:spacing w:line="240" w:lineRule="auto"/>
        <w:ind w:right="99"/>
        <w:jc w:val="left"/>
        <w:rPr>
          <w:b w:val="0"/>
          <w:bCs w:val="0"/>
        </w:rPr>
      </w:pPr>
      <w:r>
        <w:rPr>
          <w:rFonts w:ascii="宋体" w:hAnsi="宋体" w:cs="宋体" w:eastAsia="宋体" w:hint="default"/>
        </w:rPr>
        <w:t>2</w:t>
      </w:r>
      <w:r>
        <w:rPr/>
        <w:t>、</w:t>
      </w:r>
      <w:r>
        <w:rPr>
          <w:spacing w:val="5"/>
        </w:rPr>
        <w:t> </w:t>
      </w:r>
      <w:r>
        <w:rPr/>
        <w:t>本企业的子公司情况</w:t>
      </w:r>
      <w:r>
        <w:rPr>
          <w:b w:val="0"/>
          <w:bCs w:val="0"/>
        </w:rPr>
      </w:r>
    </w:p>
    <w:p>
      <w:pPr>
        <w:pStyle w:val="BodyText"/>
        <w:tabs>
          <w:tab w:pos="1060" w:val="left" w:leader="none"/>
        </w:tabs>
        <w:spacing w:line="272" w:lineRule="exact" w:before="86"/>
        <w:ind w:right="5597"/>
        <w:jc w:val="left"/>
      </w:pPr>
      <w:r>
        <w:rPr>
          <w:spacing w:val="-1"/>
        </w:rPr>
        <w:t>√适用</w:t>
        <w:tab/>
      </w:r>
      <w:r>
        <w:rPr>
          <w:spacing w:val="-2"/>
        </w:rPr>
        <w:t>□不适用</w:t>
      </w:r>
      <w:r>
        <w:rPr>
          <w:spacing w:val="-99"/>
        </w:rPr>
        <w:t> </w:t>
      </w:r>
      <w:r>
        <w:rPr>
          <w:spacing w:val="-99"/>
        </w:rPr>
      </w:r>
      <w:r>
        <w:rPr>
          <w:spacing w:val="-2"/>
        </w:rPr>
        <w:t>本企业子公司的情况详见附注九、</w:t>
      </w:r>
      <w:r>
        <w:rPr>
          <w:rFonts w:ascii="宋体" w:hAnsi="宋体" w:cs="宋体" w:eastAsia="宋体" w:hint="default"/>
          <w:spacing w:val="-2"/>
        </w:rPr>
        <w:t>1</w:t>
      </w:r>
      <w:r>
        <w:rPr>
          <w:spacing w:val="-2"/>
        </w:rPr>
        <w:t>。</w:t>
      </w:r>
    </w:p>
    <w:p>
      <w:pPr>
        <w:spacing w:line="240" w:lineRule="auto" w:before="4"/>
        <w:rPr>
          <w:rFonts w:ascii="宋体" w:hAnsi="宋体" w:cs="宋体" w:eastAsia="宋体" w:hint="default"/>
          <w:sz w:val="23"/>
          <w:szCs w:val="23"/>
        </w:rPr>
      </w:pPr>
    </w:p>
    <w:p>
      <w:pPr>
        <w:spacing w:line="290" w:lineRule="auto" w:before="0"/>
        <w:ind w:left="218" w:right="2209" w:firstLine="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r>
      <w:r>
        <w:rPr>
          <w:rFonts w:ascii="宋体" w:hAnsi="宋体" w:cs="宋体" w:eastAsia="宋体" w:hint="default"/>
          <w:b/>
          <w:bCs/>
          <w:spacing w:val="1"/>
          <w:sz w:val="21"/>
          <w:szCs w:val="21"/>
        </w:rPr>
        <w:t> </w:t>
      </w:r>
      <w:r>
        <w:rPr>
          <w:rFonts w:ascii="宋体" w:hAnsi="宋体" w:cs="宋体" w:eastAsia="宋体" w:hint="default"/>
          <w:b/>
          <w:bCs/>
          <w:sz w:val="21"/>
          <w:szCs w:val="21"/>
        </w:rPr>
        <w:t>本企业合营和联营企业情况</w:t>
      </w:r>
      <w:r>
        <w:rPr>
          <w:rFonts w:ascii="宋体" w:hAnsi="宋体" w:cs="宋体" w:eastAsia="宋体" w:hint="default"/>
          <w:b/>
          <w:bCs/>
          <w:w w:val="100"/>
          <w:sz w:val="21"/>
          <w:szCs w:val="21"/>
        </w:rPr>
        <w:t> </w:t>
      </w:r>
      <w:r>
        <w:rPr>
          <w:rFonts w:ascii="宋体" w:hAnsi="宋体" w:cs="宋体" w:eastAsia="宋体" w:hint="default"/>
          <w:spacing w:val="-2"/>
          <w:sz w:val="21"/>
          <w:szCs w:val="21"/>
        </w:rPr>
        <w:t>本企业重要的合营或联营企业详见附注九、</w:t>
      </w:r>
      <w:r>
        <w:rPr>
          <w:rFonts w:ascii="宋体" w:hAnsi="宋体" w:cs="宋体" w:eastAsia="宋体" w:hint="default"/>
          <w:spacing w:val="-2"/>
          <w:sz w:val="21"/>
          <w:szCs w:val="21"/>
        </w:rPr>
        <w:t>3</w:t>
      </w:r>
    </w:p>
    <w:p>
      <w:pPr>
        <w:pStyle w:val="BodyText"/>
        <w:spacing w:line="226" w:lineRule="exact"/>
        <w:ind w:right="99"/>
        <w:jc w:val="left"/>
      </w:pPr>
      <w:r>
        <w:rPr/>
        <w:t>√适用</w:t>
      </w:r>
      <w:r>
        <w:rPr>
          <w:spacing w:val="-1"/>
        </w:rPr>
        <w:t> </w:t>
      </w:r>
      <w:r>
        <w:rPr/>
        <w:t>□不适用</w:t>
      </w:r>
    </w:p>
    <w:p>
      <w:pPr>
        <w:pStyle w:val="BodyText"/>
        <w:spacing w:line="237" w:lineRule="auto" w:before="2"/>
        <w:ind w:right="99"/>
        <w:jc w:val="left"/>
      </w:pPr>
      <w:r>
        <w:rPr/>
        <w:t>联营企业详见附注九、</w:t>
      </w:r>
      <w:r>
        <w:rPr>
          <w:rFonts w:ascii="宋体" w:hAnsi="宋体" w:cs="宋体" w:eastAsia="宋体" w:hint="default"/>
        </w:rPr>
        <w:t>3</w:t>
      </w:r>
      <w:r>
        <w:rPr/>
        <w:t>。</w:t>
      </w:r>
      <w:r>
        <w:rPr>
          <w:w w:val="100"/>
        </w:rPr>
        <w:t> </w:t>
      </w:r>
      <w:r>
        <w:rPr>
          <w:spacing w:val="-2"/>
        </w:rPr>
        <w:t>本期与本公司发生关联方交易，或前期与本公司发生关联方交易形成余额的其他合营或联营企业</w:t>
      </w:r>
      <w:r>
        <w:rPr>
          <w:spacing w:val="-25"/>
        </w:rPr>
        <w:t> </w:t>
      </w:r>
      <w:r>
        <w:rPr>
          <w:spacing w:val="-25"/>
        </w:rPr>
      </w:r>
      <w:r>
        <w:rPr/>
        <w:t>情况如下</w:t>
      </w:r>
    </w:p>
    <w:p>
      <w:pPr>
        <w:pStyle w:val="BodyText"/>
        <w:spacing w:line="274" w:lineRule="exact" w:before="22"/>
        <w:ind w:right="7474"/>
        <w:jc w:val="left"/>
      </w:pPr>
      <w:r>
        <w:rPr/>
        <w:t>□适用</w:t>
      </w:r>
      <w:r>
        <w:rPr>
          <w:spacing w:val="-1"/>
        </w:rPr>
        <w:t> </w:t>
      </w:r>
      <w:r>
        <w:rPr/>
        <w:t>√不适用</w:t>
      </w:r>
      <w:r>
        <w:rPr>
          <w:w w:val="100"/>
        </w:rPr>
        <w:t> </w:t>
      </w:r>
      <w:r>
        <w:rPr/>
        <w:t>其他说明</w:t>
      </w:r>
    </w:p>
    <w:p>
      <w:pPr>
        <w:pStyle w:val="BodyText"/>
        <w:spacing w:line="246" w:lineRule="exact"/>
        <w:ind w:right="99"/>
        <w:jc w:val="left"/>
      </w:pPr>
      <w:r>
        <w:rPr/>
        <w:t>□适用</w:t>
      </w:r>
      <w:r>
        <w:rPr>
          <w:spacing w:val="-1"/>
        </w:rPr>
        <w:t> </w:t>
      </w:r>
      <w:r>
        <w:rPr/>
        <w:t>√不适用</w:t>
      </w:r>
    </w:p>
    <w:p>
      <w:pPr>
        <w:spacing w:after="0" w:line="246" w:lineRule="exact"/>
        <w:jc w:val="left"/>
        <w:sectPr>
          <w:footerReference w:type="default" r:id="rId84"/>
          <w:pgSz w:w="11910" w:h="16840"/>
          <w:pgMar w:footer="1195" w:header="857" w:top="1280" w:bottom="1380" w:left="1580" w:right="1040"/>
        </w:sectPr>
      </w:pPr>
    </w:p>
    <w:p>
      <w:pPr>
        <w:spacing w:line="240" w:lineRule="auto" w:before="4"/>
        <w:rPr>
          <w:rFonts w:ascii="宋体" w:hAnsi="宋体" w:cs="宋体" w:eastAsia="宋体" w:hint="default"/>
          <w:sz w:val="12"/>
          <w:szCs w:val="12"/>
        </w:rPr>
      </w:pPr>
    </w:p>
    <w:p>
      <w:pPr>
        <w:pStyle w:val="Heading3"/>
        <w:spacing w:line="240" w:lineRule="auto" w:before="36"/>
        <w:ind w:right="99"/>
        <w:jc w:val="left"/>
        <w:rPr>
          <w:b w:val="0"/>
          <w:bCs w:val="0"/>
        </w:rPr>
      </w:pPr>
      <w:r>
        <w:rPr>
          <w:rFonts w:ascii="宋体" w:hAnsi="宋体" w:cs="宋体" w:eastAsia="宋体" w:hint="default"/>
        </w:rPr>
        <w:t>4</w:t>
      </w:r>
      <w:r>
        <w:rPr/>
        <w:t>、</w:t>
      </w:r>
      <w:r>
        <w:rPr>
          <w:spacing w:val="4"/>
        </w:rPr>
        <w:t> </w:t>
      </w:r>
      <w:r>
        <w:rPr/>
        <w:t>其他关联方情况</w:t>
      </w:r>
      <w:r>
        <w:rPr>
          <w:b w:val="0"/>
          <w:bCs w:val="0"/>
        </w:rPr>
      </w:r>
    </w:p>
    <w:p>
      <w:pPr>
        <w:pStyle w:val="BodyText"/>
        <w:spacing w:line="240" w:lineRule="auto" w:before="58"/>
        <w:ind w:right="99"/>
        <w:jc w:val="left"/>
      </w:pPr>
      <w:r>
        <w:rPr/>
        <w:t>√适用</w:t>
      </w:r>
      <w:r>
        <w:rPr>
          <w:spacing w:val="-1"/>
        </w:rPr>
        <w:t> </w:t>
      </w:r>
      <w:r>
        <w:rPr/>
        <w:t>□不适用</w:t>
      </w: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980"/>
        <w:gridCol w:w="5070"/>
      </w:tblGrid>
      <w:tr>
        <w:trPr>
          <w:trHeight w:val="283"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247" w:right="0"/>
              <w:jc w:val="left"/>
              <w:rPr>
                <w:rFonts w:ascii="宋体" w:hAnsi="宋体" w:cs="宋体" w:eastAsia="宋体" w:hint="default"/>
                <w:sz w:val="21"/>
                <w:szCs w:val="21"/>
              </w:rPr>
            </w:pPr>
            <w:r>
              <w:rPr>
                <w:rFonts w:ascii="宋体" w:hAnsi="宋体" w:cs="宋体" w:eastAsia="宋体" w:hint="default"/>
                <w:sz w:val="21"/>
                <w:szCs w:val="21"/>
              </w:rPr>
              <w:t>其他关联方名称</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373" w:right="0"/>
              <w:jc w:val="left"/>
              <w:rPr>
                <w:rFonts w:ascii="宋体" w:hAnsi="宋体" w:cs="宋体" w:eastAsia="宋体" w:hint="default"/>
                <w:sz w:val="21"/>
                <w:szCs w:val="21"/>
              </w:rPr>
            </w:pPr>
            <w:r>
              <w:rPr>
                <w:rFonts w:ascii="宋体" w:hAnsi="宋体" w:cs="宋体" w:eastAsia="宋体" w:hint="default"/>
                <w:sz w:val="21"/>
                <w:szCs w:val="21"/>
              </w:rPr>
              <w:t>其他关联方与本企业关系</w:t>
            </w:r>
          </w:p>
        </w:tc>
      </w:tr>
      <w:tr>
        <w:trPr>
          <w:trHeight w:val="554"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北京红橘科技有限公司</w:t>
            </w:r>
            <w:r>
              <w:rPr>
                <w:rFonts w:ascii="宋体" w:hAnsi="宋体" w:cs="宋体" w:eastAsia="宋体" w:hint="default"/>
                <w:sz w:val="21"/>
                <w:szCs w:val="21"/>
              </w:rPr>
              <w:t>(</w:t>
            </w:r>
            <w:r>
              <w:rPr>
                <w:rFonts w:ascii="宋体" w:hAnsi="宋体" w:cs="宋体" w:eastAsia="宋体" w:hint="default"/>
                <w:sz w:val="21"/>
                <w:szCs w:val="21"/>
              </w:rPr>
              <w:t>以下简称”红橘</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科技”)</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本公司关键管理人员施加重大影响的公司</w:t>
            </w:r>
          </w:p>
        </w:tc>
      </w:tr>
      <w:tr>
        <w:trPr>
          <w:trHeight w:val="554"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北京红邸餐饮文化有限公司</w:t>
            </w:r>
            <w:r>
              <w:rPr>
                <w:rFonts w:ascii="宋体" w:hAnsi="宋体" w:cs="宋体" w:eastAsia="宋体" w:hint="default"/>
                <w:sz w:val="21"/>
                <w:szCs w:val="21"/>
              </w:rPr>
              <w:t>(</w:t>
            </w:r>
            <w:r>
              <w:rPr>
                <w:rFonts w:ascii="宋体" w:hAnsi="宋体" w:cs="宋体" w:eastAsia="宋体" w:hint="default"/>
                <w:sz w:val="21"/>
                <w:szCs w:val="21"/>
              </w:rPr>
              <w:t>以下简称”</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红邸餐饮”)</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本公司关键管理人员施加重大影响的公司</w:t>
            </w:r>
          </w:p>
        </w:tc>
      </w:tr>
      <w:tr>
        <w:trPr>
          <w:trHeight w:val="283"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北京伟库</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受用友研究所控制的公司</w:t>
            </w:r>
          </w:p>
        </w:tc>
      </w:tr>
    </w:tbl>
    <w:p>
      <w:pPr>
        <w:spacing w:line="240" w:lineRule="auto" w:before="2"/>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footerReference w:type="default" r:id="rId85"/>
          <w:pgSz w:w="11910" w:h="16840"/>
          <w:pgMar w:footer="1195" w:header="857" w:top="1280" w:bottom="1380" w:left="1580" w:right="1040"/>
          <w:pgNumType w:start="181"/>
        </w:sectPr>
      </w:pPr>
    </w:p>
    <w:p>
      <w:pPr>
        <w:pStyle w:val="Heading3"/>
        <w:spacing w:line="240" w:lineRule="auto" w:before="36"/>
        <w:ind w:right="-18"/>
        <w:jc w:val="left"/>
        <w:rPr>
          <w:b w:val="0"/>
          <w:bCs w:val="0"/>
        </w:rPr>
      </w:pPr>
      <w:r>
        <w:rPr>
          <w:rFonts w:ascii="宋体" w:hAnsi="宋体" w:cs="宋体" w:eastAsia="宋体" w:hint="default"/>
        </w:rPr>
        <w:t>5</w:t>
      </w:r>
      <w:r>
        <w:rPr/>
        <w:t>、</w:t>
      </w:r>
      <w:r>
        <w:rPr>
          <w:spacing w:val="4"/>
        </w:rPr>
        <w:t> </w:t>
      </w:r>
      <w:r>
        <w:rPr/>
        <w:t>关联交易情况</w:t>
      </w:r>
      <w:r>
        <w:rPr>
          <w:b w:val="0"/>
          <w:bCs w:val="0"/>
        </w:rPr>
      </w:r>
    </w:p>
    <w:p>
      <w:pPr>
        <w:spacing w:line="290" w:lineRule="auto" w:before="56"/>
        <w:ind w:left="218" w:right="-18" w:firstLine="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pacing w:val="87"/>
          <w:sz w:val="21"/>
          <w:szCs w:val="21"/>
        </w:rPr>
        <w:t> </w:t>
      </w:r>
      <w:r>
        <w:rPr>
          <w:rFonts w:ascii="宋体" w:hAnsi="宋体" w:cs="宋体" w:eastAsia="宋体" w:hint="default"/>
          <w:b/>
          <w:bCs/>
          <w:sz w:val="21"/>
          <w:szCs w:val="21"/>
        </w:rPr>
        <w:t>购销商品、提供和接受劳务的关联交易</w:t>
      </w:r>
      <w:r>
        <w:rPr>
          <w:rFonts w:ascii="宋体" w:hAnsi="宋体" w:cs="宋体" w:eastAsia="宋体" w:hint="default"/>
          <w:b/>
          <w:bCs/>
          <w:w w:val="100"/>
          <w:sz w:val="21"/>
          <w:szCs w:val="21"/>
        </w:rPr>
        <w:t> </w:t>
      </w:r>
      <w:r>
        <w:rPr>
          <w:rFonts w:ascii="宋体" w:hAnsi="宋体" w:cs="宋体" w:eastAsia="宋体" w:hint="default"/>
          <w:sz w:val="21"/>
          <w:szCs w:val="21"/>
        </w:rPr>
        <w:t>采购商品</w:t>
      </w:r>
      <w:r>
        <w:rPr>
          <w:rFonts w:ascii="宋体" w:hAnsi="宋体" w:cs="宋体" w:eastAsia="宋体" w:hint="default"/>
          <w:sz w:val="21"/>
          <w:szCs w:val="21"/>
        </w:rPr>
        <w:t>/</w:t>
      </w:r>
      <w:r>
        <w:rPr>
          <w:rFonts w:ascii="宋体" w:hAnsi="宋体" w:cs="宋体" w:eastAsia="宋体" w:hint="default"/>
          <w:sz w:val="21"/>
          <w:szCs w:val="21"/>
        </w:rPr>
        <w:t>接受劳务情况表</w:t>
      </w:r>
    </w:p>
    <w:p>
      <w:pPr>
        <w:pStyle w:val="BodyText"/>
        <w:spacing w:line="229" w:lineRule="exact"/>
        <w:ind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4421" w:space="2312"/>
            <w:col w:w="2557"/>
          </w:cols>
        </w:sectPr>
      </w:pPr>
    </w:p>
    <w:p>
      <w:pPr>
        <w:spacing w:line="240" w:lineRule="auto" w:before="7"/>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2425"/>
        <w:gridCol w:w="2143"/>
        <w:gridCol w:w="2170"/>
        <w:gridCol w:w="2158"/>
      </w:tblGrid>
      <w:tr>
        <w:trPr>
          <w:trHeight w:val="305" w:hRule="exact"/>
        </w:trPr>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4" w:right="0"/>
              <w:jc w:val="center"/>
              <w:rPr>
                <w:rFonts w:ascii="宋体" w:hAnsi="宋体" w:cs="宋体" w:eastAsia="宋体" w:hint="default"/>
                <w:sz w:val="21"/>
                <w:szCs w:val="21"/>
              </w:rPr>
            </w:pPr>
            <w:r>
              <w:rPr>
                <w:rFonts w:ascii="宋体" w:hAnsi="宋体" w:cs="宋体" w:eastAsia="宋体" w:hint="default"/>
                <w:sz w:val="21"/>
                <w:szCs w:val="21"/>
              </w:rPr>
              <w:t>关联方</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434" w:right="0"/>
              <w:jc w:val="left"/>
              <w:rPr>
                <w:rFonts w:ascii="宋体" w:hAnsi="宋体" w:cs="宋体" w:eastAsia="宋体" w:hint="default"/>
                <w:sz w:val="21"/>
                <w:szCs w:val="21"/>
              </w:rPr>
            </w:pPr>
            <w:r>
              <w:rPr>
                <w:rFonts w:ascii="宋体" w:hAnsi="宋体" w:cs="宋体" w:eastAsia="宋体" w:hint="default"/>
                <w:sz w:val="21"/>
                <w:szCs w:val="21"/>
              </w:rPr>
              <w:t>关联交易内容</w:t>
            </w:r>
          </w:p>
        </w:tc>
        <w:tc>
          <w:tcPr>
            <w:tcW w:w="2170"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552"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547"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83" w:hRule="exact"/>
        </w:trPr>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红邸餐饮</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购买商品和接受劳务</w:t>
            </w:r>
          </w:p>
        </w:tc>
        <w:tc>
          <w:tcPr>
            <w:tcW w:w="2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2,940,757</w:t>
            </w:r>
          </w:p>
        </w:tc>
        <w:tc>
          <w:tcPr>
            <w:tcW w:w="2158"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智联友道</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购买商品和接受劳务</w:t>
            </w:r>
          </w:p>
        </w:tc>
        <w:tc>
          <w:tcPr>
            <w:tcW w:w="2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669,402</w:t>
            </w:r>
          </w:p>
        </w:tc>
        <w:tc>
          <w:tcPr>
            <w:tcW w:w="215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西玛国正</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购买商品和接受劳务</w:t>
            </w:r>
          </w:p>
        </w:tc>
        <w:tc>
          <w:tcPr>
            <w:tcW w:w="2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105,198</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sz w:val="21"/>
              </w:rPr>
              <w:t>67,883</w:t>
            </w:r>
          </w:p>
        </w:tc>
      </w:tr>
      <w:tr>
        <w:trPr>
          <w:trHeight w:val="283" w:hRule="exact"/>
        </w:trPr>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购买商品和接受劳务</w:t>
            </w:r>
          </w:p>
        </w:tc>
        <w:tc>
          <w:tcPr>
            <w:tcW w:w="2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342,348</w:t>
            </w:r>
          </w:p>
        </w:tc>
        <w:tc>
          <w:tcPr>
            <w:tcW w:w="2158"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425" w:type="dxa"/>
            <w:tcBorders>
              <w:top w:val="single" w:sz="4" w:space="0" w:color="000000"/>
              <w:left w:val="single" w:sz="4" w:space="0" w:color="000000"/>
              <w:bottom w:val="single" w:sz="4" w:space="0" w:color="000000"/>
              <w:right w:val="single" w:sz="4" w:space="0" w:color="000000"/>
            </w:tcBorders>
          </w:tcPr>
          <w:p>
            <w:pPr/>
          </w:p>
        </w:tc>
        <w:tc>
          <w:tcPr>
            <w:tcW w:w="2143" w:type="dxa"/>
            <w:tcBorders>
              <w:top w:val="single" w:sz="4" w:space="0" w:color="000000"/>
              <w:left w:val="single" w:sz="4" w:space="0" w:color="000000"/>
              <w:bottom w:val="single" w:sz="4" w:space="0" w:color="000000"/>
              <w:right w:val="single" w:sz="4" w:space="0" w:color="000000"/>
            </w:tcBorders>
          </w:tcPr>
          <w:p>
            <w:pPr/>
          </w:p>
        </w:tc>
        <w:tc>
          <w:tcPr>
            <w:tcW w:w="2170"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425" w:type="dxa"/>
            <w:tcBorders>
              <w:top w:val="single" w:sz="4" w:space="0" w:color="000000"/>
              <w:left w:val="single" w:sz="4" w:space="0" w:color="000000"/>
              <w:bottom w:val="single" w:sz="4" w:space="0" w:color="000000"/>
              <w:right w:val="single" w:sz="4" w:space="0" w:color="000000"/>
            </w:tcBorders>
          </w:tcPr>
          <w:p>
            <w:pPr/>
          </w:p>
        </w:tc>
        <w:tc>
          <w:tcPr>
            <w:tcW w:w="2143" w:type="dxa"/>
            <w:tcBorders>
              <w:top w:val="single" w:sz="4" w:space="0" w:color="000000"/>
              <w:left w:val="single" w:sz="4" w:space="0" w:color="000000"/>
              <w:bottom w:val="single" w:sz="4" w:space="0" w:color="000000"/>
              <w:right w:val="single" w:sz="4" w:space="0" w:color="000000"/>
            </w:tcBorders>
          </w:tcPr>
          <w:p>
            <w:pPr/>
          </w:p>
        </w:tc>
        <w:tc>
          <w:tcPr>
            <w:tcW w:w="2170"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type w:val="continuous"/>
          <w:pgSz w:w="11910" w:h="16840"/>
          <w:pgMar w:top="1320" w:bottom="1380" w:left="1580" w:right="1040"/>
        </w:sectPr>
      </w:pPr>
    </w:p>
    <w:p>
      <w:pPr>
        <w:pStyle w:val="BodyText"/>
        <w:spacing w:line="273" w:lineRule="exact" w:before="36"/>
        <w:ind w:right="0"/>
        <w:jc w:val="left"/>
      </w:pPr>
      <w:r>
        <w:rPr>
          <w:spacing w:val="-2"/>
        </w:rPr>
        <w:t>出售商品</w:t>
      </w:r>
      <w:r>
        <w:rPr>
          <w:rFonts w:ascii="宋体" w:hAnsi="宋体" w:cs="宋体" w:eastAsia="宋体" w:hint="default"/>
          <w:spacing w:val="-2"/>
        </w:rPr>
        <w:t>/</w:t>
      </w:r>
      <w:r>
        <w:rPr>
          <w:spacing w:val="-2"/>
        </w:rPr>
        <w:t>提供劳务情况表</w:t>
      </w:r>
    </w:p>
    <w:p>
      <w:pPr>
        <w:pStyle w:val="BodyText"/>
        <w:spacing w:line="273" w:lineRule="exact"/>
        <w:ind w:right="0"/>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5"/>
        <w:rPr>
          <w:rFonts w:ascii="宋体" w:hAnsi="宋体" w:cs="宋体" w:eastAsia="宋体" w:hint="default"/>
          <w:sz w:val="24"/>
          <w:szCs w:val="24"/>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2636" w:space="4097"/>
            <w:col w:w="2557"/>
          </w:cols>
        </w:sectPr>
      </w:pPr>
    </w:p>
    <w:p>
      <w:pPr>
        <w:spacing w:line="240" w:lineRule="auto" w:before="4"/>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2417"/>
        <w:gridCol w:w="2122"/>
        <w:gridCol w:w="2177"/>
        <w:gridCol w:w="2180"/>
      </w:tblGrid>
      <w:tr>
        <w:trPr>
          <w:trHeight w:val="283" w:hRule="exact"/>
        </w:trPr>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 w:right="0"/>
              <w:jc w:val="center"/>
              <w:rPr>
                <w:rFonts w:ascii="宋体" w:hAnsi="宋体" w:cs="宋体" w:eastAsia="宋体" w:hint="default"/>
                <w:sz w:val="21"/>
                <w:szCs w:val="21"/>
              </w:rPr>
            </w:pPr>
            <w:r>
              <w:rPr>
                <w:rFonts w:ascii="宋体" w:hAnsi="宋体" w:cs="宋体" w:eastAsia="宋体" w:hint="default"/>
                <w:sz w:val="21"/>
                <w:szCs w:val="21"/>
              </w:rPr>
              <w:t>关联方</w:t>
            </w:r>
          </w:p>
        </w:tc>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24" w:right="0"/>
              <w:jc w:val="left"/>
              <w:rPr>
                <w:rFonts w:ascii="宋体" w:hAnsi="宋体" w:cs="宋体" w:eastAsia="宋体" w:hint="default"/>
                <w:sz w:val="21"/>
                <w:szCs w:val="21"/>
              </w:rPr>
            </w:pPr>
            <w:r>
              <w:rPr>
                <w:rFonts w:ascii="宋体" w:hAnsi="宋体" w:cs="宋体" w:eastAsia="宋体" w:hint="default"/>
                <w:sz w:val="21"/>
                <w:szCs w:val="21"/>
              </w:rPr>
              <w:t>关联交易内容</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57"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57"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83" w:hRule="exact"/>
        </w:trPr>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用友融联</w:t>
            </w:r>
          </w:p>
        </w:tc>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出售商品和提供劳务</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16,513,256</w:t>
            </w:r>
          </w:p>
        </w:tc>
        <w:tc>
          <w:tcPr>
            <w:tcW w:w="218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中关村银行</w:t>
            </w:r>
          </w:p>
        </w:tc>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出售商品和提供劳务</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8,831,285</w:t>
            </w:r>
          </w:p>
        </w:tc>
        <w:tc>
          <w:tcPr>
            <w:tcW w:w="2180"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汉唐信通</w:t>
            </w:r>
          </w:p>
        </w:tc>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出售商品和提供劳务</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4,769,811</w:t>
            </w:r>
          </w:p>
        </w:tc>
        <w:tc>
          <w:tcPr>
            <w:tcW w:w="218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民太安公估</w:t>
            </w:r>
          </w:p>
        </w:tc>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出售商品和提供劳务</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298,973</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198" w:right="0"/>
              <w:jc w:val="left"/>
              <w:rPr>
                <w:rFonts w:ascii="宋体" w:hAnsi="宋体" w:cs="宋体" w:eastAsia="宋体" w:hint="default"/>
                <w:sz w:val="21"/>
                <w:szCs w:val="21"/>
              </w:rPr>
            </w:pPr>
            <w:r>
              <w:rPr>
                <w:rFonts w:ascii="宋体"/>
                <w:sz w:val="21"/>
              </w:rPr>
              <w:t>1,346,273</w:t>
            </w:r>
          </w:p>
        </w:tc>
      </w:tr>
      <w:tr>
        <w:trPr>
          <w:trHeight w:val="283" w:hRule="exact"/>
        </w:trPr>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出售商品和提供劳务</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967,670</w:t>
            </w:r>
          </w:p>
        </w:tc>
        <w:tc>
          <w:tcPr>
            <w:tcW w:w="2180"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417" w:type="dxa"/>
            <w:tcBorders>
              <w:top w:val="single" w:sz="4" w:space="0" w:color="000000"/>
              <w:left w:val="single" w:sz="4" w:space="0" w:color="000000"/>
              <w:bottom w:val="single" w:sz="4" w:space="0" w:color="000000"/>
              <w:right w:val="single" w:sz="4" w:space="0" w:color="000000"/>
            </w:tcBorders>
          </w:tcPr>
          <w:p>
            <w:pPr/>
          </w:p>
        </w:tc>
        <w:tc>
          <w:tcPr>
            <w:tcW w:w="2122" w:type="dxa"/>
            <w:tcBorders>
              <w:top w:val="single" w:sz="4" w:space="0" w:color="000000"/>
              <w:left w:val="single" w:sz="4" w:space="0" w:color="000000"/>
              <w:bottom w:val="single" w:sz="4" w:space="0" w:color="000000"/>
              <w:right w:val="single" w:sz="4" w:space="0" w:color="000000"/>
            </w:tcBorders>
          </w:tcPr>
          <w:p>
            <w:pPr/>
          </w:p>
        </w:tc>
        <w:tc>
          <w:tcPr>
            <w:tcW w:w="2177" w:type="dxa"/>
            <w:tcBorders>
              <w:top w:val="single" w:sz="4" w:space="0" w:color="000000"/>
              <w:left w:val="single" w:sz="4" w:space="0" w:color="000000"/>
              <w:bottom w:val="single" w:sz="4" w:space="0" w:color="000000"/>
              <w:right w:val="single" w:sz="4" w:space="0" w:color="000000"/>
            </w:tcBorders>
          </w:tcPr>
          <w:p>
            <w:pPr/>
          </w:p>
        </w:tc>
        <w:tc>
          <w:tcPr>
            <w:tcW w:w="218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8"/>
        <w:rPr>
          <w:rFonts w:ascii="宋体" w:hAnsi="宋体" w:cs="宋体" w:eastAsia="宋体" w:hint="default"/>
          <w:sz w:val="15"/>
          <w:szCs w:val="15"/>
        </w:rPr>
      </w:pPr>
    </w:p>
    <w:p>
      <w:pPr>
        <w:pStyle w:val="BodyText"/>
        <w:spacing w:line="273" w:lineRule="exact" w:before="36"/>
        <w:ind w:right="99"/>
        <w:jc w:val="left"/>
      </w:pPr>
      <w:r>
        <w:rPr/>
        <w:t>购销商品、提供和接受劳务的关联交易说明</w:t>
      </w:r>
    </w:p>
    <w:p>
      <w:pPr>
        <w:pStyle w:val="BodyText"/>
        <w:spacing w:line="273" w:lineRule="exact"/>
        <w:ind w:right="99"/>
        <w:jc w:val="left"/>
      </w:pPr>
      <w:r>
        <w:rPr/>
        <w:t>□适用</w:t>
      </w:r>
      <w:r>
        <w:rPr>
          <w:spacing w:val="-1"/>
        </w:rPr>
        <w:t> </w:t>
      </w:r>
      <w:r>
        <w:rPr/>
        <w:t>√不适用</w:t>
      </w:r>
    </w:p>
    <w:p>
      <w:pPr>
        <w:spacing w:line="240" w:lineRule="auto" w:before="3"/>
        <w:rPr>
          <w:rFonts w:ascii="宋体" w:hAnsi="宋体" w:cs="宋体" w:eastAsia="宋体" w:hint="default"/>
          <w:sz w:val="25"/>
          <w:szCs w:val="25"/>
        </w:rPr>
      </w:pPr>
    </w:p>
    <w:p>
      <w:pPr>
        <w:spacing w:line="273" w:lineRule="auto" w:before="0"/>
        <w:ind w:left="218" w:right="4634"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pacing w:val="89"/>
          <w:sz w:val="21"/>
          <w:szCs w:val="21"/>
        </w:rPr>
        <w:t> </w:t>
      </w:r>
      <w:r>
        <w:rPr>
          <w:rFonts w:ascii="宋体" w:hAnsi="宋体" w:cs="宋体" w:eastAsia="宋体" w:hint="default"/>
          <w:b/>
          <w:bCs/>
          <w:sz w:val="21"/>
          <w:szCs w:val="21"/>
        </w:rPr>
        <w:t>关联受托管理</w:t>
      </w:r>
      <w:r>
        <w:rPr>
          <w:rFonts w:ascii="Cambria" w:hAnsi="Cambria" w:cs="Cambria" w:eastAsia="Cambria" w:hint="default"/>
          <w:b/>
          <w:bCs/>
          <w:sz w:val="21"/>
          <w:szCs w:val="21"/>
        </w:rPr>
        <w:t>/</w:t>
      </w:r>
      <w:r>
        <w:rPr>
          <w:rFonts w:ascii="宋体" w:hAnsi="宋体" w:cs="宋体" w:eastAsia="宋体" w:hint="default"/>
          <w:b/>
          <w:bCs/>
          <w:sz w:val="21"/>
          <w:szCs w:val="21"/>
        </w:rPr>
        <w:t>承包及委托管理</w:t>
      </w:r>
      <w:r>
        <w:rPr>
          <w:rFonts w:ascii="Cambria" w:hAnsi="Cambria" w:cs="Cambria" w:eastAsia="Cambria" w:hint="default"/>
          <w:b/>
          <w:bCs/>
          <w:sz w:val="21"/>
          <w:szCs w:val="21"/>
        </w:rPr>
        <w:t>/</w:t>
      </w:r>
      <w:r>
        <w:rPr>
          <w:rFonts w:ascii="宋体" w:hAnsi="宋体" w:cs="宋体" w:eastAsia="宋体" w:hint="default"/>
          <w:b/>
          <w:bCs/>
          <w:sz w:val="21"/>
          <w:szCs w:val="21"/>
        </w:rPr>
        <w:t>出包情况</w:t>
      </w:r>
      <w:r>
        <w:rPr>
          <w:rFonts w:ascii="宋体" w:hAnsi="宋体" w:cs="宋体" w:eastAsia="宋体" w:hint="default"/>
          <w:b/>
          <w:bCs/>
          <w:w w:val="100"/>
          <w:sz w:val="21"/>
          <w:szCs w:val="21"/>
        </w:rPr>
        <w:t> </w:t>
      </w:r>
      <w:r>
        <w:rPr>
          <w:rFonts w:ascii="宋体" w:hAnsi="宋体" w:cs="宋体" w:eastAsia="宋体" w:hint="default"/>
          <w:sz w:val="21"/>
          <w:szCs w:val="21"/>
        </w:rPr>
        <w:t>本公司受托管理</w:t>
      </w:r>
      <w:r>
        <w:rPr>
          <w:rFonts w:ascii="宋体" w:hAnsi="宋体" w:cs="宋体" w:eastAsia="宋体" w:hint="default"/>
          <w:sz w:val="21"/>
          <w:szCs w:val="21"/>
        </w:rPr>
        <w:t>/</w:t>
      </w:r>
      <w:r>
        <w:rPr>
          <w:rFonts w:ascii="宋体" w:hAnsi="宋体" w:cs="宋体" w:eastAsia="宋体" w:hint="default"/>
          <w:sz w:val="21"/>
          <w:szCs w:val="21"/>
        </w:rPr>
        <w:t>承包情况表：</w:t>
      </w:r>
    </w:p>
    <w:p>
      <w:pPr>
        <w:pStyle w:val="BodyText"/>
        <w:spacing w:line="241" w:lineRule="exact"/>
        <w:ind w:right="99"/>
        <w:jc w:val="left"/>
      </w:pPr>
      <w:r>
        <w:rPr/>
        <w:t>□适用</w:t>
      </w:r>
      <w:r>
        <w:rPr>
          <w:spacing w:val="-1"/>
        </w:rPr>
        <w:t> </w:t>
      </w:r>
      <w:r>
        <w:rPr/>
        <w:t>√不适用</w:t>
      </w:r>
    </w:p>
    <w:p>
      <w:pPr>
        <w:pStyle w:val="BodyText"/>
        <w:spacing w:line="272" w:lineRule="exact"/>
        <w:ind w:right="99"/>
        <w:jc w:val="left"/>
      </w:pPr>
      <w:r>
        <w:rPr/>
        <w:t>关联托管</w:t>
      </w:r>
      <w:r>
        <w:rPr>
          <w:rFonts w:ascii="宋体" w:hAnsi="宋体" w:cs="宋体" w:eastAsia="宋体" w:hint="default"/>
        </w:rPr>
        <w:t>/</w:t>
      </w:r>
      <w:r>
        <w:rPr/>
        <w:t>承包情况说明</w:t>
      </w:r>
    </w:p>
    <w:p>
      <w:pPr>
        <w:pStyle w:val="BodyText"/>
        <w:spacing w:line="273" w:lineRule="exact"/>
        <w:ind w:right="99"/>
        <w:jc w:val="left"/>
      </w:pPr>
      <w:r>
        <w:rPr/>
        <w:t>□适用</w:t>
      </w:r>
      <w:r>
        <w:rPr>
          <w:spacing w:val="-1"/>
        </w:rPr>
        <w:t> </w:t>
      </w:r>
      <w:r>
        <w:rPr/>
        <w:t>√不适用</w:t>
      </w:r>
    </w:p>
    <w:p>
      <w:pPr>
        <w:spacing w:line="240" w:lineRule="auto" w:before="8"/>
        <w:rPr>
          <w:rFonts w:ascii="宋体" w:hAnsi="宋体" w:cs="宋体" w:eastAsia="宋体" w:hint="default"/>
          <w:sz w:val="20"/>
          <w:szCs w:val="20"/>
        </w:rPr>
      </w:pPr>
    </w:p>
    <w:p>
      <w:pPr>
        <w:pStyle w:val="BodyText"/>
        <w:spacing w:line="274" w:lineRule="exact"/>
        <w:ind w:right="99"/>
        <w:jc w:val="left"/>
      </w:pPr>
      <w:r>
        <w:rPr/>
        <w:t>本公司委托管理</w:t>
      </w:r>
      <w:r>
        <w:rPr>
          <w:rFonts w:ascii="宋体" w:hAnsi="宋体" w:cs="宋体" w:eastAsia="宋体" w:hint="default"/>
        </w:rPr>
        <w:t>/</w:t>
      </w:r>
      <w:r>
        <w:rPr/>
        <w:t>出包情况表：</w:t>
      </w:r>
    </w:p>
    <w:p>
      <w:pPr>
        <w:pStyle w:val="BodyText"/>
        <w:spacing w:line="272" w:lineRule="exact" w:before="27"/>
        <w:ind w:right="6820"/>
        <w:jc w:val="left"/>
      </w:pPr>
      <w:r>
        <w:rPr/>
        <w:t>□适用</w:t>
      </w:r>
      <w:r>
        <w:rPr>
          <w:spacing w:val="-2"/>
        </w:rPr>
        <w:t> </w:t>
      </w:r>
      <w:r>
        <w:rPr/>
        <w:t>√不适用</w:t>
      </w:r>
      <w:r>
        <w:rPr>
          <w:w w:val="100"/>
        </w:rPr>
        <w:t> </w:t>
      </w:r>
      <w:r>
        <w:rPr>
          <w:spacing w:val="-2"/>
        </w:rPr>
        <w:t>关联管理</w:t>
      </w:r>
      <w:r>
        <w:rPr>
          <w:rFonts w:ascii="宋体" w:hAnsi="宋体" w:cs="宋体" w:eastAsia="宋体" w:hint="default"/>
          <w:spacing w:val="-2"/>
        </w:rPr>
        <w:t>/</w:t>
      </w:r>
      <w:r>
        <w:rPr>
          <w:spacing w:val="-2"/>
        </w:rPr>
        <w:t>出包情况说明</w:t>
      </w:r>
    </w:p>
    <w:p>
      <w:pPr>
        <w:pStyle w:val="BodyText"/>
        <w:spacing w:line="249" w:lineRule="exact"/>
        <w:ind w:right="99"/>
        <w:jc w:val="left"/>
      </w:pPr>
      <w:r>
        <w:rPr/>
        <w:t>□适用</w:t>
      </w:r>
      <w:r>
        <w:rPr>
          <w:spacing w:val="-1"/>
        </w:rPr>
        <w:t> </w:t>
      </w:r>
      <w:r>
        <w:rPr/>
        <w:t>√不适用</w:t>
      </w:r>
    </w:p>
    <w:p>
      <w:pPr>
        <w:spacing w:after="0" w:line="249" w:lineRule="exact"/>
        <w:jc w:val="left"/>
        <w:sectPr>
          <w:type w:val="continuous"/>
          <w:pgSz w:w="11910" w:h="16840"/>
          <w:pgMar w:top="1320" w:bottom="1380" w:left="1580" w:right="1040"/>
        </w:sectPr>
      </w:pPr>
    </w:p>
    <w:p>
      <w:pPr>
        <w:spacing w:line="240" w:lineRule="auto" w:before="4"/>
        <w:rPr>
          <w:rFonts w:ascii="宋体" w:hAnsi="宋体" w:cs="宋体" w:eastAsia="宋体" w:hint="default"/>
          <w:sz w:val="12"/>
          <w:szCs w:val="12"/>
        </w:rPr>
      </w:pPr>
    </w:p>
    <w:p>
      <w:pPr>
        <w:spacing w:after="0" w:line="240" w:lineRule="auto"/>
        <w:rPr>
          <w:rFonts w:ascii="宋体" w:hAnsi="宋体" w:cs="宋体" w:eastAsia="宋体" w:hint="default"/>
          <w:sz w:val="12"/>
          <w:szCs w:val="12"/>
        </w:rPr>
        <w:sectPr>
          <w:pgSz w:w="11910" w:h="16840"/>
          <w:pgMar w:header="857" w:footer="1195" w:top="1280" w:bottom="1380" w:left="1580" w:right="1040"/>
        </w:sectPr>
      </w:pPr>
    </w:p>
    <w:p>
      <w:pPr>
        <w:spacing w:line="290" w:lineRule="auto" w:before="36"/>
        <w:ind w:left="218" w:right="-10" w:firstLine="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pacing w:val="89"/>
          <w:sz w:val="21"/>
          <w:szCs w:val="21"/>
        </w:rPr>
        <w:t> </w:t>
      </w:r>
      <w:r>
        <w:rPr>
          <w:rFonts w:ascii="宋体" w:hAnsi="宋体" w:cs="宋体" w:eastAsia="宋体" w:hint="default"/>
          <w:b/>
          <w:bCs/>
          <w:sz w:val="21"/>
          <w:szCs w:val="21"/>
        </w:rPr>
        <w:t>关联租赁情况</w:t>
      </w:r>
      <w:r>
        <w:rPr>
          <w:rFonts w:ascii="宋体" w:hAnsi="宋体" w:cs="宋体" w:eastAsia="宋体" w:hint="default"/>
          <w:b/>
          <w:bCs/>
          <w:w w:val="100"/>
          <w:sz w:val="21"/>
          <w:szCs w:val="21"/>
        </w:rPr>
        <w:t> </w:t>
      </w:r>
      <w:r>
        <w:rPr>
          <w:rFonts w:ascii="宋体" w:hAnsi="宋体" w:cs="宋体" w:eastAsia="宋体" w:hint="default"/>
          <w:spacing w:val="-1"/>
          <w:sz w:val="21"/>
          <w:szCs w:val="21"/>
        </w:rPr>
        <w:t>本公司作为出租方：</w:t>
      </w:r>
    </w:p>
    <w:p>
      <w:pPr>
        <w:pStyle w:val="BodyText"/>
        <w:spacing w:line="227" w:lineRule="exact"/>
        <w:ind w:right="-10"/>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2112" w:space="4621"/>
            <w:col w:w="2557"/>
          </w:cols>
        </w:sectPr>
      </w:pPr>
    </w:p>
    <w:p>
      <w:pPr>
        <w:spacing w:line="240" w:lineRule="auto" w:before="4"/>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1776"/>
        <w:gridCol w:w="1983"/>
        <w:gridCol w:w="2463"/>
        <w:gridCol w:w="2674"/>
      </w:tblGrid>
      <w:tr>
        <w:trPr>
          <w:trHeight w:val="348"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57" w:right="0"/>
              <w:jc w:val="left"/>
              <w:rPr>
                <w:rFonts w:ascii="宋体" w:hAnsi="宋体" w:cs="宋体" w:eastAsia="宋体" w:hint="default"/>
                <w:sz w:val="21"/>
                <w:szCs w:val="21"/>
              </w:rPr>
            </w:pPr>
            <w:r>
              <w:rPr>
                <w:rFonts w:ascii="宋体" w:hAnsi="宋体" w:cs="宋体" w:eastAsia="宋体" w:hint="default"/>
                <w:sz w:val="21"/>
                <w:szCs w:val="21"/>
              </w:rPr>
              <w:t>承租方名称</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租赁资产种类</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80" w:right="0"/>
              <w:jc w:val="left"/>
              <w:rPr>
                <w:rFonts w:ascii="宋体" w:hAnsi="宋体" w:cs="宋体" w:eastAsia="宋体" w:hint="default"/>
                <w:sz w:val="21"/>
                <w:szCs w:val="21"/>
              </w:rPr>
            </w:pPr>
            <w:r>
              <w:rPr>
                <w:rFonts w:ascii="宋体" w:hAnsi="宋体" w:cs="宋体" w:eastAsia="宋体" w:hint="default"/>
                <w:sz w:val="21"/>
                <w:szCs w:val="21"/>
              </w:rPr>
              <w:t>本期确认的租赁收入</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84" w:right="0"/>
              <w:jc w:val="left"/>
              <w:rPr>
                <w:rFonts w:ascii="宋体" w:hAnsi="宋体" w:cs="宋体" w:eastAsia="宋体" w:hint="default"/>
                <w:sz w:val="21"/>
                <w:szCs w:val="21"/>
              </w:rPr>
            </w:pPr>
            <w:r>
              <w:rPr>
                <w:rFonts w:ascii="宋体" w:hAnsi="宋体" w:cs="宋体" w:eastAsia="宋体" w:hint="default"/>
                <w:sz w:val="21"/>
                <w:szCs w:val="21"/>
              </w:rPr>
              <w:t>上期确认的租赁收入</w:t>
            </w:r>
          </w:p>
        </w:tc>
      </w:tr>
      <w:tr>
        <w:trPr>
          <w:trHeight w:val="283"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中驰车福</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用友软件园办公用房</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3,478,799</w:t>
            </w:r>
          </w:p>
        </w:tc>
        <w:tc>
          <w:tcPr>
            <w:tcW w:w="2674"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智联友道</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用友软件园办公用房</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890,588</w:t>
            </w:r>
          </w:p>
        </w:tc>
        <w:tc>
          <w:tcPr>
            <w:tcW w:w="2674"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红橘科技</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用友软件园办公用房</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855,000</w:t>
            </w:r>
          </w:p>
        </w:tc>
        <w:tc>
          <w:tcPr>
            <w:tcW w:w="2674"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北京伟库</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用友软件园办公用房</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406,770</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570,886</w:t>
            </w:r>
          </w:p>
        </w:tc>
      </w:tr>
      <w:tr>
        <w:trPr>
          <w:trHeight w:val="283"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随锐科技</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用友软件园办公用房</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394,520</w:t>
            </w:r>
          </w:p>
        </w:tc>
        <w:tc>
          <w:tcPr>
            <w:tcW w:w="2674"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中企永联</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用友软件园办公用房</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293,627</w:t>
            </w:r>
          </w:p>
        </w:tc>
        <w:tc>
          <w:tcPr>
            <w:tcW w:w="2674"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北京同联</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用友软件园办公用房</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179,415</w:t>
            </w:r>
          </w:p>
        </w:tc>
        <w:tc>
          <w:tcPr>
            <w:tcW w:w="2674"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用友研究所</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用友软件园办公用房</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125,040</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sz w:val="21"/>
              </w:rPr>
              <w:t>83,054</w:t>
            </w:r>
          </w:p>
        </w:tc>
      </w:tr>
      <w:tr>
        <w:trPr>
          <w:trHeight w:val="283" w:hRule="exact"/>
        </w:trPr>
        <w:tc>
          <w:tcPr>
            <w:tcW w:w="1776"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463" w:type="dxa"/>
            <w:tcBorders>
              <w:top w:val="single" w:sz="4" w:space="0" w:color="000000"/>
              <w:left w:val="single" w:sz="4" w:space="0" w:color="000000"/>
              <w:bottom w:val="single" w:sz="4" w:space="0" w:color="000000"/>
              <w:right w:val="single" w:sz="4" w:space="0" w:color="000000"/>
            </w:tcBorders>
          </w:tcPr>
          <w:p>
            <w:pPr/>
          </w:p>
        </w:tc>
        <w:tc>
          <w:tcPr>
            <w:tcW w:w="267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7"/>
        <w:rPr>
          <w:rFonts w:ascii="宋体" w:hAnsi="宋体" w:cs="宋体" w:eastAsia="宋体" w:hint="default"/>
          <w:sz w:val="15"/>
          <w:szCs w:val="15"/>
        </w:rPr>
      </w:pPr>
    </w:p>
    <w:p>
      <w:pPr>
        <w:pStyle w:val="BodyText"/>
        <w:spacing w:line="273" w:lineRule="exact" w:before="36"/>
        <w:ind w:right="99"/>
        <w:jc w:val="left"/>
      </w:pPr>
      <w:r>
        <w:rPr/>
        <w:t>本公司作为承租方：</w:t>
      </w:r>
    </w:p>
    <w:p>
      <w:pPr>
        <w:pStyle w:val="BodyText"/>
        <w:spacing w:line="240" w:lineRule="auto"/>
        <w:ind w:right="7383"/>
        <w:jc w:val="left"/>
      </w:pPr>
      <w:r>
        <w:rPr/>
        <w:t>□适用</w:t>
      </w:r>
      <w:r>
        <w:rPr>
          <w:spacing w:val="-2"/>
        </w:rPr>
        <w:t> </w:t>
      </w:r>
      <w:r>
        <w:rPr/>
        <w:t>√不适用</w:t>
      </w:r>
      <w:r>
        <w:rPr>
          <w:w w:val="100"/>
        </w:rPr>
        <w:t> </w:t>
      </w:r>
      <w:r>
        <w:rPr>
          <w:spacing w:val="-2"/>
        </w:rPr>
        <w:t>关联租赁情况说明</w:t>
      </w:r>
    </w:p>
    <w:p>
      <w:pPr>
        <w:pStyle w:val="BodyText"/>
        <w:spacing w:line="271" w:lineRule="exact"/>
        <w:ind w:right="99"/>
        <w:jc w:val="left"/>
      </w:pPr>
      <w:r>
        <w:rPr/>
        <w:t>□适用</w:t>
      </w:r>
      <w:r>
        <w:rPr>
          <w:spacing w:val="-1"/>
        </w:rPr>
        <w:t> </w:t>
      </w:r>
      <w:r>
        <w:rPr/>
        <w:t>√不适用</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type w:val="continuous"/>
          <w:pgSz w:w="11910" w:h="16840"/>
          <w:pgMar w:top="1320" w:bottom="1380" w:left="1580" w:right="1040"/>
        </w:sectPr>
      </w:pPr>
    </w:p>
    <w:p>
      <w:pPr>
        <w:spacing w:line="290" w:lineRule="auto" w:before="36"/>
        <w:ind w:left="218" w:right="-10" w:firstLine="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pacing w:val="89"/>
          <w:sz w:val="21"/>
          <w:szCs w:val="21"/>
        </w:rPr>
        <w:t> </w:t>
      </w:r>
      <w:r>
        <w:rPr>
          <w:rFonts w:ascii="宋体" w:hAnsi="宋体" w:cs="宋体" w:eastAsia="宋体" w:hint="default"/>
          <w:b/>
          <w:bCs/>
          <w:sz w:val="21"/>
          <w:szCs w:val="21"/>
        </w:rPr>
        <w:t>关联担保情况</w:t>
      </w:r>
      <w:r>
        <w:rPr>
          <w:rFonts w:ascii="宋体" w:hAnsi="宋体" w:cs="宋体" w:eastAsia="宋体" w:hint="default"/>
          <w:b/>
          <w:bCs/>
          <w:w w:val="100"/>
          <w:sz w:val="21"/>
          <w:szCs w:val="21"/>
        </w:rPr>
        <w:t> </w:t>
      </w:r>
      <w:r>
        <w:rPr>
          <w:rFonts w:ascii="宋体" w:hAnsi="宋体" w:cs="宋体" w:eastAsia="宋体" w:hint="default"/>
          <w:sz w:val="21"/>
          <w:szCs w:val="21"/>
        </w:rPr>
        <w:t>本公司作为担保方</w:t>
      </w:r>
    </w:p>
    <w:p>
      <w:pPr>
        <w:pStyle w:val="BodyText"/>
        <w:spacing w:line="227" w:lineRule="exact"/>
        <w:ind w:right="-10"/>
        <w:jc w:val="left"/>
      </w:pPr>
      <w:r>
        <w:rPr/>
        <w:t>□适用</w:t>
      </w:r>
      <w:r>
        <w:rPr>
          <w:spacing w:val="-1"/>
        </w:rPr>
        <w:t> </w:t>
      </w:r>
      <w:r>
        <w:rPr/>
        <w:t>√不适用</w:t>
      </w:r>
    </w:p>
    <w:p>
      <w:pPr>
        <w:pStyle w:val="BodyText"/>
        <w:spacing w:line="273" w:lineRule="exact"/>
        <w:ind w:right="-8"/>
        <w:jc w:val="left"/>
      </w:pPr>
      <w:r>
        <w:rPr>
          <w:spacing w:val="-1"/>
        </w:rPr>
        <w:t>本公司作为被担保方</w:t>
      </w:r>
    </w:p>
    <w:p>
      <w:pPr>
        <w:pStyle w:val="BodyText"/>
        <w:spacing w:line="273" w:lineRule="exact"/>
        <w:ind w:right="-10"/>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51"/>
        <w:ind w:right="0"/>
        <w:jc w:val="left"/>
      </w:pPr>
      <w:r>
        <w:rPr/>
        <w:t>单位：元币种：人民币</w:t>
      </w:r>
    </w:p>
    <w:p>
      <w:pPr>
        <w:spacing w:after="0" w:line="240" w:lineRule="auto"/>
        <w:jc w:val="left"/>
        <w:sectPr>
          <w:type w:val="continuous"/>
          <w:pgSz w:w="11910" w:h="16840"/>
          <w:pgMar w:top="1320" w:bottom="1380" w:left="1580" w:right="1040"/>
          <w:cols w:num="2" w:equalWidth="0">
            <w:col w:w="2112" w:space="4621"/>
            <w:col w:w="2557"/>
          </w:cols>
        </w:sectPr>
      </w:pPr>
    </w:p>
    <w:p>
      <w:pPr>
        <w:spacing w:line="240" w:lineRule="auto" w:before="4"/>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1284"/>
        <w:gridCol w:w="1429"/>
        <w:gridCol w:w="2000"/>
        <w:gridCol w:w="2002"/>
        <w:gridCol w:w="2182"/>
      </w:tblGrid>
      <w:tr>
        <w:trPr>
          <w:trHeight w:val="283" w:hRule="exact"/>
        </w:trPr>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21" w:right="0"/>
              <w:jc w:val="left"/>
              <w:rPr>
                <w:rFonts w:ascii="宋体" w:hAnsi="宋体" w:cs="宋体" w:eastAsia="宋体" w:hint="default"/>
                <w:sz w:val="21"/>
                <w:szCs w:val="21"/>
              </w:rPr>
            </w:pPr>
            <w:r>
              <w:rPr>
                <w:rFonts w:ascii="宋体" w:hAnsi="宋体" w:cs="宋体" w:eastAsia="宋体" w:hint="default"/>
                <w:sz w:val="21"/>
                <w:szCs w:val="21"/>
              </w:rPr>
              <w:t>担保方</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87" w:right="0"/>
              <w:jc w:val="left"/>
              <w:rPr>
                <w:rFonts w:ascii="宋体" w:hAnsi="宋体" w:cs="宋体" w:eastAsia="宋体" w:hint="default"/>
                <w:sz w:val="21"/>
                <w:szCs w:val="21"/>
              </w:rPr>
            </w:pPr>
            <w:r>
              <w:rPr>
                <w:rFonts w:ascii="宋体" w:hAnsi="宋体" w:cs="宋体" w:eastAsia="宋体" w:hint="default"/>
                <w:sz w:val="21"/>
                <w:szCs w:val="21"/>
              </w:rPr>
              <w:t>担保金额</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67" w:right="0"/>
              <w:jc w:val="left"/>
              <w:rPr>
                <w:rFonts w:ascii="宋体" w:hAnsi="宋体" w:cs="宋体" w:eastAsia="宋体" w:hint="default"/>
                <w:sz w:val="21"/>
                <w:szCs w:val="21"/>
              </w:rPr>
            </w:pPr>
            <w:r>
              <w:rPr>
                <w:rFonts w:ascii="宋体" w:hAnsi="宋体" w:cs="宋体" w:eastAsia="宋体" w:hint="default"/>
                <w:sz w:val="21"/>
                <w:szCs w:val="21"/>
              </w:rPr>
              <w:t>担保起始日</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67" w:right="0"/>
              <w:jc w:val="left"/>
              <w:rPr>
                <w:rFonts w:ascii="宋体" w:hAnsi="宋体" w:cs="宋体" w:eastAsia="宋体" w:hint="default"/>
                <w:sz w:val="21"/>
                <w:szCs w:val="21"/>
              </w:rPr>
            </w:pPr>
            <w:r>
              <w:rPr>
                <w:rFonts w:ascii="宋体" w:hAnsi="宋体" w:cs="宋体" w:eastAsia="宋体" w:hint="default"/>
                <w:sz w:val="21"/>
                <w:szCs w:val="21"/>
              </w:rPr>
              <w:t>担保到期日</w:t>
            </w:r>
          </w:p>
        </w:tc>
        <w:tc>
          <w:tcPr>
            <w:tcW w:w="21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担保是否已经履行完毕</w:t>
            </w:r>
          </w:p>
        </w:tc>
      </w:tr>
      <w:tr>
        <w:trPr>
          <w:trHeight w:val="281" w:hRule="exact"/>
        </w:trPr>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用友科技</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7" w:right="0"/>
              <w:jc w:val="left"/>
              <w:rPr>
                <w:rFonts w:ascii="宋体" w:hAnsi="宋体" w:cs="宋体" w:eastAsia="宋体" w:hint="default"/>
                <w:sz w:val="21"/>
                <w:szCs w:val="21"/>
              </w:rPr>
            </w:pPr>
            <w:r>
              <w:rPr>
                <w:rFonts w:ascii="宋体"/>
                <w:sz w:val="21"/>
              </w:rPr>
              <w:t>200,000,000</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21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用友科技</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7" w:right="0"/>
              <w:jc w:val="left"/>
              <w:rPr>
                <w:rFonts w:ascii="宋体" w:hAnsi="宋体" w:cs="宋体" w:eastAsia="宋体" w:hint="default"/>
                <w:sz w:val="21"/>
                <w:szCs w:val="21"/>
              </w:rPr>
            </w:pPr>
            <w:r>
              <w:rPr>
                <w:rFonts w:ascii="宋体"/>
                <w:sz w:val="21"/>
              </w:rPr>
              <w:t>200,000,000</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21</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21</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21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用友科技</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7" w:right="0"/>
              <w:jc w:val="left"/>
              <w:rPr>
                <w:rFonts w:ascii="宋体" w:hAnsi="宋体" w:cs="宋体" w:eastAsia="宋体" w:hint="default"/>
                <w:sz w:val="21"/>
                <w:szCs w:val="21"/>
              </w:rPr>
            </w:pPr>
            <w:r>
              <w:rPr>
                <w:rFonts w:ascii="宋体"/>
                <w:sz w:val="21"/>
              </w:rPr>
              <w:t>100,000,000</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21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1" w:hRule="exact"/>
        </w:trPr>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用友科技</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7" w:right="0"/>
              <w:jc w:val="left"/>
              <w:rPr>
                <w:rFonts w:ascii="宋体" w:hAnsi="宋体" w:cs="宋体" w:eastAsia="宋体" w:hint="default"/>
                <w:sz w:val="21"/>
                <w:szCs w:val="21"/>
              </w:rPr>
            </w:pPr>
            <w:r>
              <w:rPr>
                <w:rFonts w:ascii="宋体"/>
                <w:sz w:val="21"/>
              </w:rPr>
              <w:t>300,000,000</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21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用友科技</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7" w:right="0"/>
              <w:jc w:val="left"/>
              <w:rPr>
                <w:rFonts w:ascii="宋体" w:hAnsi="宋体" w:cs="宋体" w:eastAsia="宋体" w:hint="default"/>
                <w:sz w:val="21"/>
                <w:szCs w:val="21"/>
              </w:rPr>
            </w:pPr>
            <w:r>
              <w:rPr>
                <w:rFonts w:ascii="宋体"/>
                <w:sz w:val="21"/>
              </w:rPr>
              <w:t>100,000,000</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13</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21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1" w:hRule="exact"/>
        </w:trPr>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用友科技</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7" w:right="0"/>
              <w:jc w:val="left"/>
              <w:rPr>
                <w:rFonts w:ascii="宋体" w:hAnsi="宋体" w:cs="宋体" w:eastAsia="宋体" w:hint="default"/>
                <w:sz w:val="21"/>
                <w:szCs w:val="21"/>
              </w:rPr>
            </w:pPr>
            <w:r>
              <w:rPr>
                <w:rFonts w:ascii="宋体"/>
                <w:sz w:val="21"/>
              </w:rPr>
              <w:t>300,000,000</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26</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26</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21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用友科技</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7" w:right="0"/>
              <w:jc w:val="left"/>
              <w:rPr>
                <w:rFonts w:ascii="宋体" w:hAnsi="宋体" w:cs="宋体" w:eastAsia="宋体" w:hint="default"/>
                <w:sz w:val="21"/>
                <w:szCs w:val="21"/>
              </w:rPr>
            </w:pPr>
            <w:r>
              <w:rPr>
                <w:rFonts w:ascii="宋体"/>
                <w:sz w:val="21"/>
              </w:rPr>
              <w:t>200,000,000</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2"/>
              <w:jc w:val="righ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3"/>
              <w:jc w:val="righ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21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4" w:hRule="exact"/>
        </w:trPr>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用友科技</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7" w:right="0"/>
              <w:jc w:val="left"/>
              <w:rPr>
                <w:rFonts w:ascii="宋体" w:hAnsi="宋体" w:cs="宋体" w:eastAsia="宋体" w:hint="default"/>
                <w:sz w:val="21"/>
                <w:szCs w:val="21"/>
              </w:rPr>
            </w:pPr>
            <w:r>
              <w:rPr>
                <w:rFonts w:ascii="宋体"/>
                <w:sz w:val="21"/>
              </w:rPr>
              <w:t>100,000,000</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21</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21</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1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w w:val="100"/>
                <w:sz w:val="21"/>
                <w:szCs w:val="21"/>
              </w:rPr>
              <w:t>否</w:t>
            </w:r>
          </w:p>
        </w:tc>
      </w:tr>
    </w:tbl>
    <w:p>
      <w:pPr>
        <w:spacing w:line="240" w:lineRule="auto" w:before="5"/>
        <w:rPr>
          <w:rFonts w:ascii="宋体" w:hAnsi="宋体" w:cs="宋体" w:eastAsia="宋体" w:hint="default"/>
          <w:sz w:val="15"/>
          <w:szCs w:val="15"/>
        </w:rPr>
      </w:pPr>
    </w:p>
    <w:p>
      <w:pPr>
        <w:pStyle w:val="BodyText"/>
        <w:spacing w:line="274" w:lineRule="exact" w:before="36"/>
        <w:ind w:right="99"/>
        <w:jc w:val="left"/>
      </w:pPr>
      <w:r>
        <w:rPr/>
        <w:t>关联担保情况说明</w:t>
      </w:r>
    </w:p>
    <w:p>
      <w:pPr>
        <w:pStyle w:val="BodyText"/>
        <w:spacing w:line="274" w:lineRule="exact"/>
        <w:ind w:right="99"/>
        <w:jc w:val="left"/>
      </w:pPr>
      <w:r>
        <w:rPr/>
        <w:t>□适用</w:t>
      </w:r>
      <w:r>
        <w:rPr>
          <w:spacing w:val="-1"/>
        </w:rPr>
        <w:t> </w:t>
      </w:r>
      <w:r>
        <w:rPr/>
        <w:t>√不适用</w:t>
      </w:r>
    </w:p>
    <w:p>
      <w:pPr>
        <w:spacing w:line="240" w:lineRule="auto" w:before="7"/>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type w:val="continuous"/>
          <w:pgSz w:w="11910" w:h="16840"/>
          <w:pgMar w:top="1320" w:bottom="1380" w:left="1580" w:right="1040"/>
        </w:sectPr>
      </w:pPr>
    </w:p>
    <w:p>
      <w:pPr>
        <w:pStyle w:val="Heading3"/>
        <w:spacing w:line="240" w:lineRule="auto" w:before="36"/>
        <w:ind w:right="-18"/>
        <w:jc w:val="left"/>
        <w:rPr>
          <w:b w:val="0"/>
          <w:bCs w:val="0"/>
        </w:rPr>
      </w:pPr>
      <w:r>
        <w:rPr>
          <w:rFonts w:ascii="宋体" w:hAnsi="宋体" w:cs="宋体" w:eastAsia="宋体" w:hint="default"/>
        </w:rPr>
        <w:t>(5).</w:t>
      </w:r>
      <w:r>
        <w:rPr>
          <w:rFonts w:ascii="宋体" w:hAnsi="宋体" w:cs="宋体" w:eastAsia="宋体" w:hint="default"/>
          <w:spacing w:val="89"/>
        </w:rPr>
        <w:t> </w:t>
      </w:r>
      <w:r>
        <w:rPr/>
        <w:t>关联方资金拆借</w:t>
      </w:r>
      <w:r>
        <w:rPr>
          <w:b w:val="0"/>
          <w:bCs w:val="0"/>
        </w:rPr>
      </w:r>
    </w:p>
    <w:p>
      <w:pPr>
        <w:pStyle w:val="BodyText"/>
        <w:spacing w:line="240" w:lineRule="auto" w:before="58"/>
        <w:ind w:right="-18"/>
        <w:jc w:val="left"/>
      </w:pPr>
      <w:r>
        <w:rPr/>
        <w:t>□适用</w:t>
      </w:r>
      <w:r>
        <w:rPr>
          <w:spacing w:val="-1"/>
        </w:rPr>
        <w:t> </w:t>
      </w:r>
      <w:r>
        <w:rPr/>
        <w:t>√不适用</w:t>
      </w:r>
    </w:p>
    <w:p>
      <w:pPr>
        <w:pStyle w:val="Heading3"/>
        <w:spacing w:line="240" w:lineRule="auto" w:before="56"/>
        <w:ind w:right="-18"/>
        <w:jc w:val="left"/>
        <w:rPr>
          <w:b w:val="0"/>
          <w:bCs w:val="0"/>
        </w:rPr>
      </w:pPr>
      <w:r>
        <w:rPr>
          <w:rFonts w:ascii="宋体" w:hAnsi="宋体" w:cs="宋体" w:eastAsia="宋体" w:hint="default"/>
        </w:rPr>
        <w:t>(6).</w:t>
      </w:r>
      <w:r>
        <w:rPr>
          <w:rFonts w:ascii="宋体" w:hAnsi="宋体" w:cs="宋体" w:eastAsia="宋体" w:hint="default"/>
          <w:spacing w:val="86"/>
        </w:rPr>
        <w:t> </w:t>
      </w:r>
      <w:r>
        <w:rPr/>
        <w:t>关联方资产转让、债务重组情况</w:t>
      </w:r>
      <w:r>
        <w:rPr>
          <w:b w:val="0"/>
          <w:bCs w:val="0"/>
        </w:rPr>
      </w:r>
    </w:p>
    <w:p>
      <w:pPr>
        <w:pStyle w:val="BodyText"/>
        <w:spacing w:line="240" w:lineRule="auto" w:before="58"/>
        <w:ind w:right="-18"/>
        <w:jc w:val="left"/>
      </w:pPr>
      <w:r>
        <w:rPr/>
        <w:t>□适用</w:t>
      </w:r>
      <w:r>
        <w:rPr>
          <w:spacing w:val="-1"/>
        </w:rPr>
        <w:t> </w:t>
      </w:r>
      <w:r>
        <w:rPr/>
        <w:t>√不适用</w:t>
      </w:r>
    </w:p>
    <w:p>
      <w:pPr>
        <w:pStyle w:val="Heading3"/>
        <w:spacing w:line="240" w:lineRule="auto" w:before="56"/>
        <w:ind w:right="-18"/>
        <w:jc w:val="left"/>
        <w:rPr>
          <w:b w:val="0"/>
          <w:bCs w:val="0"/>
        </w:rPr>
      </w:pPr>
      <w:r>
        <w:rPr>
          <w:rFonts w:ascii="宋体" w:hAnsi="宋体" w:cs="宋体" w:eastAsia="宋体" w:hint="default"/>
        </w:rPr>
        <w:t>(7).</w:t>
      </w:r>
      <w:r>
        <w:rPr>
          <w:rFonts w:ascii="宋体" w:hAnsi="宋体" w:cs="宋体" w:eastAsia="宋体" w:hint="default"/>
          <w:spacing w:val="89"/>
        </w:rPr>
        <w:t> </w:t>
      </w:r>
      <w:r>
        <w:rPr/>
        <w:t>关键管理人员报酬</w:t>
      </w:r>
      <w:r>
        <w:rPr>
          <w:b w:val="0"/>
          <w:bCs w:val="0"/>
        </w:rPr>
      </w:r>
    </w:p>
    <w:p>
      <w:pPr>
        <w:pStyle w:val="BodyText"/>
        <w:spacing w:line="240" w:lineRule="auto" w:before="56"/>
        <w:ind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39"/>
        <w:ind w:right="0"/>
        <w:jc w:val="left"/>
      </w:pPr>
      <w:r>
        <w:rPr/>
        <w:t>单位：元币种：人民币</w:t>
      </w:r>
    </w:p>
    <w:p>
      <w:pPr>
        <w:spacing w:after="0" w:line="240" w:lineRule="auto"/>
        <w:jc w:val="left"/>
        <w:sectPr>
          <w:type w:val="continuous"/>
          <w:pgSz w:w="11910" w:h="16840"/>
          <w:pgMar w:top="1320" w:bottom="1380" w:left="1580" w:right="1040"/>
          <w:cols w:num="2" w:equalWidth="0">
            <w:col w:w="3787" w:space="2945"/>
            <w:col w:w="2558"/>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274"/>
        <w:gridCol w:w="3274"/>
        <w:gridCol w:w="2501"/>
      </w:tblGrid>
      <w:tr>
        <w:trPr>
          <w:trHeight w:val="283" w:hRule="exact"/>
        </w:trPr>
        <w:tc>
          <w:tcPr>
            <w:tcW w:w="327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27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720"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bl>
    <w:p>
      <w:pPr>
        <w:spacing w:after="0" w:line="243" w:lineRule="exact"/>
        <w:jc w:val="left"/>
        <w:rPr>
          <w:rFonts w:ascii="宋体" w:hAnsi="宋体" w:cs="宋体" w:eastAsia="宋体" w:hint="default"/>
          <w:sz w:val="21"/>
          <w:szCs w:val="21"/>
        </w:rPr>
        <w:sectPr>
          <w:type w:val="continuous"/>
          <w:pgSz w:w="11910" w:h="16840"/>
          <w:pgMar w:top="1320" w:bottom="1380" w:left="1580" w:right="1040"/>
        </w:sectPr>
      </w:pPr>
    </w:p>
    <w:p>
      <w:pPr>
        <w:spacing w:line="240" w:lineRule="auto" w:before="9"/>
        <w:rPr>
          <w:rFonts w:ascii="宋体" w:hAnsi="宋体" w:cs="宋体" w:eastAsia="宋体" w:hint="default"/>
          <w:sz w:val="17"/>
          <w:szCs w:val="17"/>
        </w:rPr>
      </w:pPr>
    </w:p>
    <w:tbl>
      <w:tblPr>
        <w:tblW w:w="0" w:type="auto"/>
        <w:jc w:val="left"/>
        <w:tblInd w:w="105" w:type="dxa"/>
        <w:tblLayout w:type="fixed"/>
        <w:tblCellMar>
          <w:top w:w="0" w:type="dxa"/>
          <w:left w:w="0" w:type="dxa"/>
          <w:bottom w:w="0" w:type="dxa"/>
          <w:right w:w="0" w:type="dxa"/>
        </w:tblCellMar>
        <w:tblLook w:val="01E0"/>
      </w:tblPr>
      <w:tblGrid>
        <w:gridCol w:w="3274"/>
        <w:gridCol w:w="3274"/>
        <w:gridCol w:w="2501"/>
      </w:tblGrid>
      <w:tr>
        <w:trPr>
          <w:trHeight w:val="284" w:hRule="exact"/>
        </w:trPr>
        <w:tc>
          <w:tcPr>
            <w:tcW w:w="3274"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关键管理人员报酬</w:t>
            </w:r>
          </w:p>
        </w:tc>
        <w:tc>
          <w:tcPr>
            <w:tcW w:w="3274"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2110" w:right="0"/>
              <w:jc w:val="left"/>
              <w:rPr>
                <w:rFonts w:ascii="宋体" w:hAnsi="宋体" w:cs="宋体" w:eastAsia="宋体" w:hint="default"/>
                <w:sz w:val="21"/>
                <w:szCs w:val="21"/>
              </w:rPr>
            </w:pPr>
            <w:r>
              <w:rPr>
                <w:rFonts w:ascii="宋体"/>
                <w:sz w:val="21"/>
              </w:rPr>
              <w:t>30,362,624</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337" w:right="0"/>
              <w:jc w:val="left"/>
              <w:rPr>
                <w:rFonts w:ascii="宋体" w:hAnsi="宋体" w:cs="宋体" w:eastAsia="宋体" w:hint="default"/>
                <w:sz w:val="21"/>
                <w:szCs w:val="21"/>
              </w:rPr>
            </w:pPr>
            <w:r>
              <w:rPr>
                <w:rFonts w:ascii="宋体"/>
                <w:sz w:val="21"/>
              </w:rPr>
              <w:t>26,322,024</w:t>
            </w:r>
          </w:p>
        </w:tc>
      </w:tr>
      <w:tr>
        <w:trPr>
          <w:trHeight w:val="283" w:hRule="exact"/>
        </w:trPr>
        <w:tc>
          <w:tcPr>
            <w:tcW w:w="3274" w:type="dxa"/>
            <w:tcBorders>
              <w:top w:val="single" w:sz="4" w:space="0" w:color="000000"/>
              <w:left w:val="single" w:sz="4" w:space="0" w:color="000000"/>
              <w:bottom w:val="single" w:sz="4" w:space="0" w:color="000000"/>
              <w:right w:val="single" w:sz="4" w:space="0" w:color="000000"/>
            </w:tcBorders>
          </w:tcPr>
          <w:p>
            <w:pPr/>
          </w:p>
        </w:tc>
        <w:tc>
          <w:tcPr>
            <w:tcW w:w="3274"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274" w:type="dxa"/>
            <w:tcBorders>
              <w:top w:val="single" w:sz="4" w:space="0" w:color="000000"/>
              <w:left w:val="single" w:sz="4" w:space="0" w:color="000000"/>
              <w:bottom w:val="single" w:sz="4" w:space="0" w:color="000000"/>
              <w:right w:val="single" w:sz="4" w:space="0" w:color="000000"/>
            </w:tcBorders>
          </w:tcPr>
          <w:p>
            <w:pPr/>
          </w:p>
        </w:tc>
        <w:tc>
          <w:tcPr>
            <w:tcW w:w="3274"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274" w:type="dxa"/>
            <w:tcBorders>
              <w:top w:val="single" w:sz="4" w:space="0" w:color="000000"/>
              <w:left w:val="single" w:sz="4" w:space="0" w:color="000000"/>
              <w:bottom w:val="single" w:sz="4" w:space="0" w:color="000000"/>
              <w:right w:val="single" w:sz="4" w:space="0" w:color="000000"/>
            </w:tcBorders>
          </w:tcPr>
          <w:p>
            <w:pPr/>
          </w:p>
        </w:tc>
        <w:tc>
          <w:tcPr>
            <w:tcW w:w="3274"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7"/>
        <w:rPr>
          <w:rFonts w:ascii="宋体" w:hAnsi="宋体" w:cs="宋体" w:eastAsia="宋体" w:hint="default"/>
          <w:sz w:val="15"/>
          <w:szCs w:val="15"/>
        </w:rPr>
      </w:pPr>
    </w:p>
    <w:p>
      <w:pPr>
        <w:pStyle w:val="BodyText"/>
        <w:spacing w:line="272" w:lineRule="exact" w:before="64"/>
        <w:ind w:right="99"/>
        <w:jc w:val="left"/>
      </w:pPr>
      <w:r>
        <w:rPr>
          <w:spacing w:val="-2"/>
        </w:rPr>
        <w:t>董事、监事及关键管理人员的年度报酬总额包括基本工资、奖金及各项补贴。该报酬总额包括本</w:t>
      </w:r>
      <w:r>
        <w:rPr>
          <w:spacing w:val="-25"/>
        </w:rPr>
        <w:t> </w:t>
      </w:r>
      <w:r>
        <w:rPr>
          <w:spacing w:val="-25"/>
        </w:rPr>
      </w:r>
      <w:r>
        <w:rPr/>
        <w:t>集团为其代扣代缴的个人所得税。</w:t>
      </w:r>
    </w:p>
    <w:p>
      <w:pPr>
        <w:spacing w:line="240" w:lineRule="auto" w:before="4"/>
        <w:rPr>
          <w:rFonts w:ascii="宋体" w:hAnsi="宋体" w:cs="宋体" w:eastAsia="宋体" w:hint="default"/>
          <w:sz w:val="23"/>
          <w:szCs w:val="23"/>
        </w:rPr>
      </w:pPr>
    </w:p>
    <w:p>
      <w:pPr>
        <w:pStyle w:val="Heading3"/>
        <w:spacing w:line="240" w:lineRule="auto"/>
        <w:ind w:right="99"/>
        <w:jc w:val="left"/>
        <w:rPr>
          <w:b w:val="0"/>
          <w:bCs w:val="0"/>
        </w:rPr>
      </w:pPr>
      <w:r>
        <w:rPr>
          <w:rFonts w:ascii="宋体" w:hAnsi="宋体" w:cs="宋体" w:eastAsia="宋体" w:hint="default"/>
        </w:rPr>
        <w:t>(8).</w:t>
      </w:r>
      <w:r>
        <w:rPr>
          <w:rFonts w:ascii="宋体" w:hAnsi="宋体" w:cs="宋体" w:eastAsia="宋体" w:hint="default"/>
          <w:spacing w:val="89"/>
        </w:rPr>
        <w:t> </w:t>
      </w:r>
      <w:r>
        <w:rPr/>
        <w:t>其他关联交易</w:t>
      </w:r>
      <w:r>
        <w:rPr>
          <w:b w:val="0"/>
          <w:bCs w:val="0"/>
        </w:rPr>
      </w:r>
    </w:p>
    <w:p>
      <w:pPr>
        <w:pStyle w:val="BodyText"/>
        <w:tabs>
          <w:tab w:pos="1060" w:val="left" w:leader="none"/>
        </w:tabs>
        <w:spacing w:line="240" w:lineRule="auto" w:before="58"/>
        <w:ind w:right="99"/>
        <w:jc w:val="left"/>
      </w:pPr>
      <w:r>
        <w:rPr>
          <w:spacing w:val="-1"/>
        </w:rPr>
        <w:t>□适用</w:t>
        <w:tab/>
      </w:r>
      <w:r>
        <w:rPr>
          <w:spacing w:val="-2"/>
        </w:rPr>
        <w:t>√不适用</w:t>
      </w:r>
    </w:p>
    <w:p>
      <w:pPr>
        <w:spacing w:line="240" w:lineRule="auto" w:before="4"/>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57" w:footer="1195" w:top="1280" w:bottom="1380" w:left="1580" w:right="1040"/>
        </w:sectPr>
      </w:pPr>
    </w:p>
    <w:p>
      <w:pPr>
        <w:pStyle w:val="Heading3"/>
        <w:spacing w:line="290" w:lineRule="auto" w:before="36"/>
        <w:ind w:right="-20"/>
        <w:jc w:val="left"/>
        <w:rPr>
          <w:b w:val="0"/>
          <w:bCs w:val="0"/>
        </w:rPr>
      </w:pPr>
      <w:r>
        <w:rPr>
          <w:rFonts w:ascii="宋体" w:hAnsi="宋体" w:cs="宋体" w:eastAsia="宋体" w:hint="default"/>
        </w:rPr>
        <w:t>6</w:t>
      </w:r>
      <w:r>
        <w:rPr/>
        <w:t>、</w:t>
      </w:r>
      <w:r>
        <w:rPr>
          <w:spacing w:val="5"/>
        </w:rPr>
        <w:t> </w:t>
      </w:r>
      <w:r>
        <w:rPr/>
        <w:t>关联方应收应付款项</w:t>
      </w:r>
      <w:r>
        <w:rPr>
          <w:w w:val="100"/>
        </w:rPr>
        <w:t> </w:t>
      </w:r>
      <w:r>
        <w:rPr>
          <w:rFonts w:ascii="宋体" w:hAnsi="宋体" w:cs="宋体" w:eastAsia="宋体" w:hint="default"/>
        </w:rPr>
        <w:t>(1).</w:t>
      </w:r>
      <w:r>
        <w:rPr>
          <w:rFonts w:ascii="宋体" w:hAnsi="宋体" w:cs="宋体" w:eastAsia="宋体" w:hint="default"/>
          <w:spacing w:val="88"/>
        </w:rPr>
        <w:t> </w:t>
      </w:r>
      <w:r>
        <w:rPr/>
        <w:t>应收项目</w:t>
      </w:r>
      <w:r>
        <w:rPr>
          <w:b w:val="0"/>
          <w:bCs w:val="0"/>
        </w:rPr>
      </w:r>
    </w:p>
    <w:p>
      <w:pPr>
        <w:pStyle w:val="BodyText"/>
        <w:tabs>
          <w:tab w:pos="1060" w:val="left" w:leader="none"/>
        </w:tabs>
        <w:spacing w:line="240" w:lineRule="auto" w:before="12"/>
        <w:ind w:right="-16"/>
        <w:jc w:val="left"/>
      </w:pPr>
      <w:r>
        <w:rPr>
          <w:spacing w:val="-1"/>
        </w:rPr>
        <w:t>√适用</w:t>
        <w:tab/>
      </w:r>
      <w:r>
        <w:rPr>
          <w:spacing w:val="-2"/>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BodyText"/>
        <w:spacing w:line="240" w:lineRule="auto"/>
        <w:ind w:right="0"/>
        <w:jc w:val="left"/>
      </w:pPr>
      <w:r>
        <w:rPr/>
        <w:t>单位</w:t>
      </w:r>
      <w:r>
        <w:rPr>
          <w:rFonts w:ascii="宋体" w:hAnsi="宋体" w:cs="宋体" w:eastAsia="宋体" w:hint="default"/>
        </w:rPr>
        <w:t>:</w:t>
      </w:r>
      <w:r>
        <w:rPr/>
        <w:t>元币种</w:t>
      </w:r>
      <w:r>
        <w:rPr>
          <w:rFonts w:ascii="宋体" w:hAnsi="宋体" w:cs="宋体" w:eastAsia="宋体" w:hint="default"/>
        </w:rPr>
        <w:t>:</w:t>
      </w:r>
      <w:r>
        <w:rPr/>
        <w:t>人民币</w:t>
      </w:r>
    </w:p>
    <w:p>
      <w:pPr>
        <w:spacing w:after="0" w:line="240" w:lineRule="auto"/>
        <w:jc w:val="left"/>
        <w:sectPr>
          <w:type w:val="continuous"/>
          <w:pgSz w:w="11910" w:h="16840"/>
          <w:pgMar w:top="1320" w:bottom="1380" w:left="1580" w:right="1040"/>
          <w:cols w:num="2" w:equalWidth="0">
            <w:col w:w="2544" w:space="4398"/>
            <w:col w:w="2348"/>
          </w:cols>
        </w:sectPr>
      </w:pPr>
    </w:p>
    <w:p>
      <w:pPr>
        <w:spacing w:line="240" w:lineRule="auto" w:before="4"/>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1447"/>
        <w:gridCol w:w="1366"/>
        <w:gridCol w:w="1366"/>
        <w:gridCol w:w="1364"/>
        <w:gridCol w:w="1490"/>
        <w:gridCol w:w="1863"/>
      </w:tblGrid>
      <w:tr>
        <w:trPr>
          <w:trHeight w:val="283" w:hRule="exact"/>
        </w:trPr>
        <w:tc>
          <w:tcPr>
            <w:tcW w:w="1447" w:type="dxa"/>
            <w:vMerge w:val="restart"/>
            <w:tcBorders>
              <w:top w:val="single" w:sz="4" w:space="0" w:color="000000"/>
              <w:left w:val="single" w:sz="4" w:space="0" w:color="000000"/>
              <w:right w:val="single" w:sz="4" w:space="0" w:color="000000"/>
            </w:tcBorders>
          </w:tcPr>
          <w:p>
            <w:pPr>
              <w:pStyle w:val="TableParagraph"/>
              <w:spacing w:line="240" w:lineRule="auto" w:before="107"/>
              <w:ind w:left="299" w:right="0"/>
              <w:jc w:val="left"/>
              <w:rPr>
                <w:rFonts w:ascii="宋体" w:hAnsi="宋体" w:cs="宋体" w:eastAsia="宋体" w:hint="default"/>
                <w:sz w:val="21"/>
                <w:szCs w:val="21"/>
              </w:rPr>
            </w:pPr>
            <w:r>
              <w:rPr>
                <w:rFonts w:ascii="宋体" w:hAnsi="宋体" w:cs="宋体" w:eastAsia="宋体" w:hint="default"/>
                <w:sz w:val="21"/>
                <w:szCs w:val="21"/>
              </w:rPr>
              <w:t>项目名称</w:t>
            </w:r>
          </w:p>
        </w:tc>
        <w:tc>
          <w:tcPr>
            <w:tcW w:w="1366" w:type="dxa"/>
            <w:vMerge w:val="restart"/>
            <w:tcBorders>
              <w:top w:val="single" w:sz="4" w:space="0" w:color="000000"/>
              <w:left w:val="single" w:sz="4" w:space="0" w:color="000000"/>
              <w:right w:val="single" w:sz="4" w:space="0" w:color="000000"/>
            </w:tcBorders>
          </w:tcPr>
          <w:p>
            <w:pPr>
              <w:pStyle w:val="TableParagraph"/>
              <w:spacing w:line="240" w:lineRule="auto" w:before="107"/>
              <w:ind w:left="362" w:right="0"/>
              <w:jc w:val="left"/>
              <w:rPr>
                <w:rFonts w:ascii="宋体" w:hAnsi="宋体" w:cs="宋体" w:eastAsia="宋体" w:hint="default"/>
                <w:sz w:val="21"/>
                <w:szCs w:val="21"/>
              </w:rPr>
            </w:pPr>
            <w:r>
              <w:rPr>
                <w:rFonts w:ascii="宋体" w:hAnsi="宋体" w:cs="宋体" w:eastAsia="宋体" w:hint="default"/>
                <w:sz w:val="21"/>
                <w:szCs w:val="21"/>
              </w:rPr>
              <w:t>关联方</w:t>
            </w:r>
          </w:p>
        </w:tc>
        <w:tc>
          <w:tcPr>
            <w:tcW w:w="27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35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83" w:hRule="exact"/>
        </w:trPr>
        <w:tc>
          <w:tcPr>
            <w:tcW w:w="1447" w:type="dxa"/>
            <w:vMerge/>
            <w:tcBorders>
              <w:left w:val="single" w:sz="4" w:space="0" w:color="000000"/>
              <w:bottom w:val="single" w:sz="4" w:space="0" w:color="000000"/>
              <w:right w:val="single" w:sz="4" w:space="0" w:color="000000"/>
            </w:tcBorders>
          </w:tcPr>
          <w:p>
            <w:pPr/>
          </w:p>
        </w:tc>
        <w:tc>
          <w:tcPr>
            <w:tcW w:w="1366" w:type="dxa"/>
            <w:vMerge/>
            <w:tcBorders>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56"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54"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21"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04"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281"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预付账款</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智联友道</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1,174,800</w:t>
            </w:r>
          </w:p>
        </w:tc>
        <w:tc>
          <w:tcPr>
            <w:tcW w:w="1364"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c>
          <w:tcPr>
            <w:tcW w:w="186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汉唐信通</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2,358,491</w:t>
            </w:r>
          </w:p>
        </w:tc>
        <w:tc>
          <w:tcPr>
            <w:tcW w:w="1364"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c>
          <w:tcPr>
            <w:tcW w:w="186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中关村银行</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1,040,270</w:t>
            </w:r>
          </w:p>
        </w:tc>
        <w:tc>
          <w:tcPr>
            <w:tcW w:w="1364"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c>
          <w:tcPr>
            <w:tcW w:w="186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5"/>
        <w:rPr>
          <w:rFonts w:ascii="宋体" w:hAnsi="宋体" w:cs="宋体" w:eastAsia="宋体" w:hint="default"/>
          <w:sz w:val="15"/>
          <w:szCs w:val="15"/>
        </w:rPr>
      </w:pPr>
    </w:p>
    <w:p>
      <w:pPr>
        <w:pStyle w:val="BodyText"/>
        <w:spacing w:line="240" w:lineRule="auto" w:before="36"/>
        <w:ind w:right="99"/>
        <w:jc w:val="left"/>
      </w:pPr>
      <w:r>
        <w:rPr/>
        <w:t>应收及应付关联方款项均不计利息、无抵押、且无固定还款期。</w:t>
      </w:r>
    </w:p>
    <w:p>
      <w:pPr>
        <w:spacing w:line="240" w:lineRule="auto" w:before="9"/>
        <w:rPr>
          <w:rFonts w:ascii="宋体" w:hAnsi="宋体" w:cs="宋体" w:eastAsia="宋体" w:hint="default"/>
          <w:sz w:val="20"/>
          <w:szCs w:val="20"/>
        </w:rPr>
      </w:pPr>
    </w:p>
    <w:p>
      <w:pPr>
        <w:pStyle w:val="BodyText"/>
        <w:spacing w:line="274" w:lineRule="exact"/>
        <w:ind w:right="99"/>
        <w:jc w:val="left"/>
      </w:pPr>
      <w:r>
        <w:rPr/>
        <w:t>于</w:t>
      </w:r>
      <w:r>
        <w:rPr>
          <w:spacing w:val="-47"/>
        </w:rPr>
        <w:t> </w:t>
      </w:r>
      <w:r>
        <w:rPr>
          <w:rFonts w:ascii="宋体" w:hAnsi="宋体" w:cs="宋体" w:eastAsia="宋体" w:hint="default"/>
        </w:rPr>
        <w:t>2017</w:t>
      </w:r>
      <w:r>
        <w:rPr>
          <w:rFonts w:ascii="宋体" w:hAnsi="宋体" w:cs="宋体" w:eastAsia="宋体" w:hint="default"/>
          <w:spacing w:val="-47"/>
        </w:rPr>
        <w:t> </w:t>
      </w:r>
      <w:r>
        <w:rPr/>
        <w:t>年</w:t>
      </w:r>
      <w:r>
        <w:rPr>
          <w:spacing w:val="-49"/>
        </w:rPr>
        <w:t> </w:t>
      </w:r>
      <w:r>
        <w:rPr>
          <w:rFonts w:ascii="宋体" w:hAnsi="宋体" w:cs="宋体" w:eastAsia="宋体" w:hint="default"/>
        </w:rPr>
        <w:t>12</w:t>
      </w:r>
      <w:r>
        <w:rPr>
          <w:rFonts w:ascii="宋体" w:hAnsi="宋体" w:cs="宋体" w:eastAsia="宋体" w:hint="default"/>
          <w:spacing w:val="-49"/>
        </w:rPr>
        <w:t> </w:t>
      </w:r>
      <w:r>
        <w:rPr/>
        <w:t>月</w:t>
      </w:r>
      <w:r>
        <w:rPr>
          <w:spacing w:val="-47"/>
        </w:rPr>
        <w:t> </w:t>
      </w:r>
      <w:r>
        <w:rPr>
          <w:rFonts w:ascii="宋体" w:hAnsi="宋体" w:cs="宋体" w:eastAsia="宋体" w:hint="default"/>
        </w:rPr>
        <w:t>31</w:t>
      </w:r>
      <w:r>
        <w:rPr>
          <w:rFonts w:ascii="宋体" w:hAnsi="宋体" w:cs="宋体" w:eastAsia="宋体" w:hint="default"/>
          <w:spacing w:val="-49"/>
        </w:rPr>
        <w:t> </w:t>
      </w:r>
      <w:r>
        <w:rPr>
          <w:spacing w:val="-5"/>
        </w:rPr>
        <w:t>日，本集团预付智联友道款项人民币</w:t>
      </w:r>
      <w:r>
        <w:rPr>
          <w:spacing w:val="-45"/>
        </w:rPr>
        <w:t> </w:t>
      </w:r>
      <w:r>
        <w:rPr>
          <w:rFonts w:ascii="宋体" w:hAnsi="宋体" w:cs="宋体" w:eastAsia="宋体" w:hint="default"/>
        </w:rPr>
        <w:t>1,174,800</w:t>
      </w:r>
      <w:r>
        <w:rPr>
          <w:rFonts w:ascii="宋体" w:hAnsi="宋体" w:cs="宋体" w:eastAsia="宋体" w:hint="default"/>
          <w:spacing w:val="-49"/>
        </w:rPr>
        <w:t> </w:t>
      </w:r>
      <w:r>
        <w:rPr>
          <w:spacing w:val="-5"/>
        </w:rPr>
        <w:t>元，应收汉唐信通款项人民币</w:t>
      </w:r>
    </w:p>
    <w:p>
      <w:pPr>
        <w:pStyle w:val="BodyText"/>
        <w:spacing w:line="272" w:lineRule="exact" w:before="27"/>
        <w:ind w:right="225"/>
        <w:jc w:val="left"/>
      </w:pPr>
      <w:r>
        <w:rPr>
          <w:rFonts w:ascii="宋体" w:hAnsi="宋体" w:cs="宋体" w:eastAsia="宋体" w:hint="default"/>
        </w:rPr>
        <w:t>2,358,491</w:t>
      </w:r>
      <w:r>
        <w:rPr>
          <w:rFonts w:ascii="宋体" w:hAnsi="宋体" w:cs="宋体" w:eastAsia="宋体" w:hint="default"/>
          <w:spacing w:val="-36"/>
        </w:rPr>
        <w:t> </w:t>
      </w:r>
      <w:r>
        <w:rPr/>
        <w:t>元，应收中关村银行款项人民币</w:t>
      </w:r>
      <w:r>
        <w:rPr>
          <w:spacing w:val="-33"/>
        </w:rPr>
        <w:t> </w:t>
      </w:r>
      <w:r>
        <w:rPr>
          <w:rFonts w:ascii="宋体" w:hAnsi="宋体" w:cs="宋体" w:eastAsia="宋体" w:hint="default"/>
        </w:rPr>
        <w:t>1,040,270</w:t>
      </w:r>
      <w:r>
        <w:rPr>
          <w:rFonts w:ascii="宋体" w:hAnsi="宋体" w:cs="宋体" w:eastAsia="宋体" w:hint="default"/>
          <w:spacing w:val="-33"/>
        </w:rPr>
        <w:t> </w:t>
      </w:r>
      <w:r>
        <w:rPr/>
        <w:t>元。除此外，本集团无其他重大关联方往</w:t>
      </w:r>
      <w:r>
        <w:rPr>
          <w:w w:val="100"/>
        </w:rPr>
        <w:t> </w:t>
      </w:r>
      <w:r>
        <w:rPr/>
        <w:t>来款余额。</w:t>
      </w:r>
    </w:p>
    <w:p>
      <w:pPr>
        <w:pStyle w:val="Heading3"/>
        <w:spacing w:line="240" w:lineRule="auto" w:before="34"/>
        <w:ind w:right="99"/>
        <w:jc w:val="left"/>
        <w:rPr>
          <w:b w:val="0"/>
          <w:bCs w:val="0"/>
        </w:rPr>
      </w:pPr>
      <w:r>
        <w:rPr>
          <w:rFonts w:ascii="宋体" w:hAnsi="宋体" w:cs="宋体" w:eastAsia="宋体" w:hint="default"/>
        </w:rPr>
        <w:t>(2).</w:t>
      </w:r>
      <w:r>
        <w:rPr>
          <w:rFonts w:ascii="宋体" w:hAnsi="宋体" w:cs="宋体" w:eastAsia="宋体" w:hint="default"/>
          <w:spacing w:val="88"/>
        </w:rPr>
        <w:t> </w:t>
      </w:r>
      <w:r>
        <w:rPr/>
        <w:t>应付项目</w:t>
      </w:r>
      <w:r>
        <w:rPr>
          <w:b w:val="0"/>
          <w:bCs w:val="0"/>
        </w:rPr>
      </w:r>
    </w:p>
    <w:p>
      <w:pPr>
        <w:tabs>
          <w:tab w:pos="1060" w:val="left" w:leader="none"/>
        </w:tabs>
        <w:spacing w:line="290" w:lineRule="auto" w:before="56"/>
        <w:ind w:left="218" w:right="7383" w:firstLine="0"/>
        <w:jc w:val="left"/>
        <w:rPr>
          <w:rFonts w:ascii="宋体" w:hAnsi="宋体" w:cs="宋体" w:eastAsia="宋体" w:hint="default"/>
          <w:sz w:val="21"/>
          <w:szCs w:val="21"/>
        </w:rPr>
      </w:pPr>
      <w:r>
        <w:rPr>
          <w:rFonts w:ascii="宋体" w:hAnsi="宋体" w:cs="宋体" w:eastAsia="宋体" w:hint="default"/>
          <w:spacing w:val="-1"/>
          <w:sz w:val="21"/>
          <w:szCs w:val="21"/>
        </w:rPr>
        <w:t>□适用</w:t>
        <w:tab/>
      </w:r>
      <w:r>
        <w:rPr>
          <w:rFonts w:ascii="宋体" w:hAnsi="宋体" w:cs="宋体" w:eastAsia="宋体" w:hint="default"/>
          <w:spacing w:val="-2"/>
          <w:sz w:val="21"/>
          <w:szCs w:val="21"/>
        </w:rPr>
        <w:t>√不适用</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b/>
          <w:bCs/>
          <w:sz w:val="21"/>
          <w:szCs w:val="21"/>
        </w:rPr>
        <w:t>7</w:t>
      </w:r>
      <w:r>
        <w:rPr>
          <w:rFonts w:ascii="宋体" w:hAnsi="宋体" w:cs="宋体" w:eastAsia="宋体" w:hint="default"/>
          <w:b/>
          <w:bCs/>
          <w:sz w:val="21"/>
          <w:szCs w:val="21"/>
        </w:rPr>
        <w:t>、</w:t>
      </w:r>
      <w:r>
        <w:rPr>
          <w:rFonts w:ascii="宋体" w:hAnsi="宋体" w:cs="宋体" w:eastAsia="宋体" w:hint="default"/>
          <w:b/>
          <w:bCs/>
          <w:spacing w:val="4"/>
          <w:sz w:val="21"/>
          <w:szCs w:val="21"/>
        </w:rPr>
        <w:t> </w:t>
      </w:r>
      <w:r>
        <w:rPr>
          <w:rFonts w:ascii="宋体" w:hAnsi="宋体" w:cs="宋体" w:eastAsia="宋体" w:hint="default"/>
          <w:b/>
          <w:bCs/>
          <w:sz w:val="21"/>
          <w:szCs w:val="21"/>
        </w:rPr>
        <w:t>关联方承诺</w:t>
      </w:r>
      <w:r>
        <w:rPr>
          <w:rFonts w:ascii="宋体" w:hAnsi="宋体" w:cs="宋体" w:eastAsia="宋体" w:hint="default"/>
          <w:sz w:val="21"/>
          <w:szCs w:val="21"/>
        </w:rPr>
      </w:r>
    </w:p>
    <w:p>
      <w:pPr>
        <w:pStyle w:val="BodyText"/>
        <w:tabs>
          <w:tab w:pos="1060" w:val="left" w:leader="none"/>
        </w:tabs>
        <w:spacing w:line="240" w:lineRule="auto" w:before="12"/>
        <w:ind w:right="99"/>
        <w:jc w:val="left"/>
      </w:pPr>
      <w:r>
        <w:rPr>
          <w:spacing w:val="-1"/>
        </w:rPr>
        <w:t>□适用</w:t>
        <w:tab/>
      </w:r>
      <w:r>
        <w:rPr>
          <w:spacing w:val="-2"/>
        </w:rPr>
        <w:t>√不适用</w:t>
      </w:r>
    </w:p>
    <w:p>
      <w:pPr>
        <w:spacing w:line="240" w:lineRule="auto" w:before="4"/>
        <w:rPr>
          <w:rFonts w:ascii="宋体" w:hAnsi="宋体" w:cs="宋体" w:eastAsia="宋体" w:hint="default"/>
          <w:sz w:val="22"/>
          <w:szCs w:val="22"/>
        </w:rPr>
      </w:pPr>
    </w:p>
    <w:p>
      <w:pPr>
        <w:spacing w:before="0"/>
        <w:ind w:left="218" w:right="99" w:firstLine="0"/>
        <w:jc w:val="left"/>
        <w:rPr>
          <w:rFonts w:ascii="宋体" w:hAnsi="宋体" w:cs="宋体" w:eastAsia="宋体" w:hint="default"/>
          <w:sz w:val="21"/>
          <w:szCs w:val="21"/>
        </w:rPr>
      </w:pPr>
      <w:r>
        <w:rPr>
          <w:rFonts w:ascii="宋体" w:hAnsi="宋体" w:cs="宋体" w:eastAsia="宋体" w:hint="default"/>
          <w:b/>
          <w:bCs/>
          <w:sz w:val="20"/>
          <w:szCs w:val="20"/>
        </w:rPr>
        <w:t>8</w:t>
      </w:r>
      <w:r>
        <w:rPr>
          <w:rFonts w:ascii="宋体" w:hAnsi="宋体" w:cs="宋体" w:eastAsia="宋体" w:hint="default"/>
          <w:b/>
          <w:bCs/>
          <w:sz w:val="20"/>
          <w:szCs w:val="20"/>
        </w:rPr>
        <w:t>、</w:t>
      </w:r>
      <w:r>
        <w:rPr>
          <w:rFonts w:ascii="宋体" w:hAnsi="宋体" w:cs="宋体" w:eastAsia="宋体" w:hint="default"/>
          <w:b/>
          <w:bCs/>
          <w:spacing w:val="21"/>
          <w:sz w:val="20"/>
          <w:szCs w:val="20"/>
        </w:rPr>
        <w:t> </w:t>
      </w:r>
      <w:r>
        <w:rPr>
          <w:rFonts w:ascii="宋体" w:hAnsi="宋体" w:cs="宋体" w:eastAsia="宋体" w:hint="default"/>
          <w:b/>
          <w:bCs/>
          <w:sz w:val="21"/>
          <w:szCs w:val="21"/>
        </w:rPr>
        <w:t>其他</w:t>
      </w:r>
      <w:r>
        <w:rPr>
          <w:rFonts w:ascii="宋体" w:hAnsi="宋体" w:cs="宋体" w:eastAsia="宋体" w:hint="default"/>
          <w:sz w:val="21"/>
          <w:szCs w:val="21"/>
        </w:rPr>
      </w:r>
    </w:p>
    <w:p>
      <w:pPr>
        <w:pStyle w:val="BodyText"/>
        <w:tabs>
          <w:tab w:pos="1060" w:val="left" w:leader="none"/>
        </w:tabs>
        <w:spacing w:line="274" w:lineRule="exact" w:before="58"/>
        <w:ind w:right="99"/>
        <w:jc w:val="left"/>
      </w:pPr>
      <w:r>
        <w:rPr>
          <w:spacing w:val="-1"/>
        </w:rPr>
        <w:t>√适用</w:t>
        <w:tab/>
      </w:r>
      <w:r>
        <w:rPr>
          <w:spacing w:val="-2"/>
        </w:rPr>
        <w:t>□不适用</w:t>
      </w:r>
    </w:p>
    <w:p>
      <w:pPr>
        <w:spacing w:line="261" w:lineRule="exact" w:before="0"/>
        <w:ind w:left="218" w:right="99" w:firstLine="0"/>
        <w:jc w:val="left"/>
        <w:rPr>
          <w:rFonts w:ascii="宋体" w:hAnsi="宋体" w:cs="宋体" w:eastAsia="宋体" w:hint="default"/>
          <w:sz w:val="20"/>
          <w:szCs w:val="20"/>
        </w:rPr>
      </w:pPr>
      <w:r>
        <w:rPr>
          <w:rFonts w:ascii="宋体" w:hAnsi="宋体" w:cs="宋体" w:eastAsia="宋体" w:hint="default"/>
          <w:b/>
          <w:bCs/>
          <w:sz w:val="20"/>
          <w:szCs w:val="20"/>
        </w:rPr>
        <w:t>存放关联方的货币资金</w:t>
      </w:r>
      <w:r>
        <w:rPr>
          <w:rFonts w:ascii="宋体" w:hAnsi="宋体" w:cs="宋体" w:eastAsia="宋体" w:hint="default"/>
          <w:sz w:val="20"/>
          <w:szCs w:val="20"/>
        </w:rPr>
      </w:r>
    </w:p>
    <w:p>
      <w:pPr>
        <w:spacing w:line="240" w:lineRule="auto" w:before="7"/>
        <w:rPr>
          <w:rFonts w:ascii="宋体" w:hAnsi="宋体" w:cs="宋体" w:eastAsia="宋体" w:hint="default"/>
          <w:b/>
          <w:bCs/>
          <w:sz w:val="20"/>
          <w:szCs w:val="20"/>
        </w:rPr>
      </w:pPr>
    </w:p>
    <w:tbl>
      <w:tblPr>
        <w:tblW w:w="0" w:type="auto"/>
        <w:jc w:val="left"/>
        <w:tblInd w:w="622" w:type="dxa"/>
        <w:tblLayout w:type="fixed"/>
        <w:tblCellMar>
          <w:top w:w="0" w:type="dxa"/>
          <w:left w:w="0" w:type="dxa"/>
          <w:bottom w:w="0" w:type="dxa"/>
          <w:right w:w="0" w:type="dxa"/>
        </w:tblCellMar>
        <w:tblLook w:val="01E0"/>
      </w:tblPr>
      <w:tblGrid>
        <w:gridCol w:w="2887"/>
        <w:gridCol w:w="3639"/>
        <w:gridCol w:w="1808"/>
      </w:tblGrid>
      <w:tr>
        <w:trPr>
          <w:trHeight w:val="324" w:hRule="exact"/>
        </w:trPr>
        <w:tc>
          <w:tcPr>
            <w:tcW w:w="2887" w:type="dxa"/>
            <w:tcBorders>
              <w:top w:val="nil" w:sz="6" w:space="0" w:color="auto"/>
              <w:left w:val="nil" w:sz="6" w:space="0" w:color="auto"/>
              <w:bottom w:val="nil" w:sz="6" w:space="0" w:color="auto"/>
              <w:right w:val="nil" w:sz="6" w:space="0" w:color="auto"/>
            </w:tcBorders>
          </w:tcPr>
          <w:p>
            <w:pPr/>
          </w:p>
        </w:tc>
        <w:tc>
          <w:tcPr>
            <w:tcW w:w="3639" w:type="dxa"/>
            <w:tcBorders>
              <w:top w:val="nil" w:sz="6" w:space="0" w:color="auto"/>
              <w:left w:val="nil" w:sz="6" w:space="0" w:color="auto"/>
              <w:bottom w:val="nil" w:sz="6" w:space="0" w:color="auto"/>
              <w:right w:val="nil" w:sz="6" w:space="0" w:color="auto"/>
            </w:tcBorders>
          </w:tcPr>
          <w:p>
            <w:pPr>
              <w:pStyle w:val="TableParagraph"/>
              <w:spacing w:line="199" w:lineRule="exact"/>
              <w:ind w:right="954"/>
              <w:jc w:val="right"/>
              <w:rPr>
                <w:rFonts w:ascii="宋体" w:hAnsi="宋体" w:cs="宋体" w:eastAsia="宋体" w:hint="default"/>
                <w:sz w:val="20"/>
                <w:szCs w:val="20"/>
              </w:rPr>
            </w:pPr>
            <w:r>
              <w:rPr>
                <w:rFonts w:ascii="宋体" w:hAnsi="宋体" w:cs="宋体" w:eastAsia="宋体" w:hint="default"/>
                <w:sz w:val="20"/>
                <w:szCs w:val="20"/>
              </w:rPr>
              <w:t>2017</w:t>
            </w:r>
            <w:r>
              <w:rPr>
                <w:rFonts w:ascii="宋体" w:hAnsi="宋体" w:cs="宋体" w:eastAsia="宋体" w:hint="default"/>
                <w:spacing w:val="-49"/>
                <w:sz w:val="20"/>
                <w:szCs w:val="20"/>
              </w:rPr>
              <w:t> </w:t>
            </w:r>
            <w:r>
              <w:rPr>
                <w:rFonts w:ascii="宋体" w:hAnsi="宋体" w:cs="宋体" w:eastAsia="宋体" w:hint="default"/>
                <w:sz w:val="20"/>
                <w:szCs w:val="20"/>
              </w:rPr>
              <w:t>年</w:t>
            </w:r>
          </w:p>
        </w:tc>
        <w:tc>
          <w:tcPr>
            <w:tcW w:w="1808" w:type="dxa"/>
            <w:tcBorders>
              <w:top w:val="nil" w:sz="6" w:space="0" w:color="auto"/>
              <w:left w:val="nil" w:sz="6" w:space="0" w:color="auto"/>
              <w:bottom w:val="nil" w:sz="6" w:space="0" w:color="auto"/>
              <w:right w:val="nil" w:sz="6" w:space="0" w:color="auto"/>
            </w:tcBorders>
          </w:tcPr>
          <w:p>
            <w:pPr>
              <w:pStyle w:val="TableParagraph"/>
              <w:spacing w:line="199" w:lineRule="exact"/>
              <w:ind w:right="205"/>
              <w:jc w:val="right"/>
              <w:rPr>
                <w:rFonts w:ascii="宋体" w:hAnsi="宋体" w:cs="宋体" w:eastAsia="宋体" w:hint="default"/>
                <w:sz w:val="20"/>
                <w:szCs w:val="20"/>
              </w:rPr>
            </w:pPr>
            <w:r>
              <w:rPr>
                <w:rFonts w:ascii="宋体" w:hAnsi="宋体" w:cs="宋体" w:eastAsia="宋体" w:hint="default"/>
                <w:sz w:val="20"/>
                <w:szCs w:val="20"/>
              </w:rPr>
              <w:t>2016</w:t>
            </w:r>
            <w:r>
              <w:rPr>
                <w:rFonts w:ascii="宋体" w:hAnsi="宋体" w:cs="宋体" w:eastAsia="宋体" w:hint="default"/>
                <w:spacing w:val="-49"/>
                <w:sz w:val="20"/>
                <w:szCs w:val="20"/>
              </w:rPr>
              <w:t> </w:t>
            </w:r>
            <w:r>
              <w:rPr>
                <w:rFonts w:ascii="宋体" w:hAnsi="宋体" w:cs="宋体" w:eastAsia="宋体" w:hint="default"/>
                <w:sz w:val="20"/>
                <w:szCs w:val="20"/>
              </w:rPr>
              <w:t>年</w:t>
            </w:r>
          </w:p>
        </w:tc>
      </w:tr>
      <w:tr>
        <w:trPr>
          <w:trHeight w:val="346" w:hRule="exact"/>
        </w:trPr>
        <w:tc>
          <w:tcPr>
            <w:tcW w:w="2887" w:type="dxa"/>
            <w:tcBorders>
              <w:top w:val="nil" w:sz="6" w:space="0" w:color="auto"/>
              <w:left w:val="nil" w:sz="6" w:space="0" w:color="auto"/>
              <w:bottom w:val="nil" w:sz="6" w:space="0" w:color="auto"/>
              <w:right w:val="nil" w:sz="6" w:space="0" w:color="auto"/>
            </w:tcBorders>
          </w:tcPr>
          <w:p>
            <w:pPr>
              <w:pStyle w:val="TableParagraph"/>
              <w:spacing w:line="240" w:lineRule="auto" w:before="62"/>
              <w:ind w:left="200" w:right="0"/>
              <w:jc w:val="left"/>
              <w:rPr>
                <w:rFonts w:ascii="宋体" w:hAnsi="宋体" w:cs="宋体" w:eastAsia="宋体" w:hint="default"/>
                <w:sz w:val="20"/>
                <w:szCs w:val="20"/>
              </w:rPr>
            </w:pPr>
            <w:r>
              <w:rPr>
                <w:rFonts w:ascii="宋体" w:hAnsi="宋体" w:cs="宋体" w:eastAsia="宋体" w:hint="default"/>
                <w:sz w:val="20"/>
                <w:szCs w:val="20"/>
              </w:rPr>
              <w:t>中关村银行</w:t>
            </w:r>
          </w:p>
        </w:tc>
        <w:tc>
          <w:tcPr>
            <w:tcW w:w="363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47"/>
              <w:jc w:val="right"/>
              <w:rPr>
                <w:rFonts w:ascii="宋体" w:hAnsi="宋体" w:cs="宋体" w:eastAsia="宋体" w:hint="default"/>
                <w:sz w:val="20"/>
                <w:szCs w:val="20"/>
              </w:rPr>
            </w:pPr>
            <w:r>
              <w:rPr>
                <w:rFonts w:ascii="宋体"/>
                <w:w w:val="99"/>
                <w:sz w:val="20"/>
              </w:rPr>
            </w:r>
            <w:r>
              <w:rPr>
                <w:rFonts w:ascii="宋体"/>
                <w:w w:val="95"/>
                <w:sz w:val="20"/>
                <w:u w:val="thick" w:color="000000"/>
              </w:rPr>
              <w:t>25,664,788</w:t>
            </w:r>
            <w:r>
              <w:rPr>
                <w:rFonts w:ascii="宋体"/>
                <w:w w:val="95"/>
                <w:sz w:val="20"/>
              </w:rPr>
            </w:r>
            <w:r>
              <w:rPr>
                <w:rFonts w:ascii="宋体"/>
                <w:sz w:val="20"/>
              </w:rPr>
            </w:r>
          </w:p>
        </w:tc>
        <w:tc>
          <w:tcPr>
            <w:tcW w:w="1808" w:type="dxa"/>
            <w:tcBorders>
              <w:top w:val="nil" w:sz="6" w:space="0" w:color="auto"/>
              <w:left w:val="nil" w:sz="6" w:space="0" w:color="auto"/>
              <w:bottom w:val="nil" w:sz="6" w:space="0" w:color="auto"/>
              <w:right w:val="nil" w:sz="6" w:space="0" w:color="auto"/>
            </w:tcBorders>
          </w:tcPr>
          <w:p>
            <w:pPr>
              <w:pStyle w:val="TableParagraph"/>
              <w:tabs>
                <w:tab w:pos="1000" w:val="left" w:leader="none"/>
              </w:tabs>
              <w:spacing w:line="240" w:lineRule="auto" w:before="84"/>
              <w:ind w:right="198"/>
              <w:jc w:val="right"/>
              <w:rPr>
                <w:rFonts w:ascii="宋体" w:hAnsi="宋体" w:cs="宋体" w:eastAsia="宋体" w:hint="default"/>
                <w:sz w:val="20"/>
                <w:szCs w:val="20"/>
              </w:rPr>
            </w:pPr>
            <w:r>
              <w:rPr>
                <w:rFonts w:ascii="宋体"/>
                <w:w w:val="99"/>
                <w:sz w:val="20"/>
              </w:rPr>
            </w:r>
            <w:r>
              <w:rPr>
                <w:rFonts w:ascii="宋体"/>
                <w:w w:val="99"/>
                <w:sz w:val="20"/>
                <w:u w:val="thick" w:color="000000"/>
              </w:rPr>
              <w:t> </w:t>
            </w:r>
            <w:r>
              <w:rPr>
                <w:rFonts w:ascii="宋体"/>
                <w:sz w:val="20"/>
                <w:u w:val="thick" w:color="000000"/>
              </w:rPr>
              <w:tab/>
            </w:r>
            <w:r>
              <w:rPr>
                <w:rFonts w:ascii="宋体"/>
                <w:w w:val="95"/>
                <w:sz w:val="20"/>
                <w:u w:val="thick" w:color="000000"/>
              </w:rPr>
              <w:t>-</w:t>
            </w:r>
            <w:r>
              <w:rPr>
                <w:rFonts w:ascii="宋体"/>
                <w:w w:val="95"/>
                <w:sz w:val="20"/>
              </w:rPr>
            </w:r>
            <w:r>
              <w:rPr>
                <w:rFonts w:ascii="宋体"/>
                <w:sz w:val="20"/>
              </w:rPr>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5"/>
          <w:szCs w:val="15"/>
        </w:rPr>
      </w:pPr>
    </w:p>
    <w:p>
      <w:pPr>
        <w:spacing w:before="37"/>
        <w:ind w:left="875" w:right="99" w:firstLine="0"/>
        <w:jc w:val="left"/>
        <w:rPr>
          <w:rFonts w:ascii="宋体" w:hAnsi="宋体" w:cs="宋体" w:eastAsia="宋体" w:hint="default"/>
          <w:sz w:val="20"/>
          <w:szCs w:val="20"/>
        </w:rPr>
      </w:pPr>
      <w:r>
        <w:rPr>
          <w:rFonts w:ascii="宋体" w:hAnsi="宋体" w:cs="宋体" w:eastAsia="宋体" w:hint="default"/>
          <w:sz w:val="20"/>
          <w:szCs w:val="20"/>
        </w:rPr>
        <w:t>2017</w:t>
      </w:r>
      <w:r>
        <w:rPr>
          <w:rFonts w:ascii="宋体" w:hAnsi="宋体" w:cs="宋体" w:eastAsia="宋体" w:hint="default"/>
          <w:sz w:val="20"/>
          <w:szCs w:val="20"/>
        </w:rPr>
        <w:t>年，上述存款年利率为</w:t>
      </w:r>
      <w:r>
        <w:rPr>
          <w:rFonts w:ascii="宋体" w:hAnsi="宋体" w:cs="宋体" w:eastAsia="宋体" w:hint="default"/>
          <w:sz w:val="20"/>
          <w:szCs w:val="20"/>
        </w:rPr>
        <w:t>0.35%(2016</w:t>
      </w:r>
      <w:r>
        <w:rPr>
          <w:rFonts w:ascii="宋体" w:hAnsi="宋体" w:cs="宋体" w:eastAsia="宋体" w:hint="default"/>
          <w:sz w:val="20"/>
          <w:szCs w:val="20"/>
        </w:rPr>
        <w:t>年度中关村银行尚未成立</w:t>
      </w:r>
      <w:r>
        <w:rPr>
          <w:rFonts w:ascii="宋体" w:hAnsi="宋体" w:cs="宋体" w:eastAsia="宋体" w:hint="default"/>
          <w:sz w:val="20"/>
          <w:szCs w:val="20"/>
        </w:rPr>
        <w:t>)</w:t>
      </w:r>
      <w:r>
        <w:rPr>
          <w:rFonts w:ascii="宋体" w:hAnsi="宋体" w:cs="宋体" w:eastAsia="宋体" w:hint="default"/>
          <w:sz w:val="20"/>
          <w:szCs w:val="20"/>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type w:val="continuous"/>
          <w:pgSz w:w="11910" w:h="16840"/>
          <w:pgMar w:top="1320" w:bottom="1380" w:left="1580" w:right="1040"/>
        </w:sectPr>
      </w:pPr>
    </w:p>
    <w:p>
      <w:pPr>
        <w:pStyle w:val="Heading3"/>
        <w:tabs>
          <w:tab w:pos="1057" w:val="left" w:leader="none"/>
        </w:tabs>
        <w:spacing w:line="240" w:lineRule="auto" w:before="36"/>
        <w:ind w:right="-16"/>
        <w:jc w:val="left"/>
        <w:rPr>
          <w:b w:val="0"/>
          <w:bCs w:val="0"/>
        </w:rPr>
      </w:pPr>
      <w:r>
        <w:rPr/>
        <w:t>十三、</w:t>
        <w:tab/>
        <w:t>股份支付</w:t>
      </w:r>
      <w:r>
        <w:rPr>
          <w:b w:val="0"/>
          <w:bCs w:val="0"/>
        </w:rPr>
      </w:r>
    </w:p>
    <w:p>
      <w:pPr>
        <w:pStyle w:val="Heading3"/>
        <w:spacing w:line="240" w:lineRule="auto" w:before="58"/>
        <w:ind w:right="-20"/>
        <w:jc w:val="left"/>
        <w:rPr>
          <w:b w:val="0"/>
          <w:bCs w:val="0"/>
        </w:rPr>
      </w:pPr>
      <w:r>
        <w:rPr>
          <w:rFonts w:ascii="宋体" w:hAnsi="宋体" w:cs="宋体" w:eastAsia="宋体" w:hint="default"/>
        </w:rPr>
        <w:t>1</w:t>
      </w:r>
      <w:r>
        <w:rPr/>
        <w:t>、</w:t>
      </w:r>
      <w:r>
        <w:rPr>
          <w:spacing w:val="5"/>
        </w:rPr>
        <w:t> </w:t>
      </w:r>
      <w:r>
        <w:rPr/>
        <w:t>股份支付总体情况</w:t>
      </w:r>
      <w:r>
        <w:rPr>
          <w:b w:val="0"/>
          <w:bCs w:val="0"/>
        </w:rPr>
      </w:r>
    </w:p>
    <w:p>
      <w:pPr>
        <w:pStyle w:val="BodyText"/>
        <w:spacing w:line="240" w:lineRule="auto" w:before="56"/>
        <w:ind w:right="-16"/>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p>
      <w:pPr>
        <w:pStyle w:val="BodyText"/>
        <w:spacing w:line="240" w:lineRule="auto"/>
        <w:ind w:right="0"/>
        <w:jc w:val="left"/>
      </w:pPr>
      <w:r>
        <w:rPr/>
        <w:t>单位：股币种：人民币</w:t>
      </w:r>
    </w:p>
    <w:p>
      <w:pPr>
        <w:spacing w:after="0" w:line="240" w:lineRule="auto"/>
        <w:jc w:val="left"/>
        <w:sectPr>
          <w:type w:val="continuous"/>
          <w:pgSz w:w="11910" w:h="16840"/>
          <w:pgMar w:top="1320" w:bottom="1380" w:left="1580" w:right="1040"/>
          <w:cols w:num="2" w:equalWidth="0">
            <w:col w:w="2333" w:space="4400"/>
            <w:col w:w="2557"/>
          </w:cols>
        </w:sectPr>
      </w:pPr>
    </w:p>
    <w:p>
      <w:pPr>
        <w:spacing w:line="240" w:lineRule="auto" w:before="9"/>
        <w:rPr>
          <w:rFonts w:ascii="宋体" w:hAnsi="宋体" w:cs="宋体" w:eastAsia="宋体" w:hint="default"/>
          <w:sz w:val="17"/>
          <w:szCs w:val="17"/>
        </w:rPr>
      </w:pPr>
    </w:p>
    <w:tbl>
      <w:tblPr>
        <w:tblW w:w="0" w:type="auto"/>
        <w:jc w:val="left"/>
        <w:tblInd w:w="105" w:type="dxa"/>
        <w:tblLayout w:type="fixed"/>
        <w:tblCellMar>
          <w:top w:w="0" w:type="dxa"/>
          <w:left w:w="0" w:type="dxa"/>
          <w:bottom w:w="0" w:type="dxa"/>
          <w:right w:w="0" w:type="dxa"/>
        </w:tblCellMar>
        <w:tblLook w:val="01E0"/>
      </w:tblPr>
      <w:tblGrid>
        <w:gridCol w:w="4645"/>
        <w:gridCol w:w="4405"/>
      </w:tblGrid>
      <w:tr>
        <w:trPr>
          <w:trHeight w:val="284" w:hRule="exact"/>
        </w:trPr>
        <w:tc>
          <w:tcPr>
            <w:tcW w:w="4645"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公司本期授予的各项权益工具总额</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8"/>
              <w:jc w:val="right"/>
              <w:rPr>
                <w:rFonts w:ascii="宋体" w:hAnsi="宋体" w:cs="宋体" w:eastAsia="宋体" w:hint="default"/>
                <w:sz w:val="21"/>
                <w:szCs w:val="21"/>
              </w:rPr>
            </w:pPr>
            <w:r>
              <w:rPr>
                <w:rFonts w:ascii="宋体"/>
                <w:spacing w:val="-1"/>
                <w:sz w:val="21"/>
              </w:rPr>
              <w:t>57,522,150</w:t>
            </w:r>
          </w:p>
        </w:tc>
      </w:tr>
      <w:tr>
        <w:trPr>
          <w:trHeight w:val="283" w:hRule="exact"/>
        </w:trPr>
        <w:tc>
          <w:tcPr>
            <w:tcW w:w="46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公司本期行权的各项权益工具总额</w:t>
            </w:r>
          </w:p>
        </w:tc>
        <w:tc>
          <w:tcPr>
            <w:tcW w:w="4405"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46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公司本期失效的各项权益工具总额</w:t>
            </w:r>
          </w:p>
        </w:tc>
        <w:tc>
          <w:tcPr>
            <w:tcW w:w="4405"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46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公司期末发行在外的股票期权行权价格的范围和</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合同剩余期限</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hAnsi="宋体" w:cs="宋体" w:eastAsia="宋体" w:hint="default"/>
                <w:sz w:val="21"/>
                <w:szCs w:val="21"/>
              </w:rPr>
              <w:t>15.88/1.5-3.5</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557" w:hRule="exact"/>
        </w:trPr>
        <w:tc>
          <w:tcPr>
            <w:tcW w:w="46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公司期末发行在外的其他权益工具行权价格的范</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围和合同剩余期限</w:t>
            </w:r>
          </w:p>
        </w:tc>
        <w:tc>
          <w:tcPr>
            <w:tcW w:w="440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2"/>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pgSz w:w="11910" w:h="16840"/>
          <w:pgMar w:header="857" w:footer="1195" w:top="1280" w:bottom="1380" w:left="1580" w:right="1040"/>
        </w:sectPr>
      </w:pPr>
    </w:p>
    <w:p>
      <w:pPr>
        <w:pStyle w:val="Heading3"/>
        <w:spacing w:line="240" w:lineRule="auto" w:before="36"/>
        <w:ind w:right="-18"/>
        <w:jc w:val="left"/>
        <w:rPr>
          <w:b w:val="0"/>
          <w:bCs w:val="0"/>
        </w:rPr>
      </w:pPr>
      <w:r>
        <w:rPr>
          <w:rFonts w:ascii="宋体" w:hAnsi="宋体" w:cs="宋体" w:eastAsia="宋体" w:hint="default"/>
        </w:rPr>
        <w:t>2</w:t>
      </w:r>
      <w:r>
        <w:rPr/>
        <w:t>、 以权益结算的股份支付情况</w:t>
      </w:r>
      <w:r>
        <w:rPr>
          <w:b w:val="0"/>
          <w:bCs w:val="0"/>
        </w:rPr>
      </w:r>
    </w:p>
    <w:p>
      <w:pPr>
        <w:pStyle w:val="BodyText"/>
        <w:spacing w:line="240" w:lineRule="auto" w:before="58"/>
        <w:ind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3173" w:space="3560"/>
            <w:col w:w="2557"/>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4645"/>
        <w:gridCol w:w="4405"/>
      </w:tblGrid>
      <w:tr>
        <w:trPr>
          <w:trHeight w:val="281" w:hRule="exact"/>
        </w:trPr>
        <w:tc>
          <w:tcPr>
            <w:tcW w:w="46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授予日权益工具公允价值的确定方法</w:t>
            </w:r>
          </w:p>
        </w:tc>
        <w:tc>
          <w:tcPr>
            <w:tcW w:w="440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6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可行权权益工具数量的确定依据</w:t>
            </w:r>
          </w:p>
        </w:tc>
        <w:tc>
          <w:tcPr>
            <w:tcW w:w="440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6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本期估计与上期估计有重大差异的原因</w:t>
            </w:r>
          </w:p>
        </w:tc>
        <w:tc>
          <w:tcPr>
            <w:tcW w:w="4405"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46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以权益结算的股份支付计入资本公积的累计金额</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291,490,586</w:t>
            </w:r>
          </w:p>
        </w:tc>
      </w:tr>
      <w:tr>
        <w:trPr>
          <w:trHeight w:val="283" w:hRule="exact"/>
        </w:trPr>
        <w:tc>
          <w:tcPr>
            <w:tcW w:w="46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本期以权益结算的股份支付确认的费用总额</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111,604,565</w:t>
            </w:r>
          </w:p>
        </w:tc>
      </w:tr>
    </w:tbl>
    <w:p>
      <w:pPr>
        <w:pStyle w:val="BodyText"/>
        <w:spacing w:line="240" w:lineRule="exact"/>
        <w:ind w:right="99"/>
        <w:jc w:val="left"/>
      </w:pPr>
      <w:r>
        <w:rPr/>
        <w:t>其他说明</w:t>
      </w:r>
    </w:p>
    <w:p>
      <w:pPr>
        <w:pStyle w:val="BodyText"/>
        <w:spacing w:line="272" w:lineRule="exact" w:before="27"/>
        <w:ind w:right="99"/>
        <w:jc w:val="left"/>
      </w:pPr>
      <w:r>
        <w:rPr>
          <w:spacing w:val="-3"/>
        </w:rPr>
        <w:t>注：</w:t>
      </w:r>
      <w:r>
        <w:rPr>
          <w:rFonts w:ascii="宋体" w:hAnsi="宋体" w:cs="宋体" w:eastAsia="宋体" w:hint="default"/>
          <w:spacing w:val="-3"/>
        </w:rPr>
        <w:t>2017</w:t>
      </w:r>
      <w:r>
        <w:rPr>
          <w:rFonts w:ascii="宋体" w:hAnsi="宋体" w:cs="宋体" w:eastAsia="宋体" w:hint="default"/>
          <w:spacing w:val="-51"/>
        </w:rPr>
        <w:t> </w:t>
      </w:r>
      <w:r>
        <w:rPr/>
        <w:t>年度，公司已确认股份支付费用人民币</w:t>
      </w:r>
      <w:r>
        <w:rPr>
          <w:spacing w:val="-49"/>
        </w:rPr>
        <w:t> </w:t>
      </w:r>
      <w:r>
        <w:rPr>
          <w:rFonts w:ascii="宋体" w:hAnsi="宋体" w:cs="宋体" w:eastAsia="宋体" w:hint="default"/>
        </w:rPr>
        <w:t>111,604,565</w:t>
      </w:r>
      <w:r>
        <w:rPr>
          <w:rFonts w:ascii="宋体" w:hAnsi="宋体" w:cs="宋体" w:eastAsia="宋体" w:hint="default"/>
          <w:spacing w:val="-51"/>
        </w:rPr>
        <w:t> </w:t>
      </w:r>
      <w:r>
        <w:rPr>
          <w:spacing w:val="-3"/>
        </w:rPr>
        <w:t>元。其中，于损益中确认股份支付</w:t>
      </w:r>
      <w:r>
        <w:rPr>
          <w:spacing w:val="-103"/>
        </w:rPr>
        <w:t> </w:t>
      </w:r>
      <w:r>
        <w:rPr>
          <w:spacing w:val="-103"/>
        </w:rPr>
      </w:r>
      <w:r>
        <w:rPr/>
        <w:t>费用人民币</w:t>
      </w:r>
      <w:r>
        <w:rPr>
          <w:spacing w:val="-54"/>
        </w:rPr>
        <w:t> </w:t>
      </w:r>
      <w:r>
        <w:rPr>
          <w:rFonts w:ascii="宋体" w:hAnsi="宋体" w:cs="宋体" w:eastAsia="宋体" w:hint="default"/>
        </w:rPr>
        <w:t>109,777,933</w:t>
      </w:r>
      <w:r>
        <w:rPr>
          <w:rFonts w:ascii="宋体" w:hAnsi="宋体" w:cs="宋体" w:eastAsia="宋体" w:hint="default"/>
          <w:spacing w:val="-56"/>
        </w:rPr>
        <w:t> </w:t>
      </w:r>
      <w:r>
        <w:rPr/>
        <w:t>元，以资本化计入在建工程的金额为</w:t>
      </w:r>
      <w:r>
        <w:rPr>
          <w:spacing w:val="-54"/>
        </w:rPr>
        <w:t> </w:t>
      </w:r>
      <w:r>
        <w:rPr>
          <w:rFonts w:ascii="宋体" w:hAnsi="宋体" w:cs="宋体" w:eastAsia="宋体" w:hint="default"/>
        </w:rPr>
        <w:t>1,826,632</w:t>
      </w:r>
      <w:r>
        <w:rPr>
          <w:rFonts w:ascii="宋体" w:hAnsi="宋体" w:cs="宋体" w:eastAsia="宋体" w:hint="default"/>
          <w:spacing w:val="-54"/>
        </w:rPr>
        <w:t> </w:t>
      </w:r>
      <w:r>
        <w:rPr/>
        <w:t>人民币元。</w:t>
      </w:r>
    </w:p>
    <w:p>
      <w:pPr>
        <w:spacing w:line="240" w:lineRule="auto" w:before="4"/>
        <w:rPr>
          <w:rFonts w:ascii="宋体" w:hAnsi="宋体" w:cs="宋体" w:eastAsia="宋体" w:hint="default"/>
          <w:sz w:val="23"/>
          <w:szCs w:val="23"/>
        </w:rPr>
      </w:pPr>
    </w:p>
    <w:p>
      <w:pPr>
        <w:pStyle w:val="Heading3"/>
        <w:spacing w:line="240" w:lineRule="auto"/>
        <w:ind w:right="99"/>
        <w:jc w:val="left"/>
        <w:rPr>
          <w:b w:val="0"/>
          <w:bCs w:val="0"/>
        </w:rPr>
      </w:pPr>
      <w:r>
        <w:rPr>
          <w:rFonts w:ascii="宋体" w:hAnsi="宋体" w:cs="宋体" w:eastAsia="宋体" w:hint="default"/>
        </w:rPr>
        <w:t>3</w:t>
      </w:r>
      <w:r>
        <w:rPr/>
        <w:t>、 以现金结算的股份支付情况</w:t>
      </w:r>
      <w:r>
        <w:rPr>
          <w:b w:val="0"/>
          <w:bCs w:val="0"/>
        </w:rPr>
      </w:r>
    </w:p>
    <w:p>
      <w:pPr>
        <w:pStyle w:val="BodyText"/>
        <w:spacing w:line="240" w:lineRule="auto" w:before="56"/>
        <w:ind w:right="99"/>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pStyle w:val="Heading3"/>
        <w:spacing w:line="240" w:lineRule="auto"/>
        <w:ind w:right="99"/>
        <w:jc w:val="left"/>
        <w:rPr>
          <w:b w:val="0"/>
          <w:bCs w:val="0"/>
        </w:rPr>
      </w:pPr>
      <w:r>
        <w:rPr>
          <w:rFonts w:ascii="宋体" w:hAnsi="宋体" w:cs="宋体" w:eastAsia="宋体" w:hint="default"/>
        </w:rPr>
        <w:t>4</w:t>
      </w:r>
      <w:r>
        <w:rPr/>
        <w:t>、 股份支付的修改、终止情况</w:t>
      </w:r>
      <w:r>
        <w:rPr>
          <w:b w:val="0"/>
          <w:bCs w:val="0"/>
        </w:rPr>
      </w:r>
    </w:p>
    <w:p>
      <w:pPr>
        <w:pStyle w:val="BodyText"/>
        <w:tabs>
          <w:tab w:pos="1060" w:val="left" w:leader="none"/>
        </w:tabs>
        <w:spacing w:line="240" w:lineRule="auto" w:before="56"/>
        <w:ind w:right="6820"/>
        <w:jc w:val="left"/>
      </w:pPr>
      <w:r>
        <w:rPr>
          <w:spacing w:val="-1"/>
        </w:rPr>
        <w:t>√适用</w:t>
        <w:tab/>
      </w:r>
      <w:r>
        <w:rPr>
          <w:spacing w:val="-2"/>
        </w:rPr>
        <w:t>□不适用</w:t>
      </w:r>
      <w:r>
        <w:rPr>
          <w:spacing w:val="-99"/>
        </w:rPr>
        <w:t> </w:t>
      </w:r>
      <w:r>
        <w:rPr>
          <w:spacing w:val="-99"/>
        </w:rPr>
      </w:r>
      <w:r>
        <w:rPr/>
        <w:t>股份支付计划一</w:t>
      </w:r>
    </w:p>
    <w:p>
      <w:pPr>
        <w:spacing w:line="240" w:lineRule="auto" w:before="8"/>
        <w:rPr>
          <w:rFonts w:ascii="宋体" w:hAnsi="宋体" w:cs="宋体" w:eastAsia="宋体" w:hint="default"/>
          <w:sz w:val="20"/>
          <w:szCs w:val="20"/>
        </w:rPr>
      </w:pPr>
    </w:p>
    <w:p>
      <w:pPr>
        <w:pStyle w:val="BodyText"/>
        <w:spacing w:line="240" w:lineRule="auto"/>
        <w:ind w:right="99"/>
        <w:jc w:val="left"/>
      </w:pPr>
      <w:r>
        <w:rPr/>
        <w:t>首次授予及预留授予计划</w:t>
      </w:r>
    </w:p>
    <w:p>
      <w:pPr>
        <w:spacing w:line="240" w:lineRule="auto" w:before="8"/>
        <w:rPr>
          <w:rFonts w:ascii="宋体" w:hAnsi="宋体" w:cs="宋体" w:eastAsia="宋体" w:hint="default"/>
          <w:sz w:val="20"/>
          <w:szCs w:val="20"/>
        </w:rPr>
      </w:pPr>
    </w:p>
    <w:p>
      <w:pPr>
        <w:pStyle w:val="BodyText"/>
        <w:spacing w:line="273" w:lineRule="exact"/>
        <w:ind w:right="99"/>
        <w:jc w:val="left"/>
      </w:pPr>
      <w:r>
        <w:rPr/>
        <w:t>本公司于</w:t>
      </w:r>
      <w:r>
        <w:rPr>
          <w:spacing w:val="-48"/>
        </w:rPr>
        <w:t> </w:t>
      </w:r>
      <w:r>
        <w:rPr>
          <w:rFonts w:ascii="宋体" w:hAnsi="宋体" w:cs="宋体" w:eastAsia="宋体" w:hint="default"/>
        </w:rPr>
        <w:t>2013</w:t>
      </w:r>
      <w:r>
        <w:rPr>
          <w:rFonts w:ascii="宋体" w:hAnsi="宋体" w:cs="宋体" w:eastAsia="宋体" w:hint="default"/>
          <w:spacing w:val="-50"/>
        </w:rPr>
        <w:t> </w:t>
      </w:r>
      <w:r>
        <w:rPr/>
        <w:t>年</w:t>
      </w:r>
      <w:r>
        <w:rPr>
          <w:spacing w:val="-48"/>
        </w:rPr>
        <w:t> </w:t>
      </w:r>
      <w:r>
        <w:rPr>
          <w:rFonts w:ascii="宋体" w:hAnsi="宋体" w:cs="宋体" w:eastAsia="宋体" w:hint="default"/>
        </w:rPr>
        <w:t>8</w:t>
      </w:r>
      <w:r>
        <w:rPr>
          <w:rFonts w:ascii="宋体" w:hAnsi="宋体" w:cs="宋体" w:eastAsia="宋体" w:hint="default"/>
          <w:spacing w:val="-50"/>
        </w:rPr>
        <w:t> </w:t>
      </w:r>
      <w:r>
        <w:rPr/>
        <w:t>月</w:t>
      </w:r>
      <w:r>
        <w:rPr>
          <w:spacing w:val="-46"/>
        </w:rPr>
        <w:t> </w:t>
      </w:r>
      <w:r>
        <w:rPr>
          <w:rFonts w:ascii="宋体" w:hAnsi="宋体" w:cs="宋体" w:eastAsia="宋体" w:hint="default"/>
        </w:rPr>
        <w:t>16</w:t>
      </w:r>
      <w:r>
        <w:rPr>
          <w:rFonts w:ascii="宋体" w:hAnsi="宋体" w:cs="宋体" w:eastAsia="宋体" w:hint="default"/>
          <w:spacing w:val="-50"/>
        </w:rPr>
        <w:t> </w:t>
      </w:r>
      <w:r>
        <w:rPr/>
        <w:t>日召开第五届董事会</w:t>
      </w:r>
      <w:r>
        <w:rPr>
          <w:spacing w:val="-48"/>
        </w:rPr>
        <w:t> </w:t>
      </w:r>
      <w:r>
        <w:rPr>
          <w:rFonts w:ascii="宋体" w:hAnsi="宋体" w:cs="宋体" w:eastAsia="宋体" w:hint="default"/>
        </w:rPr>
        <w:t>2013</w:t>
      </w:r>
      <w:r>
        <w:rPr>
          <w:rFonts w:ascii="宋体" w:hAnsi="宋体" w:cs="宋体" w:eastAsia="宋体" w:hint="default"/>
          <w:spacing w:val="-50"/>
        </w:rPr>
        <w:t> </w:t>
      </w:r>
      <w:r>
        <w:rPr>
          <w:spacing w:val="-7"/>
        </w:rPr>
        <w:t>年第十一次会议，审议通过《公司股票期权与</w:t>
      </w:r>
    </w:p>
    <w:p>
      <w:pPr>
        <w:pStyle w:val="BodyText"/>
        <w:spacing w:line="272" w:lineRule="exact"/>
        <w:ind w:right="99"/>
        <w:jc w:val="left"/>
      </w:pPr>
      <w:r>
        <w:rPr>
          <w:spacing w:val="-6"/>
        </w:rPr>
        <w:t>限制性股票激励计划</w:t>
      </w:r>
      <w:r>
        <w:rPr>
          <w:rFonts w:ascii="宋体" w:hAnsi="宋体" w:cs="宋体" w:eastAsia="宋体" w:hint="default"/>
          <w:spacing w:val="-6"/>
        </w:rPr>
        <w:t>(</w:t>
      </w:r>
      <w:r>
        <w:rPr>
          <w:spacing w:val="-6"/>
        </w:rPr>
        <w:t>草案</w:t>
      </w:r>
      <w:r>
        <w:rPr>
          <w:rFonts w:ascii="宋体" w:hAnsi="宋体" w:cs="宋体" w:eastAsia="宋体" w:hint="default"/>
          <w:spacing w:val="-6"/>
        </w:rPr>
        <w:t>)</w:t>
      </w:r>
      <w:r>
        <w:rPr>
          <w:spacing w:val="-6"/>
        </w:rPr>
        <w:t>》并出具公告，并于</w:t>
      </w:r>
      <w:r>
        <w:rPr>
          <w:spacing w:val="-47"/>
        </w:rPr>
        <w:t> </w:t>
      </w:r>
      <w:r>
        <w:rPr>
          <w:rFonts w:ascii="宋体" w:hAnsi="宋体" w:cs="宋体" w:eastAsia="宋体" w:hint="default"/>
        </w:rPr>
        <w:t>2013</w:t>
      </w:r>
      <w:r>
        <w:rPr>
          <w:rFonts w:ascii="宋体" w:hAnsi="宋体" w:cs="宋体" w:eastAsia="宋体" w:hint="default"/>
          <w:spacing w:val="-49"/>
        </w:rPr>
        <w:t> </w:t>
      </w:r>
      <w:r>
        <w:rPr/>
        <w:t>年</w:t>
      </w:r>
      <w:r>
        <w:rPr>
          <w:spacing w:val="-47"/>
        </w:rPr>
        <w:t> </w:t>
      </w:r>
      <w:r>
        <w:rPr>
          <w:rFonts w:ascii="宋体" w:hAnsi="宋体" w:cs="宋体" w:eastAsia="宋体" w:hint="default"/>
        </w:rPr>
        <w:t>10</w:t>
      </w:r>
      <w:r>
        <w:rPr>
          <w:rFonts w:ascii="宋体" w:hAnsi="宋体" w:cs="宋体" w:eastAsia="宋体" w:hint="default"/>
          <w:spacing w:val="-49"/>
        </w:rPr>
        <w:t> </w:t>
      </w:r>
      <w:r>
        <w:rPr/>
        <w:t>月</w:t>
      </w:r>
      <w:r>
        <w:rPr>
          <w:spacing w:val="-47"/>
        </w:rPr>
        <w:t> </w:t>
      </w:r>
      <w:r>
        <w:rPr>
          <w:rFonts w:ascii="宋体" w:hAnsi="宋体" w:cs="宋体" w:eastAsia="宋体" w:hint="default"/>
        </w:rPr>
        <w:t>18</w:t>
      </w:r>
      <w:r>
        <w:rPr>
          <w:rFonts w:ascii="宋体" w:hAnsi="宋体" w:cs="宋体" w:eastAsia="宋体" w:hint="default"/>
          <w:spacing w:val="-49"/>
        </w:rPr>
        <w:t> </w:t>
      </w:r>
      <w:r>
        <w:rPr/>
        <w:t>日获得中国证监会备案无异议公</w:t>
      </w:r>
    </w:p>
    <w:p>
      <w:pPr>
        <w:pStyle w:val="BodyText"/>
        <w:spacing w:line="272" w:lineRule="exact" w:before="27"/>
        <w:ind w:right="99"/>
        <w:jc w:val="left"/>
      </w:pPr>
      <w:r>
        <w:rPr>
          <w:spacing w:val="-3"/>
        </w:rPr>
        <w:t>告。</w:t>
      </w:r>
      <w:r>
        <w:rPr>
          <w:rFonts w:ascii="宋体" w:hAnsi="宋体" w:cs="宋体" w:eastAsia="宋体" w:hint="default"/>
          <w:spacing w:val="-3"/>
        </w:rPr>
        <w:t>2013</w:t>
      </w:r>
      <w:r>
        <w:rPr>
          <w:rFonts w:ascii="宋体" w:hAnsi="宋体" w:cs="宋体" w:eastAsia="宋体" w:hint="default"/>
          <w:spacing w:val="-54"/>
        </w:rPr>
        <w:t> </w:t>
      </w:r>
      <w:r>
        <w:rPr/>
        <w:t>年</w:t>
      </w:r>
      <w:r>
        <w:rPr>
          <w:spacing w:val="-54"/>
        </w:rPr>
        <w:t> </w:t>
      </w:r>
      <w:r>
        <w:rPr>
          <w:rFonts w:ascii="宋体" w:hAnsi="宋体" w:cs="宋体" w:eastAsia="宋体" w:hint="default"/>
        </w:rPr>
        <w:t>11</w:t>
      </w:r>
      <w:r>
        <w:rPr>
          <w:rFonts w:ascii="宋体" w:hAnsi="宋体" w:cs="宋体" w:eastAsia="宋体" w:hint="default"/>
          <w:spacing w:val="-54"/>
        </w:rPr>
        <w:t> </w:t>
      </w:r>
      <w:r>
        <w:rPr/>
        <w:t>月</w:t>
      </w:r>
      <w:r>
        <w:rPr>
          <w:spacing w:val="-56"/>
        </w:rPr>
        <w:t> </w:t>
      </w:r>
      <w:r>
        <w:rPr>
          <w:rFonts w:ascii="宋体" w:hAnsi="宋体" w:cs="宋体" w:eastAsia="宋体" w:hint="default"/>
        </w:rPr>
        <w:t>12</w:t>
      </w:r>
      <w:r>
        <w:rPr>
          <w:rFonts w:ascii="宋体" w:hAnsi="宋体" w:cs="宋体" w:eastAsia="宋体" w:hint="default"/>
          <w:spacing w:val="-56"/>
        </w:rPr>
        <w:t> </w:t>
      </w:r>
      <w:r>
        <w:rPr>
          <w:spacing w:val="-5"/>
        </w:rPr>
        <w:t>日，本公司</w:t>
      </w:r>
      <w:r>
        <w:rPr>
          <w:spacing w:val="-53"/>
        </w:rPr>
        <w:t> </w:t>
      </w:r>
      <w:r>
        <w:rPr>
          <w:rFonts w:ascii="宋体" w:hAnsi="宋体" w:cs="宋体" w:eastAsia="宋体" w:hint="default"/>
        </w:rPr>
        <w:t>2013</w:t>
      </w:r>
      <w:r>
        <w:rPr>
          <w:rFonts w:ascii="宋体" w:hAnsi="宋体" w:cs="宋体" w:eastAsia="宋体" w:hint="default"/>
          <w:spacing w:val="-54"/>
        </w:rPr>
        <w:t> </w:t>
      </w:r>
      <w:r>
        <w:rPr/>
        <w:t>年第二次临时股东大会审议通过了《股权激励计划</w:t>
      </w:r>
      <w:r>
        <w:rPr>
          <w:rFonts w:ascii="宋体" w:hAnsi="宋体" w:cs="宋体" w:eastAsia="宋体" w:hint="default"/>
        </w:rPr>
        <w:t>(</w:t>
      </w:r>
      <w:r>
        <w:rPr/>
        <w:t>草案修</w:t>
      </w:r>
      <w:r>
        <w:rPr>
          <w:w w:val="100"/>
        </w:rPr>
        <w:t> </w:t>
      </w:r>
      <w:r>
        <w:rPr/>
        <w:t>订稿</w:t>
      </w:r>
      <w:r>
        <w:rPr>
          <w:rFonts w:ascii="宋体" w:hAnsi="宋体" w:cs="宋体" w:eastAsia="宋体" w:hint="default"/>
        </w:rPr>
        <w:t>)</w:t>
      </w:r>
      <w:r>
        <w:rPr/>
        <w:t>》</w:t>
      </w:r>
      <w:r>
        <w:rPr>
          <w:rFonts w:ascii="宋体" w:hAnsi="宋体" w:cs="宋体" w:eastAsia="宋体" w:hint="default"/>
        </w:rPr>
        <w:t>(</w:t>
      </w:r>
      <w:r>
        <w:rPr/>
        <w:t>以下简称“首次授予计划”)。</w:t>
      </w:r>
    </w:p>
    <w:p>
      <w:pPr>
        <w:spacing w:line="240" w:lineRule="auto" w:before="10"/>
        <w:rPr>
          <w:rFonts w:ascii="宋体" w:hAnsi="宋体" w:cs="宋体" w:eastAsia="宋体" w:hint="default"/>
          <w:sz w:val="18"/>
          <w:szCs w:val="18"/>
        </w:rPr>
      </w:pPr>
    </w:p>
    <w:p>
      <w:pPr>
        <w:pStyle w:val="BodyText"/>
        <w:spacing w:line="240" w:lineRule="auto"/>
        <w:ind w:right="99"/>
        <w:jc w:val="left"/>
      </w:pPr>
      <w:r>
        <w:rPr/>
        <w:t>本公司于</w:t>
      </w:r>
      <w:r>
        <w:rPr>
          <w:spacing w:val="-48"/>
        </w:rPr>
        <w:t> </w:t>
      </w:r>
      <w:r>
        <w:rPr>
          <w:rFonts w:ascii="宋体" w:hAnsi="宋体" w:cs="宋体" w:eastAsia="宋体" w:hint="default"/>
        </w:rPr>
        <w:t>2014</w:t>
      </w:r>
      <w:r>
        <w:rPr>
          <w:rFonts w:ascii="宋体" w:hAnsi="宋体" w:cs="宋体" w:eastAsia="宋体" w:hint="default"/>
          <w:spacing w:val="-50"/>
        </w:rPr>
        <w:t> </w:t>
      </w:r>
      <w:r>
        <w:rPr/>
        <w:t>年</w:t>
      </w:r>
      <w:r>
        <w:rPr>
          <w:spacing w:val="-48"/>
        </w:rPr>
        <w:t> </w:t>
      </w:r>
      <w:r>
        <w:rPr>
          <w:rFonts w:ascii="宋体" w:hAnsi="宋体" w:cs="宋体" w:eastAsia="宋体" w:hint="default"/>
        </w:rPr>
        <w:t>11</w:t>
      </w:r>
      <w:r>
        <w:rPr>
          <w:rFonts w:ascii="宋体" w:hAnsi="宋体" w:cs="宋体" w:eastAsia="宋体" w:hint="default"/>
          <w:spacing w:val="-50"/>
        </w:rPr>
        <w:t> </w:t>
      </w:r>
      <w:r>
        <w:rPr/>
        <w:t>月</w:t>
      </w:r>
      <w:r>
        <w:rPr>
          <w:spacing w:val="-47"/>
        </w:rPr>
        <w:t> </w:t>
      </w:r>
      <w:r>
        <w:rPr>
          <w:rFonts w:ascii="宋体" w:hAnsi="宋体" w:cs="宋体" w:eastAsia="宋体" w:hint="default"/>
        </w:rPr>
        <w:t>5</w:t>
      </w:r>
      <w:r>
        <w:rPr>
          <w:rFonts w:ascii="宋体" w:hAnsi="宋体" w:cs="宋体" w:eastAsia="宋体" w:hint="default"/>
          <w:spacing w:val="-50"/>
        </w:rPr>
        <w:t> </w:t>
      </w:r>
      <w:r>
        <w:rPr/>
        <w:t>日召开第六届董事会</w:t>
      </w:r>
      <w:r>
        <w:rPr>
          <w:spacing w:val="-48"/>
        </w:rPr>
        <w:t> </w:t>
      </w:r>
      <w:r>
        <w:rPr>
          <w:rFonts w:ascii="宋体" w:hAnsi="宋体" w:cs="宋体" w:eastAsia="宋体" w:hint="default"/>
        </w:rPr>
        <w:t>2014</w:t>
      </w:r>
      <w:r>
        <w:rPr>
          <w:rFonts w:ascii="宋体" w:hAnsi="宋体" w:cs="宋体" w:eastAsia="宋体" w:hint="default"/>
          <w:spacing w:val="-50"/>
        </w:rPr>
        <w:t> </w:t>
      </w:r>
      <w:r>
        <w:rPr>
          <w:spacing w:val="-7"/>
        </w:rPr>
        <w:t>年第七次会议，审议通过了《公司关于授予预</w:t>
      </w:r>
      <w:r>
        <w:rPr>
          <w:spacing w:val="-103"/>
        </w:rPr>
        <w:t> </w:t>
      </w:r>
      <w:r>
        <w:rPr>
          <w:spacing w:val="-103"/>
        </w:rPr>
      </w:r>
      <w:r>
        <w:rPr/>
        <w:t>留股票期权与限制性股票的议案》</w:t>
      </w:r>
      <w:r>
        <w:rPr>
          <w:rFonts w:ascii="宋体" w:hAnsi="宋体" w:cs="宋体" w:eastAsia="宋体" w:hint="default"/>
        </w:rPr>
        <w:t>(</w:t>
      </w:r>
      <w:r>
        <w:rPr/>
        <w:t>以下简称“预留授予计划”)。</w:t>
      </w:r>
    </w:p>
    <w:p>
      <w:pPr>
        <w:spacing w:line="240" w:lineRule="auto" w:before="8"/>
        <w:rPr>
          <w:rFonts w:ascii="宋体" w:hAnsi="宋体" w:cs="宋体" w:eastAsia="宋体" w:hint="default"/>
          <w:sz w:val="20"/>
          <w:szCs w:val="20"/>
        </w:rPr>
      </w:pPr>
    </w:p>
    <w:p>
      <w:pPr>
        <w:pStyle w:val="BodyText"/>
        <w:spacing w:line="273" w:lineRule="exact"/>
        <w:ind w:right="99"/>
        <w:jc w:val="left"/>
        <w:rPr>
          <w:rFonts w:ascii="宋体" w:hAnsi="宋体" w:cs="宋体" w:eastAsia="宋体" w:hint="default"/>
        </w:rPr>
      </w:pPr>
      <w:r>
        <w:rPr/>
        <w:t>本公司首次授予计划的授予日为</w:t>
      </w:r>
      <w:r>
        <w:rPr>
          <w:spacing w:val="-33"/>
        </w:rPr>
        <w:t> </w:t>
      </w:r>
      <w:r>
        <w:rPr>
          <w:rFonts w:ascii="宋体" w:hAnsi="宋体" w:cs="宋体" w:eastAsia="宋体" w:hint="default"/>
        </w:rPr>
        <w:t>2013</w:t>
      </w:r>
      <w:r>
        <w:rPr>
          <w:rFonts w:ascii="宋体" w:hAnsi="宋体" w:cs="宋体" w:eastAsia="宋体" w:hint="default"/>
          <w:spacing w:val="-36"/>
        </w:rPr>
        <w:t> </w:t>
      </w:r>
      <w:r>
        <w:rPr/>
        <w:t>年</w:t>
      </w:r>
      <w:r>
        <w:rPr>
          <w:spacing w:val="-33"/>
        </w:rPr>
        <w:t> </w:t>
      </w:r>
      <w:r>
        <w:rPr>
          <w:rFonts w:ascii="宋体" w:hAnsi="宋体" w:cs="宋体" w:eastAsia="宋体" w:hint="default"/>
        </w:rPr>
        <w:t>11</w:t>
      </w:r>
      <w:r>
        <w:rPr>
          <w:rFonts w:ascii="宋体" w:hAnsi="宋体" w:cs="宋体" w:eastAsia="宋体" w:hint="default"/>
          <w:spacing w:val="-36"/>
        </w:rPr>
        <w:t> </w:t>
      </w:r>
      <w:r>
        <w:rPr/>
        <w:t>月</w:t>
      </w:r>
      <w:r>
        <w:rPr>
          <w:spacing w:val="-33"/>
        </w:rPr>
        <w:t> </w:t>
      </w:r>
      <w:r>
        <w:rPr>
          <w:rFonts w:ascii="宋体" w:hAnsi="宋体" w:cs="宋体" w:eastAsia="宋体" w:hint="default"/>
        </w:rPr>
        <w:t>12</w:t>
      </w:r>
      <w:r>
        <w:rPr>
          <w:rFonts w:ascii="宋体" w:hAnsi="宋体" w:cs="宋体" w:eastAsia="宋体" w:hint="default"/>
          <w:spacing w:val="-35"/>
        </w:rPr>
        <w:t> </w:t>
      </w:r>
      <w:r>
        <w:rPr/>
        <w:t>日，本公司预留授予计划授予日为</w:t>
      </w:r>
      <w:r>
        <w:rPr>
          <w:spacing w:val="-33"/>
        </w:rPr>
        <w:t> </w:t>
      </w:r>
      <w:r>
        <w:rPr>
          <w:rFonts w:ascii="宋体" w:hAnsi="宋体" w:cs="宋体" w:eastAsia="宋体" w:hint="default"/>
        </w:rPr>
        <w:t>2014</w:t>
      </w:r>
      <w:r>
        <w:rPr>
          <w:rFonts w:ascii="宋体" w:hAnsi="宋体" w:cs="宋体" w:eastAsia="宋体" w:hint="default"/>
          <w:spacing w:val="-36"/>
        </w:rPr>
        <w:t> </w:t>
      </w:r>
      <w:r>
        <w:rPr/>
        <w:t>年</w:t>
      </w:r>
      <w:r>
        <w:rPr>
          <w:spacing w:val="-33"/>
        </w:rPr>
        <w:t> </w:t>
      </w:r>
      <w:r>
        <w:rPr>
          <w:rFonts w:ascii="宋体" w:hAnsi="宋体" w:cs="宋体" w:eastAsia="宋体" w:hint="default"/>
          <w:spacing w:val="-3"/>
        </w:rPr>
        <w:t>11</w:t>
      </w:r>
      <w:r>
        <w:rPr>
          <w:rFonts w:ascii="宋体" w:hAnsi="宋体" w:cs="宋体" w:eastAsia="宋体" w:hint="default"/>
        </w:rPr>
      </w:r>
    </w:p>
    <w:p>
      <w:pPr>
        <w:pStyle w:val="BodyText"/>
        <w:spacing w:line="272" w:lineRule="exact" w:before="26"/>
        <w:ind w:right="223"/>
        <w:jc w:val="left"/>
      </w:pPr>
      <w:r>
        <w:rPr/>
        <w:t>月</w:t>
      </w:r>
      <w:r>
        <w:rPr>
          <w:spacing w:val="-51"/>
        </w:rPr>
        <w:t> </w:t>
      </w:r>
      <w:r>
        <w:rPr>
          <w:rFonts w:ascii="宋体" w:hAnsi="宋体" w:cs="宋体" w:eastAsia="宋体" w:hint="default"/>
        </w:rPr>
        <w:t>6</w:t>
      </w:r>
      <w:r>
        <w:rPr>
          <w:rFonts w:ascii="宋体" w:hAnsi="宋体" w:cs="宋体" w:eastAsia="宋体" w:hint="default"/>
          <w:spacing w:val="-49"/>
        </w:rPr>
        <w:t> </w:t>
      </w:r>
      <w:r>
        <w:rPr/>
        <w:t>日。本公司实行的上述股票期权激励计划的激励对象包括本公司的高级管理人员及经认定的</w:t>
      </w:r>
      <w:r>
        <w:rPr>
          <w:w w:val="100"/>
        </w:rPr>
        <w:t> </w:t>
      </w:r>
      <w:r>
        <w:rPr/>
        <w:t>本公司及其子公司的核心员工。</w:t>
      </w:r>
    </w:p>
    <w:p>
      <w:pPr>
        <w:spacing w:line="240" w:lineRule="auto" w:before="10"/>
        <w:rPr>
          <w:rFonts w:ascii="宋体" w:hAnsi="宋体" w:cs="宋体" w:eastAsia="宋体" w:hint="default"/>
          <w:sz w:val="18"/>
          <w:szCs w:val="18"/>
        </w:rPr>
      </w:pPr>
    </w:p>
    <w:p>
      <w:pPr>
        <w:pStyle w:val="BodyText"/>
        <w:spacing w:line="240" w:lineRule="auto"/>
        <w:ind w:right="99"/>
        <w:jc w:val="left"/>
      </w:pPr>
      <w:r>
        <w:rPr/>
        <w:t>（</w:t>
      </w:r>
      <w:r>
        <w:rPr>
          <w:rFonts w:ascii="宋体" w:hAnsi="宋体" w:cs="宋体" w:eastAsia="宋体" w:hint="default"/>
        </w:rPr>
        <w:t>1</w:t>
      </w:r>
      <w:r>
        <w:rPr/>
        <w:t>）限制性股票激励计划</w:t>
      </w:r>
    </w:p>
    <w:p>
      <w:pPr>
        <w:spacing w:line="240" w:lineRule="auto" w:before="8"/>
        <w:rPr>
          <w:rFonts w:ascii="宋体" w:hAnsi="宋体" w:cs="宋体" w:eastAsia="宋体" w:hint="default"/>
          <w:sz w:val="20"/>
          <w:szCs w:val="20"/>
        </w:rPr>
      </w:pPr>
    </w:p>
    <w:p>
      <w:pPr>
        <w:pStyle w:val="BodyText"/>
        <w:spacing w:line="274" w:lineRule="exact"/>
        <w:ind w:right="99"/>
        <w:jc w:val="left"/>
      </w:pPr>
      <w:r>
        <w:rPr/>
        <w:t>本公司</w:t>
      </w:r>
      <w:r>
        <w:rPr>
          <w:spacing w:val="-53"/>
        </w:rPr>
        <w:t> </w:t>
      </w:r>
      <w:r>
        <w:rPr>
          <w:rFonts w:ascii="宋体" w:hAnsi="宋体" w:cs="宋体" w:eastAsia="宋体" w:hint="default"/>
        </w:rPr>
        <w:t>2013</w:t>
      </w:r>
      <w:r>
        <w:rPr>
          <w:rFonts w:ascii="宋体" w:hAnsi="宋体" w:cs="宋体" w:eastAsia="宋体" w:hint="default"/>
          <w:spacing w:val="-53"/>
        </w:rPr>
        <w:t> </w:t>
      </w:r>
      <w:r>
        <w:rPr/>
        <w:t>年首次授予计划中限制性股票的授予价格为人民币</w:t>
      </w:r>
      <w:r>
        <w:rPr>
          <w:spacing w:val="-53"/>
        </w:rPr>
        <w:t> </w:t>
      </w:r>
      <w:r>
        <w:rPr>
          <w:rFonts w:ascii="宋体" w:hAnsi="宋体" w:cs="宋体" w:eastAsia="宋体" w:hint="default"/>
        </w:rPr>
        <w:t>6.76</w:t>
      </w:r>
      <w:r>
        <w:rPr>
          <w:rFonts w:ascii="宋体" w:hAnsi="宋体" w:cs="宋体" w:eastAsia="宋体" w:hint="default"/>
          <w:spacing w:val="-53"/>
        </w:rPr>
        <w:t> </w:t>
      </w:r>
      <w:r>
        <w:rPr>
          <w:spacing w:val="-8"/>
        </w:rPr>
        <w:t>元，</w:t>
      </w:r>
      <w:r>
        <w:rPr>
          <w:rFonts w:ascii="宋体" w:hAnsi="宋体" w:cs="宋体" w:eastAsia="宋体" w:hint="default"/>
          <w:spacing w:val="-8"/>
        </w:rPr>
        <w:t>2014</w:t>
      </w:r>
      <w:r>
        <w:rPr>
          <w:rFonts w:ascii="宋体" w:hAnsi="宋体" w:cs="宋体" w:eastAsia="宋体" w:hint="default"/>
          <w:spacing w:val="-55"/>
        </w:rPr>
        <w:t> </w:t>
      </w:r>
      <w:r>
        <w:rPr/>
        <w:t>年预留授予计划中</w:t>
      </w:r>
    </w:p>
    <w:p>
      <w:pPr>
        <w:pStyle w:val="BodyText"/>
        <w:spacing w:line="273" w:lineRule="exact"/>
        <w:ind w:right="99"/>
        <w:jc w:val="left"/>
      </w:pPr>
      <w:r>
        <w:rPr>
          <w:w w:val="100"/>
        </w:rPr>
        <w:t>限制</w:t>
      </w:r>
      <w:r>
        <w:rPr>
          <w:spacing w:val="-3"/>
          <w:w w:val="100"/>
        </w:rPr>
        <w:t>性</w:t>
      </w:r>
      <w:r>
        <w:rPr>
          <w:w w:val="100"/>
        </w:rPr>
        <w:t>股</w:t>
      </w:r>
      <w:r>
        <w:rPr>
          <w:spacing w:val="-3"/>
          <w:w w:val="100"/>
        </w:rPr>
        <w:t>票</w:t>
      </w:r>
      <w:r>
        <w:rPr>
          <w:w w:val="100"/>
        </w:rPr>
        <w:t>的</w:t>
      </w:r>
      <w:r>
        <w:rPr>
          <w:spacing w:val="-3"/>
          <w:w w:val="100"/>
        </w:rPr>
        <w:t>授</w:t>
      </w:r>
      <w:r>
        <w:rPr>
          <w:w w:val="100"/>
        </w:rPr>
        <w:t>予</w:t>
      </w:r>
      <w:r>
        <w:rPr>
          <w:spacing w:val="-3"/>
          <w:w w:val="100"/>
        </w:rPr>
        <w:t>价</w:t>
      </w:r>
      <w:r>
        <w:rPr>
          <w:w w:val="100"/>
        </w:rPr>
        <w:t>格</w:t>
      </w:r>
      <w:r>
        <w:rPr>
          <w:spacing w:val="-3"/>
          <w:w w:val="100"/>
        </w:rPr>
        <w:t>为</w:t>
      </w:r>
      <w:r>
        <w:rPr>
          <w:w w:val="100"/>
        </w:rPr>
        <w:t>人</w:t>
      </w:r>
      <w:r>
        <w:rPr>
          <w:spacing w:val="-3"/>
          <w:w w:val="100"/>
        </w:rPr>
        <w:t>民</w:t>
      </w:r>
      <w:r>
        <w:rPr>
          <w:w w:val="100"/>
        </w:rPr>
        <w:t>币</w:t>
      </w:r>
      <w:r>
        <w:rPr>
          <w:spacing w:val="-53"/>
        </w:rPr>
        <w:t> </w:t>
      </w:r>
      <w:r>
        <w:rPr>
          <w:rFonts w:ascii="宋体" w:hAnsi="宋体" w:cs="宋体" w:eastAsia="宋体" w:hint="default"/>
          <w:w w:val="100"/>
        </w:rPr>
        <w:t>10</w:t>
      </w:r>
      <w:r>
        <w:rPr>
          <w:rFonts w:ascii="宋体" w:hAnsi="宋体" w:cs="宋体" w:eastAsia="宋体" w:hint="default"/>
          <w:spacing w:val="-3"/>
          <w:w w:val="100"/>
        </w:rPr>
        <w:t>.</w:t>
      </w:r>
      <w:r>
        <w:rPr>
          <w:rFonts w:ascii="宋体" w:hAnsi="宋体" w:cs="宋体" w:eastAsia="宋体" w:hint="default"/>
          <w:w w:val="100"/>
        </w:rPr>
        <w:t>51</w:t>
      </w:r>
      <w:r>
        <w:rPr>
          <w:rFonts w:ascii="宋体" w:hAnsi="宋体" w:cs="宋体" w:eastAsia="宋体" w:hint="default"/>
          <w:spacing w:val="-53"/>
        </w:rPr>
        <w:t> </w:t>
      </w:r>
      <w:r>
        <w:rPr>
          <w:spacing w:val="-3"/>
          <w:w w:val="100"/>
        </w:rPr>
        <w:t>元</w:t>
      </w:r>
      <w:r>
        <w:rPr>
          <w:spacing w:val="-94"/>
          <w:w w:val="100"/>
        </w:rPr>
        <w:t>。</w:t>
      </w:r>
      <w:r>
        <w:rPr>
          <w:w w:val="100"/>
        </w:rPr>
        <w:t>授</w:t>
      </w:r>
      <w:r>
        <w:rPr>
          <w:spacing w:val="-3"/>
          <w:w w:val="100"/>
        </w:rPr>
        <w:t>予</w:t>
      </w:r>
      <w:r>
        <w:rPr>
          <w:w w:val="100"/>
        </w:rPr>
        <w:t>的</w:t>
      </w:r>
      <w:r>
        <w:rPr>
          <w:spacing w:val="-3"/>
          <w:w w:val="100"/>
        </w:rPr>
        <w:t>限</w:t>
      </w:r>
      <w:r>
        <w:rPr>
          <w:w w:val="100"/>
        </w:rPr>
        <w:t>制性</w:t>
      </w:r>
      <w:r>
        <w:rPr>
          <w:spacing w:val="-3"/>
          <w:w w:val="100"/>
        </w:rPr>
        <w:t>股</w:t>
      </w:r>
      <w:r>
        <w:rPr>
          <w:w w:val="100"/>
        </w:rPr>
        <w:t>票</w:t>
      </w:r>
      <w:r>
        <w:rPr>
          <w:spacing w:val="-3"/>
          <w:w w:val="100"/>
        </w:rPr>
        <w:t>激</w:t>
      </w:r>
      <w:r>
        <w:rPr>
          <w:w w:val="100"/>
        </w:rPr>
        <w:t>励</w:t>
      </w:r>
      <w:r>
        <w:rPr>
          <w:spacing w:val="-3"/>
          <w:w w:val="100"/>
        </w:rPr>
        <w:t>对</w:t>
      </w:r>
      <w:r>
        <w:rPr>
          <w:w w:val="100"/>
        </w:rPr>
        <w:t>象</w:t>
      </w:r>
      <w:r>
        <w:rPr>
          <w:spacing w:val="-3"/>
          <w:w w:val="100"/>
        </w:rPr>
        <w:t>均</w:t>
      </w:r>
      <w:r>
        <w:rPr>
          <w:w w:val="100"/>
        </w:rPr>
        <w:t>应</w:t>
      </w:r>
      <w:r>
        <w:rPr>
          <w:spacing w:val="-3"/>
          <w:w w:val="100"/>
        </w:rPr>
        <w:t>在</w:t>
      </w:r>
      <w:r>
        <w:rPr>
          <w:w w:val="100"/>
        </w:rPr>
        <w:t>授予</w:t>
      </w:r>
      <w:r>
        <w:rPr>
          <w:spacing w:val="-3"/>
          <w:w w:val="100"/>
        </w:rPr>
        <w:t>日起</w:t>
      </w:r>
      <w:r>
        <w:rPr>
          <w:w w:val="100"/>
        </w:rPr>
        <w:t>满</w:t>
      </w:r>
      <w:r>
        <w:rPr>
          <w:spacing w:val="-52"/>
        </w:rPr>
        <w:t> </w:t>
      </w:r>
      <w:r>
        <w:rPr>
          <w:rFonts w:ascii="宋体" w:hAnsi="宋体" w:cs="宋体" w:eastAsia="宋体" w:hint="default"/>
          <w:w w:val="100"/>
        </w:rPr>
        <w:t>12</w:t>
      </w:r>
      <w:r>
        <w:rPr>
          <w:rFonts w:ascii="宋体" w:hAnsi="宋体" w:cs="宋体" w:eastAsia="宋体" w:hint="default"/>
          <w:spacing w:val="-55"/>
        </w:rPr>
        <w:t> </w:t>
      </w:r>
      <w:r>
        <w:rPr>
          <w:spacing w:val="-3"/>
          <w:w w:val="100"/>
        </w:rPr>
        <w:t>个月</w:t>
      </w:r>
      <w:r>
        <w:rPr>
          <w:w w:val="100"/>
        </w:rPr>
      </w:r>
    </w:p>
    <w:p>
      <w:pPr>
        <w:pStyle w:val="BodyText"/>
        <w:spacing w:line="273" w:lineRule="exact"/>
        <w:ind w:right="99"/>
        <w:jc w:val="left"/>
      </w:pPr>
      <w:r>
        <w:rPr/>
        <w:t>后的未来</w:t>
      </w:r>
      <w:r>
        <w:rPr>
          <w:spacing w:val="-54"/>
        </w:rPr>
        <w:t> </w:t>
      </w:r>
      <w:r>
        <w:rPr>
          <w:rFonts w:ascii="宋体" w:hAnsi="宋体" w:cs="宋体" w:eastAsia="宋体" w:hint="default"/>
        </w:rPr>
        <w:t>36</w:t>
      </w:r>
      <w:r>
        <w:rPr>
          <w:rFonts w:ascii="宋体" w:hAnsi="宋体" w:cs="宋体" w:eastAsia="宋体" w:hint="default"/>
          <w:spacing w:val="-54"/>
        </w:rPr>
        <w:t> </w:t>
      </w:r>
      <w:r>
        <w:rPr/>
        <w:t>个月内分三期解锁。</w:t>
      </w:r>
    </w:p>
    <w:p>
      <w:pPr>
        <w:spacing w:after="0" w:line="273" w:lineRule="exact"/>
        <w:jc w:val="left"/>
        <w:sectPr>
          <w:type w:val="continuous"/>
          <w:pgSz w:w="11910" w:h="16840"/>
          <w:pgMar w:top="1320" w:bottom="1380" w:left="1580" w:right="1040"/>
        </w:sectPr>
      </w:pPr>
    </w:p>
    <w:p>
      <w:pPr>
        <w:spacing w:line="240" w:lineRule="auto" w:before="4"/>
        <w:rPr>
          <w:rFonts w:ascii="宋体" w:hAnsi="宋体" w:cs="宋体" w:eastAsia="宋体" w:hint="default"/>
          <w:sz w:val="12"/>
          <w:szCs w:val="12"/>
        </w:rPr>
      </w:pPr>
    </w:p>
    <w:p>
      <w:pPr>
        <w:pStyle w:val="BodyText"/>
        <w:spacing w:line="240" w:lineRule="auto" w:before="36"/>
        <w:ind w:left="138" w:right="0"/>
        <w:jc w:val="left"/>
      </w:pPr>
      <w:r>
        <w:rPr/>
        <w:t>截至</w:t>
      </w:r>
      <w:r>
        <w:rPr>
          <w:spacing w:val="-54"/>
        </w:rPr>
        <w:t> </w:t>
      </w:r>
      <w:r>
        <w:rPr>
          <w:rFonts w:ascii="宋体" w:hAnsi="宋体" w:cs="宋体" w:eastAsia="宋体" w:hint="default"/>
        </w:rPr>
        <w:t>2017</w:t>
      </w:r>
      <w:r>
        <w:rPr>
          <w:rFonts w:ascii="宋体" w:hAnsi="宋体" w:cs="宋体" w:eastAsia="宋体" w:hint="default"/>
          <w:spacing w:val="-54"/>
        </w:rPr>
        <w:t> </w:t>
      </w:r>
      <w:r>
        <w:rPr/>
        <w:t>年</w:t>
      </w:r>
      <w:r>
        <w:rPr>
          <w:spacing w:val="-51"/>
        </w:rPr>
        <w:t> </w:t>
      </w:r>
      <w:r>
        <w:rPr>
          <w:rFonts w:ascii="宋体" w:hAnsi="宋体" w:cs="宋体" w:eastAsia="宋体" w:hint="default"/>
        </w:rPr>
        <w:t>12</w:t>
      </w:r>
      <w:r>
        <w:rPr>
          <w:rFonts w:ascii="宋体" w:hAnsi="宋体" w:cs="宋体" w:eastAsia="宋体" w:hint="default"/>
          <w:spacing w:val="-54"/>
        </w:rPr>
        <w:t> </w:t>
      </w:r>
      <w:r>
        <w:rPr/>
        <w:t>月</w:t>
      </w:r>
      <w:r>
        <w:rPr>
          <w:spacing w:val="-51"/>
        </w:rPr>
        <w:t> </w:t>
      </w:r>
      <w:r>
        <w:rPr>
          <w:rFonts w:ascii="宋体" w:hAnsi="宋体" w:cs="宋体" w:eastAsia="宋体" w:hint="default"/>
        </w:rPr>
        <w:t>31</w:t>
      </w:r>
      <w:r>
        <w:rPr>
          <w:rFonts w:ascii="宋体" w:hAnsi="宋体" w:cs="宋体" w:eastAsia="宋体" w:hint="default"/>
          <w:spacing w:val="-51"/>
        </w:rPr>
        <w:t> </w:t>
      </w:r>
      <w:r>
        <w:rPr/>
        <w:t>日，首次授予计划和预留授予计划的解锁期均已经结束（第三期因</w:t>
      </w:r>
      <w:r>
        <w:rPr>
          <w:spacing w:val="-51"/>
        </w:rPr>
        <w:t> </w:t>
      </w:r>
      <w:r>
        <w:rPr>
          <w:rFonts w:ascii="宋体" w:hAnsi="宋体" w:cs="宋体" w:eastAsia="宋体" w:hint="default"/>
        </w:rPr>
        <w:t>2016</w:t>
      </w:r>
      <w:r>
        <w:rPr>
          <w:rFonts w:ascii="宋体" w:hAnsi="宋体" w:cs="宋体" w:eastAsia="宋体" w:hint="default"/>
          <w:spacing w:val="-54"/>
        </w:rPr>
        <w:t> </w:t>
      </w:r>
      <w:r>
        <w:rPr/>
        <w:t>年</w:t>
      </w:r>
      <w:r>
        <w:rPr>
          <w:w w:val="100"/>
        </w:rPr>
        <w:t> </w:t>
      </w:r>
      <w:r>
        <w:rPr>
          <w:spacing w:val="-7"/>
        </w:rPr>
        <w:t>未达业绩条件而无法解锁），无法解锁的限制性股票合计为</w:t>
      </w:r>
      <w:r>
        <w:rPr>
          <w:spacing w:val="-40"/>
        </w:rPr>
        <w:t> </w:t>
      </w:r>
      <w:r>
        <w:rPr>
          <w:rFonts w:ascii="宋体" w:hAnsi="宋体" w:cs="宋体" w:eastAsia="宋体" w:hint="default"/>
        </w:rPr>
        <w:t>860,238</w:t>
      </w:r>
      <w:r>
        <w:rPr>
          <w:rFonts w:ascii="宋体" w:hAnsi="宋体" w:cs="宋体" w:eastAsia="宋体" w:hint="default"/>
          <w:spacing w:val="-40"/>
        </w:rPr>
        <w:t> </w:t>
      </w:r>
      <w:r>
        <w:rPr/>
        <w:t>股</w:t>
      </w:r>
      <w:r>
        <w:rPr>
          <w:rFonts w:ascii="宋体" w:hAnsi="宋体" w:cs="宋体" w:eastAsia="宋体" w:hint="default"/>
        </w:rPr>
        <w:t>(2016</w:t>
      </w:r>
      <w:r>
        <w:rPr>
          <w:rFonts w:ascii="宋体" w:hAnsi="宋体" w:cs="宋体" w:eastAsia="宋体" w:hint="default"/>
          <w:spacing w:val="-40"/>
        </w:rPr>
        <w:t> </w:t>
      </w:r>
      <w:r>
        <w:rPr>
          <w:spacing w:val="-7"/>
        </w:rPr>
        <w:t>年：</w:t>
      </w:r>
      <w:r>
        <w:rPr>
          <w:rFonts w:ascii="宋体" w:hAnsi="宋体" w:cs="宋体" w:eastAsia="宋体" w:hint="default"/>
          <w:spacing w:val="-7"/>
        </w:rPr>
        <w:t>3,927,453</w:t>
      </w:r>
      <w:r>
        <w:rPr>
          <w:rFonts w:ascii="宋体" w:hAnsi="宋体" w:cs="宋体" w:eastAsia="宋体" w:hint="default"/>
          <w:spacing w:val="-43"/>
        </w:rPr>
        <w:t> </w:t>
      </w:r>
      <w:r>
        <w:rPr/>
        <w:t>股</w:t>
      </w:r>
      <w:r>
        <w:rPr>
          <w:rFonts w:ascii="宋体" w:hAnsi="宋体" w:cs="宋体" w:eastAsia="宋体" w:hint="default"/>
        </w:rPr>
        <w:t>)</w:t>
      </w:r>
      <w:r>
        <w:rPr/>
        <w:t>。</w:t>
      </w:r>
    </w:p>
    <w:p>
      <w:pPr>
        <w:spacing w:line="240" w:lineRule="auto" w:before="8"/>
        <w:rPr>
          <w:rFonts w:ascii="宋体" w:hAnsi="宋体" w:cs="宋体" w:eastAsia="宋体" w:hint="default"/>
          <w:sz w:val="20"/>
          <w:szCs w:val="20"/>
        </w:rPr>
      </w:pPr>
    </w:p>
    <w:p>
      <w:pPr>
        <w:pStyle w:val="BodyText"/>
        <w:spacing w:line="240" w:lineRule="auto"/>
        <w:ind w:left="138" w:right="0"/>
        <w:jc w:val="left"/>
      </w:pPr>
      <w:r>
        <w:rPr>
          <w:rFonts w:ascii="宋体" w:hAnsi="宋体" w:cs="宋体" w:eastAsia="宋体" w:hint="default"/>
        </w:rPr>
        <w:t>(2)</w:t>
      </w:r>
      <w:r>
        <w:rPr>
          <w:rFonts w:ascii="宋体" w:hAnsi="宋体" w:cs="宋体" w:eastAsia="宋体" w:hint="default"/>
          <w:spacing w:val="-1"/>
        </w:rPr>
        <w:t> </w:t>
      </w:r>
      <w:r>
        <w:rPr/>
        <w:t>股票期权激励计划</w:t>
      </w:r>
    </w:p>
    <w:p>
      <w:pPr>
        <w:spacing w:line="240" w:lineRule="auto" w:before="8"/>
        <w:rPr>
          <w:rFonts w:ascii="宋体" w:hAnsi="宋体" w:cs="宋体" w:eastAsia="宋体" w:hint="default"/>
          <w:sz w:val="20"/>
          <w:szCs w:val="20"/>
        </w:rPr>
      </w:pPr>
    </w:p>
    <w:p>
      <w:pPr>
        <w:pStyle w:val="BodyText"/>
        <w:spacing w:line="273" w:lineRule="exact"/>
        <w:ind w:left="138" w:right="0"/>
        <w:jc w:val="left"/>
      </w:pPr>
      <w:r>
        <w:rPr/>
        <w:t>本公司</w:t>
      </w:r>
      <w:r>
        <w:rPr>
          <w:spacing w:val="-41"/>
        </w:rPr>
        <w:t> </w:t>
      </w:r>
      <w:r>
        <w:rPr>
          <w:rFonts w:ascii="宋体" w:hAnsi="宋体" w:cs="宋体" w:eastAsia="宋体" w:hint="default"/>
        </w:rPr>
        <w:t>2013</w:t>
      </w:r>
      <w:r>
        <w:rPr>
          <w:rFonts w:ascii="宋体" w:hAnsi="宋体" w:cs="宋体" w:eastAsia="宋体" w:hint="default"/>
          <w:spacing w:val="-41"/>
        </w:rPr>
        <w:t> </w:t>
      </w:r>
      <w:r>
        <w:rPr/>
        <w:t>年首次授予计划中股票期权的行权价格为人民币</w:t>
      </w:r>
      <w:r>
        <w:rPr>
          <w:spacing w:val="-40"/>
        </w:rPr>
        <w:t> </w:t>
      </w:r>
      <w:r>
        <w:rPr>
          <w:rFonts w:ascii="宋体" w:hAnsi="宋体" w:cs="宋体" w:eastAsia="宋体" w:hint="default"/>
        </w:rPr>
        <w:t>12.63</w:t>
      </w:r>
      <w:r>
        <w:rPr>
          <w:rFonts w:ascii="宋体" w:hAnsi="宋体" w:cs="宋体" w:eastAsia="宋体" w:hint="default"/>
          <w:spacing w:val="-41"/>
        </w:rPr>
        <w:t> </w:t>
      </w:r>
      <w:r>
        <w:rPr/>
        <w:t>元，</w:t>
      </w:r>
      <w:r>
        <w:rPr>
          <w:rFonts w:ascii="宋体" w:hAnsi="宋体" w:cs="宋体" w:eastAsia="宋体" w:hint="default"/>
        </w:rPr>
        <w:t>2014</w:t>
      </w:r>
      <w:r>
        <w:rPr>
          <w:rFonts w:ascii="宋体" w:hAnsi="宋体" w:cs="宋体" w:eastAsia="宋体" w:hint="default"/>
          <w:spacing w:val="-42"/>
        </w:rPr>
        <w:t> </w:t>
      </w:r>
      <w:r>
        <w:rPr/>
        <w:t>年预留授予计划中</w:t>
      </w:r>
    </w:p>
    <w:p>
      <w:pPr>
        <w:pStyle w:val="BodyText"/>
        <w:spacing w:line="272" w:lineRule="exact"/>
        <w:ind w:left="138" w:right="0"/>
        <w:jc w:val="left"/>
      </w:pPr>
      <w:r>
        <w:rPr/>
        <w:t>股票期权的行权价格为人民币</w:t>
      </w:r>
      <w:r>
        <w:rPr>
          <w:spacing w:val="-50"/>
        </w:rPr>
        <w:t> </w:t>
      </w:r>
      <w:r>
        <w:rPr>
          <w:rFonts w:ascii="宋体" w:hAnsi="宋体" w:cs="宋体" w:eastAsia="宋体" w:hint="default"/>
        </w:rPr>
        <w:t>18.28</w:t>
      </w:r>
      <w:r>
        <w:rPr>
          <w:rFonts w:ascii="宋体" w:hAnsi="宋体" w:cs="宋体" w:eastAsia="宋体" w:hint="default"/>
          <w:spacing w:val="-50"/>
        </w:rPr>
        <w:t> </w:t>
      </w:r>
      <w:r>
        <w:rPr/>
        <w:t>元。首次授予计划和预留授予计划的有效期为自股票期权授</w:t>
      </w:r>
    </w:p>
    <w:p>
      <w:pPr>
        <w:pStyle w:val="BodyText"/>
        <w:spacing w:line="272" w:lineRule="exact" w:before="27"/>
        <w:ind w:left="138" w:right="0"/>
        <w:jc w:val="left"/>
      </w:pPr>
      <w:r>
        <w:rPr/>
        <w:t>予日起</w:t>
      </w:r>
      <w:r>
        <w:rPr>
          <w:spacing w:val="-31"/>
        </w:rPr>
        <w:t> </w:t>
      </w:r>
      <w:r>
        <w:rPr>
          <w:rFonts w:ascii="宋体" w:hAnsi="宋体" w:cs="宋体" w:eastAsia="宋体" w:hint="default"/>
        </w:rPr>
        <w:t>48</w:t>
      </w:r>
      <w:r>
        <w:rPr>
          <w:rFonts w:ascii="宋体" w:hAnsi="宋体" w:cs="宋体" w:eastAsia="宋体" w:hint="default"/>
          <w:spacing w:val="-34"/>
        </w:rPr>
        <w:t> </w:t>
      </w:r>
      <w:r>
        <w:rPr>
          <w:spacing w:val="-4"/>
        </w:rPr>
        <w:t>个月。首次授予计划和预留授予计划有效期结束后，已获授但尚未行权的股票期权不得</w:t>
      </w:r>
      <w:r>
        <w:rPr>
          <w:spacing w:val="-97"/>
        </w:rPr>
        <w:t> </w:t>
      </w:r>
      <w:r>
        <w:rPr>
          <w:spacing w:val="-97"/>
        </w:rPr>
      </w:r>
      <w:r>
        <w:rPr/>
        <w:t>行权。</w:t>
      </w:r>
    </w:p>
    <w:p>
      <w:pPr>
        <w:spacing w:line="240" w:lineRule="auto" w:before="7"/>
        <w:rPr>
          <w:rFonts w:ascii="宋体" w:hAnsi="宋体" w:cs="宋体" w:eastAsia="宋体" w:hint="default"/>
          <w:sz w:val="16"/>
          <w:szCs w:val="16"/>
        </w:rPr>
      </w:pPr>
    </w:p>
    <w:p>
      <w:pPr>
        <w:spacing w:before="0"/>
        <w:ind w:left="810" w:right="0" w:firstLine="0"/>
        <w:jc w:val="left"/>
        <w:rPr>
          <w:rFonts w:ascii="黑体" w:hAnsi="黑体" w:cs="黑体" w:eastAsia="黑体" w:hint="default"/>
          <w:sz w:val="20"/>
          <w:szCs w:val="20"/>
        </w:rPr>
      </w:pPr>
      <w:r>
        <w:rPr>
          <w:rFonts w:ascii="黑体" w:hAnsi="黑体" w:cs="黑体" w:eastAsia="黑体" w:hint="default"/>
          <w:sz w:val="20"/>
          <w:szCs w:val="20"/>
        </w:rPr>
        <w:t>按照本计划，发行在外的股票期权如下：</w:t>
      </w:r>
    </w:p>
    <w:p>
      <w:pPr>
        <w:spacing w:line="240" w:lineRule="auto" w:before="6"/>
        <w:rPr>
          <w:rFonts w:ascii="黑体" w:hAnsi="黑体" w:cs="黑体" w:eastAsia="黑体" w:hint="default"/>
          <w:sz w:val="24"/>
          <w:szCs w:val="24"/>
        </w:rPr>
      </w:pPr>
    </w:p>
    <w:tbl>
      <w:tblPr>
        <w:tblW w:w="0" w:type="auto"/>
        <w:jc w:val="left"/>
        <w:tblInd w:w="523" w:type="dxa"/>
        <w:tblLayout w:type="fixed"/>
        <w:tblCellMar>
          <w:top w:w="0" w:type="dxa"/>
          <w:left w:w="0" w:type="dxa"/>
          <w:bottom w:w="0" w:type="dxa"/>
          <w:right w:w="0" w:type="dxa"/>
        </w:tblCellMar>
        <w:tblLook w:val="01E0"/>
      </w:tblPr>
      <w:tblGrid>
        <w:gridCol w:w="2177"/>
        <w:gridCol w:w="1406"/>
        <w:gridCol w:w="1301"/>
        <w:gridCol w:w="1757"/>
        <w:gridCol w:w="1154"/>
        <w:gridCol w:w="419"/>
      </w:tblGrid>
      <w:tr>
        <w:trPr>
          <w:trHeight w:val="503" w:hRule="exact"/>
        </w:trPr>
        <w:tc>
          <w:tcPr>
            <w:tcW w:w="2177" w:type="dxa"/>
            <w:tcBorders>
              <w:top w:val="nil" w:sz="6" w:space="0" w:color="auto"/>
              <w:left w:val="nil" w:sz="6" w:space="0" w:color="auto"/>
              <w:bottom w:val="nil" w:sz="6" w:space="0" w:color="auto"/>
              <w:right w:val="nil" w:sz="6" w:space="0" w:color="auto"/>
            </w:tcBorders>
          </w:tcPr>
          <w:p>
            <w:pPr/>
          </w:p>
        </w:tc>
        <w:tc>
          <w:tcPr>
            <w:tcW w:w="1406" w:type="dxa"/>
            <w:tcBorders>
              <w:top w:val="nil" w:sz="6" w:space="0" w:color="auto"/>
              <w:left w:val="nil" w:sz="6" w:space="0" w:color="auto"/>
              <w:bottom w:val="nil" w:sz="6" w:space="0" w:color="auto"/>
              <w:right w:val="nil" w:sz="6" w:space="0" w:color="auto"/>
            </w:tcBorders>
          </w:tcPr>
          <w:p>
            <w:pPr>
              <w:pStyle w:val="TableParagraph"/>
              <w:spacing w:line="199" w:lineRule="exact"/>
              <w:ind w:left="176" w:right="0"/>
              <w:jc w:val="left"/>
              <w:rPr>
                <w:rFonts w:ascii="宋体" w:hAnsi="宋体" w:cs="宋体" w:eastAsia="宋体" w:hint="default"/>
                <w:sz w:val="20"/>
                <w:szCs w:val="20"/>
              </w:rPr>
            </w:pPr>
            <w:r>
              <w:rPr>
                <w:rFonts w:ascii="宋体" w:hAnsi="宋体" w:cs="宋体" w:eastAsia="宋体" w:hint="default"/>
                <w:sz w:val="20"/>
                <w:szCs w:val="20"/>
              </w:rPr>
              <w:t>2017</w:t>
            </w:r>
            <w:r>
              <w:rPr>
                <w:rFonts w:ascii="宋体" w:hAnsi="宋体" w:cs="宋体" w:eastAsia="宋体" w:hint="default"/>
                <w:sz w:val="20"/>
                <w:szCs w:val="20"/>
              </w:rPr>
              <w:t>年加权平</w:t>
            </w:r>
          </w:p>
          <w:p>
            <w:pPr>
              <w:pStyle w:val="TableParagraph"/>
              <w:spacing w:line="240" w:lineRule="auto"/>
              <w:ind w:left="176" w:right="0"/>
              <w:jc w:val="left"/>
              <w:rPr>
                <w:rFonts w:ascii="宋体" w:hAnsi="宋体" w:cs="宋体" w:eastAsia="宋体" w:hint="default"/>
                <w:sz w:val="20"/>
                <w:szCs w:val="20"/>
              </w:rPr>
            </w:pPr>
            <w:r>
              <w:rPr>
                <w:rFonts w:ascii="宋体" w:hAnsi="宋体" w:cs="宋体" w:eastAsia="宋体" w:hint="default"/>
                <w:sz w:val="20"/>
                <w:szCs w:val="20"/>
              </w:rPr>
              <w:t>均行权价格</w:t>
            </w:r>
          </w:p>
        </w:tc>
        <w:tc>
          <w:tcPr>
            <w:tcW w:w="1301" w:type="dxa"/>
            <w:tcBorders>
              <w:top w:val="nil" w:sz="6" w:space="0" w:color="auto"/>
              <w:left w:val="nil" w:sz="6" w:space="0" w:color="auto"/>
              <w:bottom w:val="nil" w:sz="6" w:space="0" w:color="auto"/>
              <w:right w:val="nil" w:sz="6" w:space="0" w:color="auto"/>
            </w:tcBorders>
          </w:tcPr>
          <w:p>
            <w:pPr>
              <w:pStyle w:val="TableParagraph"/>
              <w:spacing w:line="199" w:lineRule="exact"/>
              <w:ind w:left="17" w:right="0"/>
              <w:jc w:val="left"/>
              <w:rPr>
                <w:rFonts w:ascii="宋体" w:hAnsi="宋体" w:cs="宋体" w:eastAsia="宋体" w:hint="default"/>
                <w:sz w:val="20"/>
                <w:szCs w:val="20"/>
              </w:rPr>
            </w:pPr>
            <w:r>
              <w:rPr>
                <w:rFonts w:ascii="宋体" w:hAnsi="宋体" w:cs="宋体" w:eastAsia="宋体" w:hint="default"/>
                <w:sz w:val="20"/>
                <w:szCs w:val="20"/>
              </w:rPr>
              <w:t>股票期</w:t>
            </w:r>
          </w:p>
          <w:p>
            <w:pPr>
              <w:pStyle w:val="TableParagraph"/>
              <w:spacing w:line="240" w:lineRule="auto"/>
              <w:ind w:left="89" w:right="0"/>
              <w:jc w:val="left"/>
              <w:rPr>
                <w:rFonts w:ascii="宋体" w:hAnsi="宋体" w:cs="宋体" w:eastAsia="宋体" w:hint="default"/>
                <w:sz w:val="20"/>
                <w:szCs w:val="20"/>
              </w:rPr>
            </w:pPr>
            <w:r>
              <w:rPr>
                <w:rFonts w:ascii="宋体" w:hAnsi="宋体" w:cs="宋体" w:eastAsia="宋体" w:hint="default"/>
                <w:sz w:val="20"/>
                <w:szCs w:val="20"/>
              </w:rPr>
              <w:t>权数量</w:t>
            </w:r>
          </w:p>
        </w:tc>
        <w:tc>
          <w:tcPr>
            <w:tcW w:w="1757" w:type="dxa"/>
            <w:tcBorders>
              <w:top w:val="nil" w:sz="6" w:space="0" w:color="auto"/>
              <w:left w:val="nil" w:sz="6" w:space="0" w:color="auto"/>
              <w:bottom w:val="nil" w:sz="6" w:space="0" w:color="auto"/>
              <w:right w:val="nil" w:sz="6" w:space="0" w:color="auto"/>
            </w:tcBorders>
          </w:tcPr>
          <w:p>
            <w:pPr>
              <w:pStyle w:val="TableParagraph"/>
              <w:spacing w:line="199" w:lineRule="exact"/>
              <w:ind w:left="310" w:right="0"/>
              <w:jc w:val="left"/>
              <w:rPr>
                <w:rFonts w:ascii="宋体" w:hAnsi="宋体" w:cs="宋体" w:eastAsia="宋体" w:hint="default"/>
                <w:sz w:val="20"/>
                <w:szCs w:val="20"/>
              </w:rPr>
            </w:pPr>
            <w:r>
              <w:rPr>
                <w:rFonts w:ascii="宋体" w:hAnsi="宋体" w:cs="宋体" w:eastAsia="宋体" w:hint="default"/>
                <w:sz w:val="20"/>
                <w:szCs w:val="20"/>
              </w:rPr>
              <w:t>2016</w:t>
            </w:r>
            <w:r>
              <w:rPr>
                <w:rFonts w:ascii="宋体" w:hAnsi="宋体" w:cs="宋体" w:eastAsia="宋体" w:hint="default"/>
                <w:spacing w:val="-60"/>
                <w:sz w:val="20"/>
                <w:szCs w:val="20"/>
              </w:rPr>
              <w:t> </w:t>
            </w:r>
            <w:r>
              <w:rPr>
                <w:rFonts w:ascii="宋体" w:hAnsi="宋体" w:cs="宋体" w:eastAsia="宋体" w:hint="default"/>
                <w:spacing w:val="32"/>
                <w:sz w:val="20"/>
                <w:szCs w:val="20"/>
              </w:rPr>
              <w:t>年加权平</w:t>
            </w:r>
            <w:r>
              <w:rPr>
                <w:rFonts w:ascii="宋体" w:hAnsi="宋体" w:cs="宋体" w:eastAsia="宋体" w:hint="default"/>
                <w:spacing w:val="-57"/>
                <w:sz w:val="20"/>
                <w:szCs w:val="20"/>
              </w:rPr>
              <w:t> </w:t>
            </w:r>
            <w:r>
              <w:rPr>
                <w:rFonts w:ascii="宋体" w:hAnsi="宋体" w:cs="宋体" w:eastAsia="宋体" w:hint="default"/>
                <w:sz w:val="20"/>
                <w:szCs w:val="20"/>
              </w:rPr>
            </w:r>
          </w:p>
          <w:p>
            <w:pPr>
              <w:pStyle w:val="TableParagraph"/>
              <w:spacing w:line="240" w:lineRule="auto"/>
              <w:ind w:left="310" w:right="0"/>
              <w:jc w:val="left"/>
              <w:rPr>
                <w:rFonts w:ascii="宋体" w:hAnsi="宋体" w:cs="宋体" w:eastAsia="宋体" w:hint="default"/>
                <w:sz w:val="20"/>
                <w:szCs w:val="20"/>
              </w:rPr>
            </w:pPr>
            <w:r>
              <w:rPr>
                <w:rFonts w:ascii="宋体" w:hAnsi="宋体" w:cs="宋体" w:eastAsia="宋体" w:hint="default"/>
                <w:sz w:val="20"/>
                <w:szCs w:val="20"/>
              </w:rPr>
              <w:t>均行权价格</w:t>
            </w:r>
          </w:p>
        </w:tc>
        <w:tc>
          <w:tcPr>
            <w:tcW w:w="1154" w:type="dxa"/>
            <w:tcBorders>
              <w:top w:val="nil" w:sz="6" w:space="0" w:color="auto"/>
              <w:left w:val="nil" w:sz="6" w:space="0" w:color="auto"/>
              <w:bottom w:val="nil" w:sz="6" w:space="0" w:color="auto"/>
              <w:right w:val="nil" w:sz="6" w:space="0" w:color="auto"/>
            </w:tcBorders>
          </w:tcPr>
          <w:p>
            <w:pPr>
              <w:pStyle w:val="TableParagraph"/>
              <w:spacing w:line="199" w:lineRule="exact"/>
              <w:ind w:left="32" w:right="0"/>
              <w:jc w:val="left"/>
              <w:rPr>
                <w:rFonts w:ascii="宋体" w:hAnsi="宋体" w:cs="宋体" w:eastAsia="宋体" w:hint="default"/>
                <w:sz w:val="20"/>
                <w:szCs w:val="20"/>
              </w:rPr>
            </w:pPr>
            <w:r>
              <w:rPr>
                <w:rFonts w:ascii="宋体" w:hAnsi="宋体" w:cs="宋体" w:eastAsia="宋体" w:hint="default"/>
                <w:sz w:val="20"/>
                <w:szCs w:val="20"/>
              </w:rPr>
              <w:t>股票期</w:t>
            </w:r>
          </w:p>
          <w:p>
            <w:pPr>
              <w:pStyle w:val="TableParagraph"/>
              <w:spacing w:line="240" w:lineRule="auto"/>
              <w:ind w:left="32" w:right="0"/>
              <w:jc w:val="left"/>
              <w:rPr>
                <w:rFonts w:ascii="宋体" w:hAnsi="宋体" w:cs="宋体" w:eastAsia="宋体" w:hint="default"/>
                <w:sz w:val="20"/>
                <w:szCs w:val="20"/>
              </w:rPr>
            </w:pPr>
            <w:r>
              <w:rPr>
                <w:rFonts w:ascii="宋体" w:hAnsi="宋体" w:cs="宋体" w:eastAsia="宋体" w:hint="default"/>
                <w:sz w:val="20"/>
                <w:szCs w:val="20"/>
              </w:rPr>
              <w:t>权数量</w:t>
            </w:r>
          </w:p>
        </w:tc>
        <w:tc>
          <w:tcPr>
            <w:tcW w:w="419" w:type="dxa"/>
            <w:tcBorders>
              <w:top w:val="nil" w:sz="6" w:space="0" w:color="auto"/>
              <w:left w:val="nil" w:sz="6" w:space="0" w:color="auto"/>
              <w:bottom w:val="nil" w:sz="6" w:space="0" w:color="auto"/>
              <w:right w:val="nil" w:sz="6" w:space="0" w:color="auto"/>
            </w:tcBorders>
          </w:tcPr>
          <w:p>
            <w:pPr/>
          </w:p>
        </w:tc>
      </w:tr>
      <w:tr>
        <w:trPr>
          <w:trHeight w:val="402" w:hRule="exact"/>
        </w:trPr>
        <w:tc>
          <w:tcPr>
            <w:tcW w:w="2177" w:type="dxa"/>
            <w:tcBorders>
              <w:top w:val="nil" w:sz="6" w:space="0" w:color="auto"/>
              <w:left w:val="nil" w:sz="6" w:space="0" w:color="auto"/>
              <w:bottom w:val="nil" w:sz="6" w:space="0" w:color="auto"/>
              <w:right w:val="nil" w:sz="6" w:space="0" w:color="auto"/>
            </w:tcBorders>
          </w:tcPr>
          <w:p>
            <w:pPr/>
          </w:p>
        </w:tc>
        <w:tc>
          <w:tcPr>
            <w:tcW w:w="1406" w:type="dxa"/>
            <w:tcBorders>
              <w:top w:val="nil" w:sz="6" w:space="0" w:color="auto"/>
              <w:left w:val="nil" w:sz="6" w:space="0" w:color="auto"/>
              <w:bottom w:val="nil" w:sz="6" w:space="0" w:color="auto"/>
              <w:right w:val="nil" w:sz="6" w:space="0" w:color="auto"/>
            </w:tcBorders>
          </w:tcPr>
          <w:p>
            <w:pPr>
              <w:pStyle w:val="TableParagraph"/>
              <w:spacing w:line="241" w:lineRule="exact"/>
              <w:ind w:left="176" w:right="0"/>
              <w:jc w:val="left"/>
              <w:rPr>
                <w:rFonts w:ascii="宋体" w:hAnsi="宋体" w:cs="宋体" w:eastAsia="宋体" w:hint="default"/>
                <w:sz w:val="20"/>
                <w:szCs w:val="20"/>
              </w:rPr>
            </w:pPr>
            <w:r>
              <w:rPr>
                <w:rFonts w:ascii="宋体" w:hAnsi="宋体" w:cs="宋体" w:eastAsia="宋体" w:hint="default"/>
                <w:sz w:val="20"/>
                <w:szCs w:val="20"/>
              </w:rPr>
              <w:t>人民币元</w:t>
            </w:r>
            <w:r>
              <w:rPr>
                <w:rFonts w:ascii="宋体" w:hAnsi="宋体" w:cs="宋体" w:eastAsia="宋体" w:hint="default"/>
                <w:sz w:val="20"/>
                <w:szCs w:val="20"/>
              </w:rPr>
              <w:t>/</w:t>
            </w:r>
            <w:r>
              <w:rPr>
                <w:rFonts w:ascii="宋体" w:hAnsi="宋体" w:cs="宋体" w:eastAsia="宋体" w:hint="default"/>
                <w:sz w:val="20"/>
                <w:szCs w:val="20"/>
              </w:rPr>
              <w:t>股</w:t>
            </w:r>
          </w:p>
        </w:tc>
        <w:tc>
          <w:tcPr>
            <w:tcW w:w="1301" w:type="dxa"/>
            <w:tcBorders>
              <w:top w:val="nil" w:sz="6" w:space="0" w:color="auto"/>
              <w:left w:val="nil" w:sz="6" w:space="0" w:color="auto"/>
              <w:bottom w:val="nil" w:sz="6" w:space="0" w:color="auto"/>
              <w:right w:val="nil" w:sz="6" w:space="0" w:color="auto"/>
            </w:tcBorders>
          </w:tcPr>
          <w:p>
            <w:pPr>
              <w:pStyle w:val="TableParagraph"/>
              <w:spacing w:line="241" w:lineRule="exact"/>
              <w:ind w:left="89" w:right="0"/>
              <w:jc w:val="left"/>
              <w:rPr>
                <w:rFonts w:ascii="宋体" w:hAnsi="宋体" w:cs="宋体" w:eastAsia="宋体" w:hint="default"/>
                <w:sz w:val="20"/>
                <w:szCs w:val="20"/>
              </w:rPr>
            </w:pPr>
            <w:r>
              <w:rPr>
                <w:rFonts w:ascii="宋体" w:hAnsi="宋体" w:cs="宋体" w:eastAsia="宋体" w:hint="default"/>
                <w:w w:val="99"/>
                <w:sz w:val="20"/>
                <w:szCs w:val="20"/>
              </w:rPr>
              <w:t>份</w:t>
            </w:r>
            <w:r>
              <w:rPr>
                <w:rFonts w:ascii="宋体" w:hAnsi="宋体" w:cs="宋体" w:eastAsia="宋体" w:hint="default"/>
                <w:sz w:val="20"/>
                <w:szCs w:val="20"/>
              </w:rPr>
            </w:r>
          </w:p>
        </w:tc>
        <w:tc>
          <w:tcPr>
            <w:tcW w:w="1757" w:type="dxa"/>
            <w:tcBorders>
              <w:top w:val="nil" w:sz="6" w:space="0" w:color="auto"/>
              <w:left w:val="nil" w:sz="6" w:space="0" w:color="auto"/>
              <w:bottom w:val="nil" w:sz="6" w:space="0" w:color="auto"/>
              <w:right w:val="nil" w:sz="6" w:space="0" w:color="auto"/>
            </w:tcBorders>
          </w:tcPr>
          <w:p>
            <w:pPr>
              <w:pStyle w:val="TableParagraph"/>
              <w:spacing w:line="241" w:lineRule="exact"/>
              <w:ind w:left="310" w:right="0"/>
              <w:jc w:val="left"/>
              <w:rPr>
                <w:rFonts w:ascii="宋体" w:hAnsi="宋体" w:cs="宋体" w:eastAsia="宋体" w:hint="default"/>
                <w:sz w:val="20"/>
                <w:szCs w:val="20"/>
              </w:rPr>
            </w:pPr>
            <w:r>
              <w:rPr>
                <w:rFonts w:ascii="宋体" w:hAnsi="宋体" w:cs="宋体" w:eastAsia="宋体" w:hint="default"/>
                <w:sz w:val="20"/>
                <w:szCs w:val="20"/>
              </w:rPr>
              <w:t>人民币元</w:t>
            </w:r>
            <w:r>
              <w:rPr>
                <w:rFonts w:ascii="宋体" w:hAnsi="宋体" w:cs="宋体" w:eastAsia="宋体" w:hint="default"/>
                <w:sz w:val="20"/>
                <w:szCs w:val="20"/>
              </w:rPr>
              <w:t>/</w:t>
            </w:r>
            <w:r>
              <w:rPr>
                <w:rFonts w:ascii="宋体" w:hAnsi="宋体" w:cs="宋体" w:eastAsia="宋体" w:hint="default"/>
                <w:sz w:val="20"/>
                <w:szCs w:val="20"/>
              </w:rPr>
              <w:t>股</w:t>
            </w:r>
          </w:p>
        </w:tc>
        <w:tc>
          <w:tcPr>
            <w:tcW w:w="1154" w:type="dxa"/>
            <w:tcBorders>
              <w:top w:val="nil" w:sz="6" w:space="0" w:color="auto"/>
              <w:left w:val="nil" w:sz="6" w:space="0" w:color="auto"/>
              <w:bottom w:val="nil" w:sz="6" w:space="0" w:color="auto"/>
              <w:right w:val="nil" w:sz="6" w:space="0" w:color="auto"/>
            </w:tcBorders>
          </w:tcPr>
          <w:p>
            <w:pPr>
              <w:pStyle w:val="TableParagraph"/>
              <w:spacing w:line="241" w:lineRule="exact"/>
              <w:ind w:left="32" w:right="0"/>
              <w:jc w:val="left"/>
              <w:rPr>
                <w:rFonts w:ascii="宋体" w:hAnsi="宋体" w:cs="宋体" w:eastAsia="宋体" w:hint="default"/>
                <w:sz w:val="20"/>
                <w:szCs w:val="20"/>
              </w:rPr>
            </w:pPr>
            <w:r>
              <w:rPr>
                <w:rFonts w:ascii="宋体" w:hAnsi="宋体" w:cs="宋体" w:eastAsia="宋体" w:hint="default"/>
                <w:w w:val="99"/>
                <w:sz w:val="20"/>
                <w:szCs w:val="20"/>
              </w:rPr>
              <w:t>份</w:t>
            </w:r>
            <w:r>
              <w:rPr>
                <w:rFonts w:ascii="宋体" w:hAnsi="宋体" w:cs="宋体" w:eastAsia="宋体" w:hint="default"/>
                <w:sz w:val="20"/>
                <w:szCs w:val="20"/>
              </w:rPr>
            </w:r>
          </w:p>
        </w:tc>
        <w:tc>
          <w:tcPr>
            <w:tcW w:w="419" w:type="dxa"/>
            <w:tcBorders>
              <w:top w:val="nil" w:sz="6" w:space="0" w:color="auto"/>
              <w:left w:val="nil" w:sz="6" w:space="0" w:color="auto"/>
              <w:bottom w:val="nil" w:sz="6" w:space="0" w:color="auto"/>
              <w:right w:val="nil" w:sz="6" w:space="0" w:color="auto"/>
            </w:tcBorders>
          </w:tcPr>
          <w:p>
            <w:pPr/>
          </w:p>
        </w:tc>
      </w:tr>
      <w:tr>
        <w:trPr>
          <w:trHeight w:val="390" w:hRule="exact"/>
        </w:trPr>
        <w:tc>
          <w:tcPr>
            <w:tcW w:w="2177" w:type="dxa"/>
            <w:tcBorders>
              <w:top w:val="nil" w:sz="6" w:space="0" w:color="auto"/>
              <w:left w:val="nil" w:sz="6" w:space="0" w:color="auto"/>
              <w:bottom w:val="nil" w:sz="6" w:space="0" w:color="auto"/>
              <w:right w:val="nil" w:sz="6" w:space="0" w:color="auto"/>
            </w:tcBorders>
          </w:tcPr>
          <w:p>
            <w:pPr>
              <w:pStyle w:val="TableParagraph"/>
              <w:spacing w:line="240" w:lineRule="auto" w:before="98"/>
              <w:ind w:left="200" w:right="0"/>
              <w:jc w:val="left"/>
              <w:rPr>
                <w:rFonts w:ascii="宋体" w:hAnsi="宋体" w:cs="宋体" w:eastAsia="宋体" w:hint="default"/>
                <w:sz w:val="20"/>
                <w:szCs w:val="20"/>
              </w:rPr>
            </w:pPr>
            <w:r>
              <w:rPr>
                <w:rFonts w:ascii="宋体" w:hAnsi="宋体" w:cs="宋体" w:eastAsia="宋体" w:hint="default"/>
                <w:sz w:val="20"/>
                <w:szCs w:val="20"/>
              </w:rPr>
              <w:t>年初数</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98"/>
              <w:ind w:left="176" w:right="0"/>
              <w:jc w:val="left"/>
              <w:rPr>
                <w:rFonts w:ascii="宋体" w:hAnsi="宋体" w:cs="宋体" w:eastAsia="宋体" w:hint="default"/>
                <w:sz w:val="20"/>
                <w:szCs w:val="20"/>
              </w:rPr>
            </w:pPr>
            <w:r>
              <w:rPr>
                <w:rFonts w:ascii="宋体"/>
                <w:sz w:val="20"/>
              </w:rPr>
              <w:t>14.98</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08"/>
              <w:jc w:val="right"/>
              <w:rPr>
                <w:rFonts w:ascii="宋体" w:hAnsi="宋体" w:cs="宋体" w:eastAsia="宋体" w:hint="default"/>
                <w:sz w:val="20"/>
                <w:szCs w:val="20"/>
              </w:rPr>
            </w:pPr>
            <w:r>
              <w:rPr>
                <w:rFonts w:ascii="宋体"/>
                <w:w w:val="95"/>
                <w:sz w:val="20"/>
              </w:rPr>
              <w:t>954,633</w:t>
            </w:r>
            <w:r>
              <w:rPr>
                <w:rFonts w:ascii="宋体"/>
                <w:sz w:val="20"/>
              </w:rPr>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98"/>
              <w:ind w:left="310" w:right="0"/>
              <w:jc w:val="left"/>
              <w:rPr>
                <w:rFonts w:ascii="宋体" w:hAnsi="宋体" w:cs="宋体" w:eastAsia="宋体" w:hint="default"/>
                <w:sz w:val="20"/>
                <w:szCs w:val="20"/>
              </w:rPr>
            </w:pPr>
            <w:r>
              <w:rPr>
                <w:rFonts w:ascii="宋体"/>
                <w:sz w:val="20"/>
              </w:rPr>
              <w:t>18.31</w:t>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98"/>
              <w:ind w:left="32" w:right="0"/>
              <w:jc w:val="left"/>
              <w:rPr>
                <w:rFonts w:ascii="宋体" w:hAnsi="宋体" w:cs="宋体" w:eastAsia="宋体" w:hint="default"/>
                <w:sz w:val="20"/>
                <w:szCs w:val="20"/>
              </w:rPr>
            </w:pPr>
            <w:r>
              <w:rPr>
                <w:rFonts w:ascii="宋体"/>
                <w:sz w:val="20"/>
              </w:rPr>
              <w:t>6,326,068</w:t>
            </w:r>
          </w:p>
        </w:tc>
        <w:tc>
          <w:tcPr>
            <w:tcW w:w="419" w:type="dxa"/>
            <w:tcBorders>
              <w:top w:val="nil" w:sz="6" w:space="0" w:color="auto"/>
              <w:left w:val="nil" w:sz="6" w:space="0" w:color="auto"/>
              <w:bottom w:val="nil" w:sz="6" w:space="0" w:color="auto"/>
              <w:right w:val="nil" w:sz="6" w:space="0" w:color="auto"/>
            </w:tcBorders>
          </w:tcPr>
          <w:p>
            <w:pPr/>
          </w:p>
        </w:tc>
      </w:tr>
      <w:tr>
        <w:trPr>
          <w:trHeight w:val="259" w:hRule="exact"/>
        </w:trPr>
        <w:tc>
          <w:tcPr>
            <w:tcW w:w="2177" w:type="dxa"/>
            <w:tcBorders>
              <w:top w:val="nil" w:sz="6" w:space="0" w:color="auto"/>
              <w:left w:val="nil" w:sz="6" w:space="0" w:color="auto"/>
              <w:bottom w:val="nil" w:sz="6" w:space="0" w:color="auto"/>
              <w:right w:val="nil" w:sz="6" w:space="0" w:color="auto"/>
            </w:tcBorders>
          </w:tcPr>
          <w:p>
            <w:pPr>
              <w:pStyle w:val="TableParagraph"/>
              <w:spacing w:line="229" w:lineRule="exact"/>
              <w:ind w:left="200" w:right="0"/>
              <w:jc w:val="left"/>
              <w:rPr>
                <w:rFonts w:ascii="宋体" w:hAnsi="宋体" w:cs="宋体" w:eastAsia="宋体" w:hint="default"/>
                <w:sz w:val="20"/>
                <w:szCs w:val="20"/>
              </w:rPr>
            </w:pPr>
            <w:r>
              <w:rPr>
                <w:rFonts w:ascii="宋体" w:hAnsi="宋体" w:cs="宋体" w:eastAsia="宋体" w:hint="default"/>
                <w:sz w:val="20"/>
                <w:szCs w:val="20"/>
              </w:rPr>
              <w:t>失效</w:t>
            </w:r>
            <w:r>
              <w:rPr>
                <w:rFonts w:ascii="宋体" w:hAnsi="宋体" w:cs="宋体" w:eastAsia="宋体" w:hint="default"/>
                <w:sz w:val="20"/>
                <w:szCs w:val="20"/>
              </w:rPr>
              <w:t>-</w:t>
            </w:r>
            <w:r>
              <w:rPr>
                <w:rFonts w:ascii="宋体" w:hAnsi="宋体" w:cs="宋体" w:eastAsia="宋体" w:hint="default"/>
                <w:sz w:val="20"/>
                <w:szCs w:val="20"/>
              </w:rPr>
              <w:t>首次授予</w:t>
            </w:r>
          </w:p>
        </w:tc>
        <w:tc>
          <w:tcPr>
            <w:tcW w:w="1406" w:type="dxa"/>
            <w:tcBorders>
              <w:top w:val="nil" w:sz="6" w:space="0" w:color="auto"/>
              <w:left w:val="nil" w:sz="6" w:space="0" w:color="auto"/>
              <w:bottom w:val="nil" w:sz="6" w:space="0" w:color="auto"/>
              <w:right w:val="nil" w:sz="6" w:space="0" w:color="auto"/>
            </w:tcBorders>
          </w:tcPr>
          <w:p>
            <w:pPr>
              <w:pStyle w:val="TableParagraph"/>
              <w:spacing w:line="229" w:lineRule="exact"/>
              <w:ind w:left="176" w:right="0"/>
              <w:jc w:val="left"/>
              <w:rPr>
                <w:rFonts w:ascii="宋体" w:hAnsi="宋体" w:cs="宋体" w:eastAsia="宋体" w:hint="default"/>
                <w:sz w:val="20"/>
                <w:szCs w:val="20"/>
              </w:rPr>
            </w:pPr>
            <w:r>
              <w:rPr>
                <w:rFonts w:ascii="宋体"/>
                <w:w w:val="99"/>
                <w:sz w:val="20"/>
              </w:rPr>
              <w:t>-</w:t>
            </w:r>
            <w:r>
              <w:rPr>
                <w:rFonts w:ascii="宋体"/>
                <w:sz w:val="20"/>
              </w:rPr>
            </w:r>
          </w:p>
        </w:tc>
        <w:tc>
          <w:tcPr>
            <w:tcW w:w="1301"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29" w:lineRule="exact"/>
              <w:ind w:left="310" w:right="0"/>
              <w:jc w:val="left"/>
              <w:rPr>
                <w:rFonts w:ascii="宋体" w:hAnsi="宋体" w:cs="宋体" w:eastAsia="宋体" w:hint="default"/>
                <w:sz w:val="20"/>
                <w:szCs w:val="20"/>
              </w:rPr>
            </w:pPr>
            <w:r>
              <w:rPr>
                <w:rFonts w:ascii="宋体"/>
                <w:sz w:val="20"/>
              </w:rPr>
              <w:t>8.31</w:t>
            </w:r>
          </w:p>
        </w:tc>
        <w:tc>
          <w:tcPr>
            <w:tcW w:w="1154" w:type="dxa"/>
            <w:tcBorders>
              <w:top w:val="nil" w:sz="6" w:space="0" w:color="auto"/>
              <w:left w:val="nil" w:sz="6" w:space="0" w:color="auto"/>
              <w:bottom w:val="nil" w:sz="6" w:space="0" w:color="auto"/>
              <w:right w:val="nil" w:sz="6" w:space="0" w:color="auto"/>
            </w:tcBorders>
          </w:tcPr>
          <w:p>
            <w:pPr>
              <w:pStyle w:val="TableParagraph"/>
              <w:spacing w:line="229" w:lineRule="exact"/>
              <w:ind w:left="32" w:right="0"/>
              <w:jc w:val="left"/>
              <w:rPr>
                <w:rFonts w:ascii="宋体" w:hAnsi="宋体" w:cs="宋体" w:eastAsia="宋体" w:hint="default"/>
                <w:sz w:val="20"/>
                <w:szCs w:val="20"/>
              </w:rPr>
            </w:pPr>
            <w:r>
              <w:rPr>
                <w:rFonts w:ascii="宋体"/>
                <w:sz w:val="20"/>
              </w:rPr>
              <w:t>(4,560,775</w:t>
            </w:r>
          </w:p>
        </w:tc>
        <w:tc>
          <w:tcPr>
            <w:tcW w:w="419" w:type="dxa"/>
            <w:tcBorders>
              <w:top w:val="nil" w:sz="6" w:space="0" w:color="auto"/>
              <w:left w:val="nil" w:sz="6" w:space="0" w:color="auto"/>
              <w:bottom w:val="nil" w:sz="6" w:space="0" w:color="auto"/>
              <w:right w:val="nil" w:sz="6" w:space="0" w:color="auto"/>
            </w:tcBorders>
          </w:tcPr>
          <w:p>
            <w:pPr>
              <w:pStyle w:val="TableParagraph"/>
              <w:spacing w:line="229" w:lineRule="exact"/>
              <w:ind w:left="119" w:right="0"/>
              <w:jc w:val="left"/>
              <w:rPr>
                <w:rFonts w:ascii="宋体" w:hAnsi="宋体" w:cs="宋体" w:eastAsia="宋体" w:hint="default"/>
                <w:sz w:val="20"/>
                <w:szCs w:val="20"/>
              </w:rPr>
            </w:pPr>
            <w:r>
              <w:rPr>
                <w:rFonts w:ascii="宋体"/>
                <w:w w:val="99"/>
                <w:sz w:val="20"/>
              </w:rPr>
              <w:t>)</w:t>
            </w:r>
            <w:r>
              <w:rPr>
                <w:rFonts w:ascii="宋体"/>
                <w:sz w:val="20"/>
              </w:rPr>
            </w:r>
          </w:p>
        </w:tc>
      </w:tr>
      <w:tr>
        <w:trPr>
          <w:trHeight w:val="260" w:hRule="exact"/>
        </w:trPr>
        <w:tc>
          <w:tcPr>
            <w:tcW w:w="2177" w:type="dxa"/>
            <w:tcBorders>
              <w:top w:val="nil" w:sz="6" w:space="0" w:color="auto"/>
              <w:left w:val="nil" w:sz="6" w:space="0" w:color="auto"/>
              <w:bottom w:val="nil" w:sz="6" w:space="0" w:color="auto"/>
              <w:right w:val="nil" w:sz="6" w:space="0" w:color="auto"/>
            </w:tcBorders>
          </w:tcPr>
          <w:p>
            <w:pPr>
              <w:pStyle w:val="TableParagraph"/>
              <w:spacing w:line="229" w:lineRule="exact"/>
              <w:ind w:left="200" w:right="0"/>
              <w:jc w:val="left"/>
              <w:rPr>
                <w:rFonts w:ascii="宋体" w:hAnsi="宋体" w:cs="宋体" w:eastAsia="宋体" w:hint="default"/>
                <w:sz w:val="20"/>
                <w:szCs w:val="20"/>
              </w:rPr>
            </w:pPr>
            <w:r>
              <w:rPr>
                <w:rFonts w:ascii="宋体" w:hAnsi="宋体" w:cs="宋体" w:eastAsia="宋体" w:hint="default"/>
                <w:sz w:val="20"/>
                <w:szCs w:val="20"/>
              </w:rPr>
              <w:t>失效</w:t>
            </w:r>
            <w:r>
              <w:rPr>
                <w:rFonts w:ascii="宋体" w:hAnsi="宋体" w:cs="宋体" w:eastAsia="宋体" w:hint="default"/>
                <w:sz w:val="20"/>
                <w:szCs w:val="20"/>
              </w:rPr>
              <w:t>-</w:t>
            </w:r>
            <w:r>
              <w:rPr>
                <w:rFonts w:ascii="宋体" w:hAnsi="宋体" w:cs="宋体" w:eastAsia="宋体" w:hint="default"/>
                <w:sz w:val="20"/>
                <w:szCs w:val="20"/>
              </w:rPr>
              <w:t>预留授予</w:t>
            </w:r>
            <w:r>
              <w:rPr>
                <w:rFonts w:ascii="宋体" w:hAnsi="宋体" w:cs="宋体" w:eastAsia="宋体" w:hint="default"/>
                <w:sz w:val="20"/>
                <w:szCs w:val="20"/>
              </w:rPr>
              <w:t>(</w:t>
            </w:r>
            <w:r>
              <w:rPr>
                <w:rFonts w:ascii="宋体" w:hAnsi="宋体" w:cs="宋体" w:eastAsia="宋体" w:hint="default"/>
                <w:sz w:val="20"/>
                <w:szCs w:val="20"/>
              </w:rPr>
              <w:t>注</w:t>
            </w:r>
            <w:r>
              <w:rPr>
                <w:rFonts w:ascii="宋体" w:hAnsi="宋体" w:cs="宋体" w:eastAsia="宋体" w:hint="default"/>
                <w:sz w:val="20"/>
                <w:szCs w:val="20"/>
              </w:rPr>
              <w:t>1)</w:t>
            </w:r>
          </w:p>
        </w:tc>
        <w:tc>
          <w:tcPr>
            <w:tcW w:w="1406" w:type="dxa"/>
            <w:tcBorders>
              <w:top w:val="nil" w:sz="6" w:space="0" w:color="auto"/>
              <w:left w:val="nil" w:sz="6" w:space="0" w:color="auto"/>
              <w:bottom w:val="nil" w:sz="6" w:space="0" w:color="auto"/>
              <w:right w:val="nil" w:sz="6" w:space="0" w:color="auto"/>
            </w:tcBorders>
          </w:tcPr>
          <w:p>
            <w:pPr>
              <w:pStyle w:val="TableParagraph"/>
              <w:spacing w:line="229" w:lineRule="exact"/>
              <w:ind w:left="176" w:right="0"/>
              <w:jc w:val="left"/>
              <w:rPr>
                <w:rFonts w:ascii="宋体" w:hAnsi="宋体" w:cs="宋体" w:eastAsia="宋体" w:hint="default"/>
                <w:sz w:val="20"/>
                <w:szCs w:val="20"/>
              </w:rPr>
            </w:pPr>
            <w:r>
              <w:rPr>
                <w:rFonts w:ascii="宋体"/>
                <w:sz w:val="20"/>
              </w:rPr>
              <w:t>14.98</w:t>
            </w:r>
          </w:p>
        </w:tc>
        <w:tc>
          <w:tcPr>
            <w:tcW w:w="1301" w:type="dxa"/>
            <w:tcBorders>
              <w:top w:val="nil" w:sz="6" w:space="0" w:color="auto"/>
              <w:left w:val="nil" w:sz="6" w:space="0" w:color="auto"/>
              <w:bottom w:val="nil" w:sz="6" w:space="0" w:color="auto"/>
              <w:right w:val="nil" w:sz="6" w:space="0" w:color="auto"/>
            </w:tcBorders>
          </w:tcPr>
          <w:p>
            <w:pPr>
              <w:pStyle w:val="TableParagraph"/>
              <w:spacing w:line="229" w:lineRule="exact"/>
              <w:ind w:right="308"/>
              <w:jc w:val="right"/>
              <w:rPr>
                <w:rFonts w:ascii="宋体" w:hAnsi="宋体" w:cs="宋体" w:eastAsia="宋体" w:hint="default"/>
                <w:sz w:val="20"/>
                <w:szCs w:val="20"/>
              </w:rPr>
            </w:pPr>
            <w:r>
              <w:rPr>
                <w:rFonts w:ascii="宋体"/>
                <w:w w:val="95"/>
                <w:sz w:val="20"/>
              </w:rPr>
              <w:t>954,633</w:t>
            </w:r>
            <w:r>
              <w:rPr>
                <w:rFonts w:ascii="宋体"/>
                <w:sz w:val="20"/>
              </w:rPr>
            </w:r>
          </w:p>
        </w:tc>
        <w:tc>
          <w:tcPr>
            <w:tcW w:w="1757" w:type="dxa"/>
            <w:tcBorders>
              <w:top w:val="nil" w:sz="6" w:space="0" w:color="auto"/>
              <w:left w:val="nil" w:sz="6" w:space="0" w:color="auto"/>
              <w:bottom w:val="nil" w:sz="6" w:space="0" w:color="auto"/>
              <w:right w:val="nil" w:sz="6" w:space="0" w:color="auto"/>
            </w:tcBorders>
          </w:tcPr>
          <w:p>
            <w:pPr>
              <w:pStyle w:val="TableParagraph"/>
              <w:spacing w:line="229" w:lineRule="exact"/>
              <w:ind w:left="310" w:right="0"/>
              <w:jc w:val="left"/>
              <w:rPr>
                <w:rFonts w:ascii="宋体" w:hAnsi="宋体" w:cs="宋体" w:eastAsia="宋体" w:hint="default"/>
                <w:sz w:val="20"/>
                <w:szCs w:val="20"/>
              </w:rPr>
            </w:pPr>
            <w:r>
              <w:rPr>
                <w:rFonts w:ascii="宋体"/>
                <w:sz w:val="20"/>
              </w:rPr>
              <w:t>14.98</w:t>
            </w:r>
          </w:p>
        </w:tc>
        <w:tc>
          <w:tcPr>
            <w:tcW w:w="1154" w:type="dxa"/>
            <w:tcBorders>
              <w:top w:val="nil" w:sz="6" w:space="0" w:color="auto"/>
              <w:left w:val="nil" w:sz="6" w:space="0" w:color="auto"/>
              <w:bottom w:val="nil" w:sz="6" w:space="0" w:color="auto"/>
              <w:right w:val="nil" w:sz="6" w:space="0" w:color="auto"/>
            </w:tcBorders>
          </w:tcPr>
          <w:p>
            <w:pPr>
              <w:pStyle w:val="TableParagraph"/>
              <w:tabs>
                <w:tab w:pos="334" w:val="left" w:leader="none"/>
              </w:tabs>
              <w:spacing w:line="229" w:lineRule="exact"/>
              <w:ind w:left="32" w:right="0"/>
              <w:jc w:val="left"/>
              <w:rPr>
                <w:rFonts w:ascii="宋体" w:hAnsi="宋体" w:cs="宋体" w:eastAsia="宋体" w:hint="default"/>
                <w:sz w:val="20"/>
                <w:szCs w:val="20"/>
              </w:rPr>
            </w:pPr>
            <w:r>
              <w:rPr>
                <w:rFonts w:ascii="宋体"/>
                <w:w w:val="95"/>
                <w:sz w:val="20"/>
              </w:rPr>
              <w:t>(</w:t>
              <w:tab/>
            </w:r>
            <w:r>
              <w:rPr>
                <w:rFonts w:ascii="宋体"/>
                <w:sz w:val="20"/>
              </w:rPr>
              <w:t>623,820</w:t>
            </w:r>
          </w:p>
        </w:tc>
        <w:tc>
          <w:tcPr>
            <w:tcW w:w="419" w:type="dxa"/>
            <w:tcBorders>
              <w:top w:val="nil" w:sz="6" w:space="0" w:color="auto"/>
              <w:left w:val="nil" w:sz="6" w:space="0" w:color="auto"/>
              <w:bottom w:val="nil" w:sz="6" w:space="0" w:color="auto"/>
              <w:right w:val="nil" w:sz="6" w:space="0" w:color="auto"/>
            </w:tcBorders>
          </w:tcPr>
          <w:p>
            <w:pPr>
              <w:pStyle w:val="TableParagraph"/>
              <w:spacing w:line="229" w:lineRule="exact"/>
              <w:ind w:left="119" w:right="0"/>
              <w:jc w:val="left"/>
              <w:rPr>
                <w:rFonts w:ascii="宋体" w:hAnsi="宋体" w:cs="宋体" w:eastAsia="宋体" w:hint="default"/>
                <w:sz w:val="20"/>
                <w:szCs w:val="20"/>
              </w:rPr>
            </w:pPr>
            <w:r>
              <w:rPr>
                <w:rFonts w:ascii="宋体"/>
                <w:w w:val="99"/>
                <w:sz w:val="20"/>
              </w:rPr>
              <w:t>)</w:t>
            </w:r>
            <w:r>
              <w:rPr>
                <w:rFonts w:ascii="宋体"/>
                <w:sz w:val="20"/>
              </w:rPr>
            </w:r>
          </w:p>
        </w:tc>
      </w:tr>
      <w:tr>
        <w:trPr>
          <w:trHeight w:val="390" w:hRule="exact"/>
        </w:trPr>
        <w:tc>
          <w:tcPr>
            <w:tcW w:w="2177" w:type="dxa"/>
            <w:tcBorders>
              <w:top w:val="nil" w:sz="6" w:space="0" w:color="auto"/>
              <w:left w:val="nil" w:sz="6" w:space="0" w:color="auto"/>
              <w:bottom w:val="nil" w:sz="6" w:space="0" w:color="auto"/>
              <w:right w:val="nil" w:sz="6" w:space="0" w:color="auto"/>
            </w:tcBorders>
          </w:tcPr>
          <w:p>
            <w:pPr>
              <w:pStyle w:val="TableParagraph"/>
              <w:spacing w:line="231" w:lineRule="exact"/>
              <w:ind w:left="200" w:right="0"/>
              <w:jc w:val="left"/>
              <w:rPr>
                <w:rFonts w:ascii="宋体" w:hAnsi="宋体" w:cs="宋体" w:eastAsia="宋体" w:hint="default"/>
                <w:sz w:val="20"/>
                <w:szCs w:val="20"/>
              </w:rPr>
            </w:pPr>
            <w:r>
              <w:rPr>
                <w:rFonts w:ascii="宋体" w:hAnsi="宋体" w:cs="宋体" w:eastAsia="宋体" w:hint="default"/>
                <w:sz w:val="20"/>
                <w:szCs w:val="20"/>
              </w:rPr>
              <w:t>行权</w:t>
            </w:r>
            <w:r>
              <w:rPr>
                <w:rFonts w:ascii="宋体" w:hAnsi="宋体" w:cs="宋体" w:eastAsia="宋体" w:hint="default"/>
                <w:sz w:val="20"/>
                <w:szCs w:val="20"/>
              </w:rPr>
              <w:t>-</w:t>
            </w:r>
            <w:r>
              <w:rPr>
                <w:rFonts w:ascii="宋体" w:hAnsi="宋体" w:cs="宋体" w:eastAsia="宋体" w:hint="default"/>
                <w:sz w:val="20"/>
                <w:szCs w:val="20"/>
              </w:rPr>
              <w:t>首次授予</w:t>
            </w:r>
          </w:p>
        </w:tc>
        <w:tc>
          <w:tcPr>
            <w:tcW w:w="1406" w:type="dxa"/>
            <w:tcBorders>
              <w:top w:val="nil" w:sz="6" w:space="0" w:color="auto"/>
              <w:left w:val="nil" w:sz="6" w:space="0" w:color="auto"/>
              <w:bottom w:val="nil" w:sz="6" w:space="0" w:color="auto"/>
              <w:right w:val="nil" w:sz="6" w:space="0" w:color="auto"/>
            </w:tcBorders>
          </w:tcPr>
          <w:p>
            <w:pPr>
              <w:pStyle w:val="TableParagraph"/>
              <w:tabs>
                <w:tab w:pos="577" w:val="left" w:leader="none"/>
              </w:tabs>
              <w:spacing w:line="231" w:lineRule="exact"/>
              <w:ind w:left="176" w:right="0"/>
              <w:jc w:val="left"/>
              <w:rPr>
                <w:rFonts w:ascii="宋体" w:hAnsi="宋体" w:cs="宋体" w:eastAsia="宋体" w:hint="default"/>
                <w:sz w:val="20"/>
                <w:szCs w:val="20"/>
              </w:rPr>
            </w:pPr>
            <w:r>
              <w:rPr>
                <w:rFonts w:ascii="宋体"/>
                <w:w w:val="99"/>
                <w:sz w:val="20"/>
              </w:rPr>
            </w:r>
            <w:r>
              <w:rPr>
                <w:rFonts w:ascii="宋体"/>
                <w:w w:val="99"/>
                <w:sz w:val="20"/>
                <w:u w:val="single" w:color="000000"/>
              </w:rPr>
              <w:t> </w:t>
            </w:r>
            <w:r>
              <w:rPr>
                <w:rFonts w:ascii="宋体"/>
                <w:sz w:val="20"/>
                <w:u w:val="single" w:color="000000"/>
              </w:rPr>
              <w:tab/>
              <w:t>-</w:t>
            </w:r>
            <w:r>
              <w:rPr>
                <w:rFonts w:ascii="宋体"/>
                <w:sz w:val="20"/>
              </w:rPr>
            </w:r>
          </w:p>
        </w:tc>
        <w:tc>
          <w:tcPr>
            <w:tcW w:w="1301" w:type="dxa"/>
            <w:tcBorders>
              <w:top w:val="nil" w:sz="6" w:space="0" w:color="auto"/>
              <w:left w:val="nil" w:sz="6" w:space="0" w:color="auto"/>
              <w:bottom w:val="nil" w:sz="6" w:space="0" w:color="auto"/>
              <w:right w:val="nil" w:sz="6" w:space="0" w:color="auto"/>
            </w:tcBorders>
          </w:tcPr>
          <w:p>
            <w:pPr>
              <w:pStyle w:val="TableParagraph"/>
              <w:tabs>
                <w:tab w:pos="791" w:val="left" w:leader="none"/>
              </w:tabs>
              <w:spacing w:line="231" w:lineRule="exact"/>
              <w:ind w:left="89" w:right="0"/>
              <w:jc w:val="left"/>
              <w:rPr>
                <w:rFonts w:ascii="宋体" w:hAnsi="宋体" w:cs="宋体" w:eastAsia="宋体" w:hint="default"/>
                <w:sz w:val="20"/>
                <w:szCs w:val="20"/>
              </w:rPr>
            </w:pPr>
            <w:r>
              <w:rPr>
                <w:rFonts w:ascii="宋体"/>
                <w:w w:val="99"/>
                <w:sz w:val="20"/>
              </w:rPr>
            </w:r>
            <w:r>
              <w:rPr>
                <w:rFonts w:ascii="宋体"/>
                <w:w w:val="99"/>
                <w:sz w:val="20"/>
                <w:u w:val="single" w:color="000000"/>
              </w:rPr>
              <w:t> </w:t>
            </w:r>
            <w:r>
              <w:rPr>
                <w:rFonts w:ascii="宋体"/>
                <w:sz w:val="20"/>
                <w:u w:val="single" w:color="000000"/>
              </w:rPr>
              <w:tab/>
              <w:t>-</w:t>
            </w:r>
            <w:r>
              <w:rPr>
                <w:rFonts w:ascii="宋体"/>
                <w:sz w:val="20"/>
              </w:rPr>
            </w:r>
          </w:p>
        </w:tc>
        <w:tc>
          <w:tcPr>
            <w:tcW w:w="1757" w:type="dxa"/>
            <w:tcBorders>
              <w:top w:val="nil" w:sz="6" w:space="0" w:color="auto"/>
              <w:left w:val="nil" w:sz="6" w:space="0" w:color="auto"/>
              <w:bottom w:val="nil" w:sz="6" w:space="0" w:color="auto"/>
              <w:right w:val="nil" w:sz="6" w:space="0" w:color="auto"/>
            </w:tcBorders>
          </w:tcPr>
          <w:p>
            <w:pPr>
              <w:pStyle w:val="TableParagraph"/>
              <w:spacing w:line="231" w:lineRule="exact"/>
              <w:ind w:left="310" w:right="0"/>
              <w:jc w:val="left"/>
              <w:rPr>
                <w:rFonts w:ascii="宋体" w:hAnsi="宋体" w:cs="宋体" w:eastAsia="宋体" w:hint="default"/>
                <w:sz w:val="20"/>
                <w:szCs w:val="20"/>
              </w:rPr>
            </w:pPr>
            <w:r>
              <w:rPr>
                <w:rFonts w:ascii="宋体"/>
                <w:w w:val="99"/>
                <w:sz w:val="20"/>
              </w:rPr>
            </w:r>
            <w:r>
              <w:rPr>
                <w:rFonts w:ascii="宋体"/>
                <w:spacing w:val="1"/>
                <w:w w:val="99"/>
                <w:sz w:val="20"/>
                <w:u w:val="single" w:color="000000"/>
              </w:rPr>
              <w:t> </w:t>
            </w:r>
            <w:r>
              <w:rPr>
                <w:rFonts w:ascii="宋体"/>
                <w:sz w:val="20"/>
                <w:u w:val="single" w:color="000000"/>
              </w:rPr>
              <w:t>8.31</w:t>
            </w:r>
            <w:r>
              <w:rPr>
                <w:rFonts w:ascii="宋体"/>
                <w:sz w:val="20"/>
              </w:rPr>
            </w:r>
          </w:p>
        </w:tc>
        <w:tc>
          <w:tcPr>
            <w:tcW w:w="1154" w:type="dxa"/>
            <w:tcBorders>
              <w:top w:val="nil" w:sz="6" w:space="0" w:color="auto"/>
              <w:left w:val="nil" w:sz="6" w:space="0" w:color="auto"/>
              <w:bottom w:val="nil" w:sz="6" w:space="0" w:color="auto"/>
              <w:right w:val="nil" w:sz="6" w:space="0" w:color="auto"/>
            </w:tcBorders>
          </w:tcPr>
          <w:p>
            <w:pPr>
              <w:pStyle w:val="TableParagraph"/>
              <w:spacing w:line="231" w:lineRule="exact"/>
              <w:ind w:left="32" w:right="0"/>
              <w:jc w:val="left"/>
              <w:rPr>
                <w:rFonts w:ascii="宋体" w:hAnsi="宋体" w:cs="宋体" w:eastAsia="宋体" w:hint="default"/>
                <w:sz w:val="20"/>
                <w:szCs w:val="20"/>
              </w:rPr>
            </w:pPr>
            <w:r>
              <w:rPr>
                <w:rFonts w:ascii="宋体"/>
                <w:sz w:val="20"/>
              </w:rPr>
              <w:t>(</w:t>
            </w:r>
            <w:r>
              <w:rPr>
                <w:rFonts w:ascii="宋体"/>
                <w:spacing w:val="99"/>
                <w:sz w:val="20"/>
              </w:rPr>
              <w:t> </w:t>
            </w:r>
            <w:r>
              <w:rPr>
                <w:rFonts w:ascii="宋体"/>
                <w:spacing w:val="99"/>
                <w:sz w:val="20"/>
                <w:u w:val="single" w:color="000000"/>
              </w:rPr>
              <w:t> </w:t>
            </w:r>
            <w:r>
              <w:rPr>
                <w:rFonts w:ascii="宋体"/>
                <w:sz w:val="20"/>
                <w:u w:val="single" w:color="000000"/>
              </w:rPr>
              <w:t>186,840</w:t>
            </w:r>
            <w:r>
              <w:rPr>
                <w:rFonts w:ascii="宋体"/>
                <w:sz w:val="20"/>
              </w:rPr>
            </w:r>
          </w:p>
        </w:tc>
        <w:tc>
          <w:tcPr>
            <w:tcW w:w="419" w:type="dxa"/>
            <w:tcBorders>
              <w:top w:val="nil" w:sz="6" w:space="0" w:color="auto"/>
              <w:left w:val="nil" w:sz="6" w:space="0" w:color="auto"/>
              <w:bottom w:val="nil" w:sz="6" w:space="0" w:color="auto"/>
              <w:right w:val="nil" w:sz="6" w:space="0" w:color="auto"/>
            </w:tcBorders>
          </w:tcPr>
          <w:p>
            <w:pPr>
              <w:pStyle w:val="TableParagraph"/>
              <w:spacing w:line="231" w:lineRule="exact"/>
              <w:ind w:left="119" w:right="0"/>
              <w:jc w:val="left"/>
              <w:rPr>
                <w:rFonts w:ascii="宋体" w:hAnsi="宋体" w:cs="宋体" w:eastAsia="宋体" w:hint="default"/>
                <w:sz w:val="20"/>
                <w:szCs w:val="20"/>
              </w:rPr>
            </w:pPr>
            <w:r>
              <w:rPr>
                <w:rFonts w:ascii="宋体"/>
                <w:w w:val="99"/>
                <w:sz w:val="20"/>
              </w:rPr>
              <w:t>)</w:t>
            </w:r>
            <w:r>
              <w:rPr>
                <w:rFonts w:ascii="宋体"/>
                <w:sz w:val="20"/>
              </w:rPr>
            </w:r>
          </w:p>
        </w:tc>
      </w:tr>
      <w:tr>
        <w:trPr>
          <w:trHeight w:val="359" w:hRule="exact"/>
        </w:trPr>
        <w:tc>
          <w:tcPr>
            <w:tcW w:w="2177" w:type="dxa"/>
            <w:tcBorders>
              <w:top w:val="nil" w:sz="6" w:space="0" w:color="auto"/>
              <w:left w:val="nil" w:sz="6" w:space="0" w:color="auto"/>
              <w:bottom w:val="nil" w:sz="6" w:space="0" w:color="auto"/>
              <w:right w:val="nil" w:sz="6" w:space="0" w:color="auto"/>
            </w:tcBorders>
          </w:tcPr>
          <w:p>
            <w:pPr>
              <w:pStyle w:val="TableParagraph"/>
              <w:spacing w:line="240" w:lineRule="auto" w:before="97"/>
              <w:ind w:left="200" w:right="0"/>
              <w:jc w:val="left"/>
              <w:rPr>
                <w:rFonts w:ascii="宋体" w:hAnsi="宋体" w:cs="宋体" w:eastAsia="宋体" w:hint="default"/>
                <w:sz w:val="20"/>
                <w:szCs w:val="20"/>
              </w:rPr>
            </w:pPr>
            <w:r>
              <w:rPr>
                <w:rFonts w:ascii="宋体" w:hAnsi="宋体" w:cs="宋体" w:eastAsia="宋体" w:hint="default"/>
                <w:sz w:val="20"/>
                <w:szCs w:val="20"/>
              </w:rPr>
              <w:t>年末数</w:t>
            </w:r>
          </w:p>
        </w:tc>
        <w:tc>
          <w:tcPr>
            <w:tcW w:w="1406" w:type="dxa"/>
            <w:tcBorders>
              <w:top w:val="nil" w:sz="6" w:space="0" w:color="auto"/>
              <w:left w:val="nil" w:sz="6" w:space="0" w:color="auto"/>
              <w:bottom w:val="nil" w:sz="6" w:space="0" w:color="auto"/>
              <w:right w:val="nil" w:sz="6" w:space="0" w:color="auto"/>
            </w:tcBorders>
          </w:tcPr>
          <w:p>
            <w:pPr>
              <w:pStyle w:val="TableParagraph"/>
              <w:tabs>
                <w:tab w:pos="577" w:val="left" w:leader="none"/>
              </w:tabs>
              <w:spacing w:line="240" w:lineRule="auto" w:before="97"/>
              <w:ind w:left="176" w:right="0"/>
              <w:jc w:val="left"/>
              <w:rPr>
                <w:rFonts w:ascii="宋体" w:hAnsi="宋体" w:cs="宋体" w:eastAsia="宋体" w:hint="default"/>
                <w:sz w:val="20"/>
                <w:szCs w:val="20"/>
              </w:rPr>
            </w:pPr>
            <w:r>
              <w:rPr>
                <w:rFonts w:ascii="宋体"/>
                <w:w w:val="99"/>
                <w:sz w:val="20"/>
              </w:rPr>
            </w:r>
            <w:r>
              <w:rPr>
                <w:rFonts w:ascii="宋体"/>
                <w:w w:val="99"/>
                <w:sz w:val="20"/>
                <w:u w:val="thick" w:color="000000"/>
              </w:rPr>
              <w:t> </w:t>
            </w:r>
            <w:r>
              <w:rPr>
                <w:rFonts w:ascii="宋体"/>
                <w:sz w:val="20"/>
                <w:u w:val="thick" w:color="000000"/>
              </w:rPr>
              <w:tab/>
              <w:t>-</w:t>
            </w:r>
            <w:r>
              <w:rPr>
                <w:rFonts w:ascii="宋体"/>
                <w:sz w:val="20"/>
              </w:rPr>
            </w:r>
          </w:p>
        </w:tc>
        <w:tc>
          <w:tcPr>
            <w:tcW w:w="1301" w:type="dxa"/>
            <w:tcBorders>
              <w:top w:val="nil" w:sz="6" w:space="0" w:color="auto"/>
              <w:left w:val="nil" w:sz="6" w:space="0" w:color="auto"/>
              <w:bottom w:val="nil" w:sz="6" w:space="0" w:color="auto"/>
              <w:right w:val="nil" w:sz="6" w:space="0" w:color="auto"/>
            </w:tcBorders>
          </w:tcPr>
          <w:p>
            <w:pPr>
              <w:pStyle w:val="TableParagraph"/>
              <w:tabs>
                <w:tab w:pos="791" w:val="left" w:leader="none"/>
              </w:tabs>
              <w:spacing w:line="240" w:lineRule="auto" w:before="97"/>
              <w:ind w:left="89" w:right="0"/>
              <w:jc w:val="left"/>
              <w:rPr>
                <w:rFonts w:ascii="宋体" w:hAnsi="宋体" w:cs="宋体" w:eastAsia="宋体" w:hint="default"/>
                <w:sz w:val="20"/>
                <w:szCs w:val="20"/>
              </w:rPr>
            </w:pPr>
            <w:r>
              <w:rPr>
                <w:rFonts w:ascii="宋体"/>
                <w:w w:val="99"/>
                <w:sz w:val="20"/>
              </w:rPr>
            </w:r>
            <w:r>
              <w:rPr>
                <w:rFonts w:ascii="宋体"/>
                <w:w w:val="99"/>
                <w:sz w:val="20"/>
                <w:u w:val="thick" w:color="000000"/>
              </w:rPr>
              <w:t> </w:t>
            </w:r>
            <w:r>
              <w:rPr>
                <w:rFonts w:ascii="宋体"/>
                <w:sz w:val="20"/>
                <w:u w:val="thick" w:color="000000"/>
              </w:rPr>
              <w:tab/>
              <w:t>-</w:t>
            </w:r>
            <w:r>
              <w:rPr>
                <w:rFonts w:ascii="宋体"/>
                <w:sz w:val="20"/>
              </w:rPr>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97"/>
              <w:ind w:left="310" w:right="0"/>
              <w:jc w:val="left"/>
              <w:rPr>
                <w:rFonts w:ascii="宋体" w:hAnsi="宋体" w:cs="宋体" w:eastAsia="宋体" w:hint="default"/>
                <w:sz w:val="20"/>
                <w:szCs w:val="20"/>
              </w:rPr>
            </w:pPr>
            <w:r>
              <w:rPr>
                <w:rFonts w:ascii="宋体"/>
                <w:w w:val="99"/>
                <w:sz w:val="20"/>
              </w:rPr>
            </w:r>
            <w:r>
              <w:rPr>
                <w:rFonts w:ascii="宋体"/>
                <w:sz w:val="20"/>
                <w:u w:val="thick" w:color="000000"/>
              </w:rPr>
              <w:t>14.98</w:t>
            </w:r>
            <w:r>
              <w:rPr>
                <w:rFonts w:ascii="宋体"/>
                <w:sz w:val="20"/>
              </w:rPr>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97"/>
              <w:ind w:left="32" w:right="0"/>
              <w:jc w:val="left"/>
              <w:rPr>
                <w:rFonts w:ascii="宋体" w:hAnsi="宋体" w:cs="宋体" w:eastAsia="宋体" w:hint="default"/>
                <w:sz w:val="20"/>
                <w:szCs w:val="20"/>
              </w:rPr>
            </w:pPr>
            <w:r>
              <w:rPr>
                <w:rFonts w:ascii="宋体"/>
                <w:w w:val="99"/>
                <w:sz w:val="20"/>
              </w:rPr>
            </w:r>
            <w:r>
              <w:rPr>
                <w:rFonts w:ascii="宋体"/>
                <w:w w:val="99"/>
                <w:sz w:val="20"/>
                <w:u w:val="thick" w:color="000000"/>
              </w:rPr>
              <w:t> </w:t>
            </w:r>
            <w:r>
              <w:rPr>
                <w:rFonts w:ascii="宋体"/>
                <w:spacing w:val="2"/>
                <w:sz w:val="20"/>
                <w:u w:val="thick" w:color="000000"/>
              </w:rPr>
              <w:t> </w:t>
            </w:r>
            <w:r>
              <w:rPr>
                <w:rFonts w:ascii="宋体"/>
                <w:sz w:val="20"/>
                <w:u w:val="thick" w:color="000000"/>
              </w:rPr>
              <w:t>954,633</w:t>
            </w:r>
            <w:r>
              <w:rPr>
                <w:rFonts w:ascii="宋体"/>
                <w:sz w:val="20"/>
              </w:rPr>
            </w:r>
          </w:p>
        </w:tc>
        <w:tc>
          <w:tcPr>
            <w:tcW w:w="419" w:type="dxa"/>
            <w:tcBorders>
              <w:top w:val="nil" w:sz="6" w:space="0" w:color="auto"/>
              <w:left w:val="nil" w:sz="6" w:space="0" w:color="auto"/>
              <w:bottom w:val="nil" w:sz="6" w:space="0" w:color="auto"/>
              <w:right w:val="nil" w:sz="6" w:space="0" w:color="auto"/>
            </w:tcBorders>
          </w:tcPr>
          <w:p>
            <w:pPr/>
          </w:p>
        </w:tc>
      </w:tr>
    </w:tbl>
    <w:p>
      <w:pPr>
        <w:spacing w:line="240" w:lineRule="auto" w:before="11"/>
        <w:rPr>
          <w:rFonts w:ascii="黑体" w:hAnsi="黑体" w:cs="黑体" w:eastAsia="黑体" w:hint="default"/>
          <w:sz w:val="14"/>
          <w:szCs w:val="14"/>
        </w:rPr>
      </w:pPr>
    </w:p>
    <w:p>
      <w:pPr>
        <w:pStyle w:val="BodyText"/>
        <w:spacing w:line="272" w:lineRule="exact" w:before="64"/>
        <w:ind w:left="138" w:right="148"/>
        <w:jc w:val="both"/>
      </w:pPr>
      <w:r>
        <w:rPr/>
        <w:t>注</w:t>
      </w:r>
      <w:r>
        <w:rPr>
          <w:spacing w:val="6"/>
        </w:rPr>
        <w:t> </w:t>
      </w:r>
      <w:r>
        <w:rPr>
          <w:rFonts w:ascii="宋体" w:hAnsi="宋体" w:cs="宋体" w:eastAsia="宋体" w:hint="default"/>
        </w:rPr>
        <w:t>1</w:t>
      </w:r>
      <w:r>
        <w:rPr/>
        <w:t>．失效部分主要包括作废的股票期权、未行权视同放弃的股票期权及部分放弃行权的股票期</w:t>
      </w:r>
      <w:r>
        <w:rPr>
          <w:w w:val="100"/>
        </w:rPr>
        <w:t> </w:t>
      </w:r>
      <w:r>
        <w:rPr/>
        <w:t>权。</w:t>
      </w:r>
    </w:p>
    <w:p>
      <w:pPr>
        <w:spacing w:line="240" w:lineRule="auto" w:before="3"/>
        <w:rPr>
          <w:rFonts w:ascii="宋体" w:hAnsi="宋体" w:cs="宋体" w:eastAsia="宋体" w:hint="default"/>
          <w:sz w:val="16"/>
          <w:szCs w:val="16"/>
        </w:rPr>
      </w:pPr>
    </w:p>
    <w:p>
      <w:pPr>
        <w:spacing w:before="0"/>
        <w:ind w:left="138" w:right="0" w:firstLine="0"/>
        <w:jc w:val="both"/>
        <w:rPr>
          <w:rFonts w:ascii="宋体" w:hAnsi="宋体" w:cs="宋体" w:eastAsia="宋体" w:hint="default"/>
          <w:sz w:val="21"/>
          <w:szCs w:val="21"/>
        </w:rPr>
      </w:pPr>
      <w:r>
        <w:rPr>
          <w:rFonts w:ascii="Arial" w:hAnsi="Arial" w:cs="Arial" w:eastAsia="Arial" w:hint="default"/>
          <w:sz w:val="20"/>
          <w:szCs w:val="20"/>
        </w:rPr>
        <w:t>2017</w:t>
      </w:r>
      <w:r>
        <w:rPr>
          <w:rFonts w:ascii="Arial" w:hAnsi="Arial" w:cs="Arial" w:eastAsia="Arial" w:hint="default"/>
          <w:spacing w:val="-6"/>
          <w:sz w:val="20"/>
          <w:szCs w:val="20"/>
        </w:rPr>
        <w:t> </w:t>
      </w:r>
      <w:r>
        <w:rPr>
          <w:rFonts w:ascii="宋体" w:hAnsi="宋体" w:cs="宋体" w:eastAsia="宋体" w:hint="default"/>
          <w:sz w:val="21"/>
          <w:szCs w:val="21"/>
        </w:rPr>
        <w:t>年股份支付计划</w:t>
      </w:r>
    </w:p>
    <w:p>
      <w:pPr>
        <w:spacing w:line="240" w:lineRule="auto" w:before="3"/>
        <w:rPr>
          <w:rFonts w:ascii="宋体" w:hAnsi="宋体" w:cs="宋体" w:eastAsia="宋体" w:hint="default"/>
          <w:sz w:val="17"/>
          <w:szCs w:val="17"/>
        </w:rPr>
      </w:pPr>
    </w:p>
    <w:p>
      <w:pPr>
        <w:pStyle w:val="BodyText"/>
        <w:spacing w:line="273" w:lineRule="exact"/>
        <w:ind w:left="138" w:right="0"/>
        <w:jc w:val="both"/>
      </w:pPr>
      <w:r>
        <w:rPr/>
        <w:t>本公司于</w:t>
      </w:r>
      <w:r>
        <w:rPr>
          <w:spacing w:val="-50"/>
        </w:rPr>
        <w:t> </w:t>
      </w:r>
      <w:r>
        <w:rPr>
          <w:rFonts w:ascii="宋体" w:hAnsi="宋体" w:cs="宋体" w:eastAsia="宋体" w:hint="default"/>
        </w:rPr>
        <w:t>2017</w:t>
      </w:r>
      <w:r>
        <w:rPr>
          <w:rFonts w:ascii="宋体" w:hAnsi="宋体" w:cs="宋体" w:eastAsia="宋体" w:hint="default"/>
          <w:spacing w:val="-53"/>
        </w:rPr>
        <w:t> </w:t>
      </w:r>
      <w:r>
        <w:rPr/>
        <w:t>年</w:t>
      </w:r>
      <w:r>
        <w:rPr>
          <w:spacing w:val="-53"/>
        </w:rPr>
        <w:t> </w:t>
      </w:r>
      <w:r>
        <w:rPr>
          <w:rFonts w:ascii="宋体" w:hAnsi="宋体" w:cs="宋体" w:eastAsia="宋体" w:hint="default"/>
        </w:rPr>
        <w:t>5</w:t>
      </w:r>
      <w:r>
        <w:rPr>
          <w:rFonts w:ascii="宋体" w:hAnsi="宋体" w:cs="宋体" w:eastAsia="宋体" w:hint="default"/>
          <w:spacing w:val="-50"/>
        </w:rPr>
        <w:t> </w:t>
      </w:r>
      <w:r>
        <w:rPr/>
        <w:t>月</w:t>
      </w:r>
      <w:r>
        <w:rPr>
          <w:spacing w:val="-52"/>
        </w:rPr>
        <w:t> </w:t>
      </w:r>
      <w:r>
        <w:rPr>
          <w:rFonts w:ascii="宋体" w:hAnsi="宋体" w:cs="宋体" w:eastAsia="宋体" w:hint="default"/>
        </w:rPr>
        <w:t>23</w:t>
      </w:r>
      <w:r>
        <w:rPr>
          <w:rFonts w:ascii="宋体" w:hAnsi="宋体" w:cs="宋体" w:eastAsia="宋体" w:hint="default"/>
          <w:spacing w:val="-53"/>
        </w:rPr>
        <w:t> </w:t>
      </w:r>
      <w:r>
        <w:rPr/>
        <w:t>日召开公司第七届董事会第三次会议，审议通过了《用友网络科技股份</w:t>
      </w:r>
    </w:p>
    <w:p>
      <w:pPr>
        <w:pStyle w:val="BodyText"/>
        <w:spacing w:line="272" w:lineRule="exact"/>
        <w:ind w:left="138" w:right="0"/>
        <w:jc w:val="both"/>
      </w:pPr>
      <w:r>
        <w:rPr/>
        <w:t>有限公司</w:t>
      </w:r>
      <w:r>
        <w:rPr>
          <w:spacing w:val="-44"/>
        </w:rPr>
        <w:t> </w:t>
      </w:r>
      <w:r>
        <w:rPr>
          <w:rFonts w:ascii="宋体" w:hAnsi="宋体" w:cs="宋体" w:eastAsia="宋体" w:hint="default"/>
        </w:rPr>
        <w:t>2017</w:t>
      </w:r>
      <w:r>
        <w:rPr>
          <w:rFonts w:ascii="宋体" w:hAnsi="宋体" w:cs="宋体" w:eastAsia="宋体" w:hint="default"/>
          <w:spacing w:val="-47"/>
        </w:rPr>
        <w:t> </w:t>
      </w:r>
      <w:r>
        <w:rPr/>
        <w:t>年股票期权与限制性股票激励计划（草案）》并出具公告。</w:t>
      </w:r>
      <w:r>
        <w:rPr>
          <w:rFonts w:ascii="宋体" w:hAnsi="宋体" w:cs="宋体" w:eastAsia="宋体" w:hint="default"/>
        </w:rPr>
        <w:t>2017</w:t>
      </w:r>
      <w:r>
        <w:rPr>
          <w:rFonts w:ascii="宋体" w:hAnsi="宋体" w:cs="宋体" w:eastAsia="宋体" w:hint="default"/>
          <w:spacing w:val="-44"/>
        </w:rPr>
        <w:t> </w:t>
      </w:r>
      <w:r>
        <w:rPr/>
        <w:t>年</w:t>
      </w:r>
      <w:r>
        <w:rPr>
          <w:spacing w:val="-46"/>
        </w:rPr>
        <w:t> </w:t>
      </w:r>
      <w:r>
        <w:rPr>
          <w:rFonts w:ascii="宋体" w:hAnsi="宋体" w:cs="宋体" w:eastAsia="宋体" w:hint="default"/>
        </w:rPr>
        <w:t>6</w:t>
      </w:r>
      <w:r>
        <w:rPr>
          <w:rFonts w:ascii="宋体" w:hAnsi="宋体" w:cs="宋体" w:eastAsia="宋体" w:hint="default"/>
          <w:spacing w:val="-44"/>
        </w:rPr>
        <w:t> </w:t>
      </w:r>
      <w:r>
        <w:rPr/>
        <w:t>月</w:t>
      </w:r>
      <w:r>
        <w:rPr>
          <w:spacing w:val="-46"/>
        </w:rPr>
        <w:t> </w:t>
      </w:r>
      <w:r>
        <w:rPr>
          <w:rFonts w:ascii="宋体" w:hAnsi="宋体" w:cs="宋体" w:eastAsia="宋体" w:hint="default"/>
        </w:rPr>
        <w:t>8</w:t>
      </w:r>
      <w:r>
        <w:rPr>
          <w:rFonts w:ascii="宋体" w:hAnsi="宋体" w:cs="宋体" w:eastAsia="宋体" w:hint="default"/>
          <w:spacing w:val="-44"/>
        </w:rPr>
        <w:t> </w:t>
      </w:r>
      <w:r>
        <w:rPr/>
        <w:t>日，公</w:t>
      </w:r>
    </w:p>
    <w:p>
      <w:pPr>
        <w:pStyle w:val="BodyText"/>
        <w:spacing w:line="237" w:lineRule="auto" w:before="2"/>
        <w:ind w:left="138" w:right="147"/>
        <w:jc w:val="both"/>
      </w:pPr>
      <w:r>
        <w:rPr/>
        <w:t>司</w:t>
      </w:r>
      <w:r>
        <w:rPr>
          <w:spacing w:val="-51"/>
        </w:rPr>
        <w:t> </w:t>
      </w:r>
      <w:r>
        <w:rPr>
          <w:rFonts w:ascii="宋体" w:hAnsi="宋体" w:cs="宋体" w:eastAsia="宋体" w:hint="default"/>
        </w:rPr>
        <w:t>2017</w:t>
      </w:r>
      <w:r>
        <w:rPr>
          <w:rFonts w:ascii="宋体" w:hAnsi="宋体" w:cs="宋体" w:eastAsia="宋体" w:hint="default"/>
          <w:spacing w:val="-54"/>
        </w:rPr>
        <w:t> </w:t>
      </w:r>
      <w:r>
        <w:rPr/>
        <w:t>年第二次临时股东大会审议并通过了《用友网络科技股份有限公司</w:t>
      </w:r>
      <w:r>
        <w:rPr>
          <w:spacing w:val="-51"/>
        </w:rPr>
        <w:t> </w:t>
      </w:r>
      <w:r>
        <w:rPr>
          <w:rFonts w:ascii="宋体" w:hAnsi="宋体" w:cs="宋体" w:eastAsia="宋体" w:hint="default"/>
        </w:rPr>
        <w:t>2017</w:t>
      </w:r>
      <w:r>
        <w:rPr>
          <w:rFonts w:ascii="宋体" w:hAnsi="宋体" w:cs="宋体" w:eastAsia="宋体" w:hint="default"/>
          <w:spacing w:val="-51"/>
        </w:rPr>
        <w:t> </w:t>
      </w:r>
      <w:r>
        <w:rPr/>
        <w:t>年股票期权与限</w:t>
      </w:r>
      <w:r>
        <w:rPr>
          <w:w w:val="100"/>
        </w:rPr>
        <w:t> </w:t>
      </w:r>
      <w:r>
        <w:rPr/>
        <w:t>制性股票激励计划（草案）及其摘要》，决定向激励对象授予股票期权与限制性股票</w:t>
      </w:r>
      <w:r>
        <w:rPr>
          <w:rFonts w:ascii="宋体" w:hAnsi="宋体" w:cs="宋体" w:eastAsia="宋体" w:hint="default"/>
        </w:rPr>
        <w:t>(</w:t>
      </w:r>
      <w:r>
        <w:rPr/>
        <w:t>以下简称</w:t>
      </w:r>
      <w:r>
        <w:rPr>
          <w:spacing w:val="13"/>
        </w:rPr>
        <w:t> </w:t>
      </w:r>
      <w:r>
        <w:rPr>
          <w:spacing w:val="13"/>
        </w:rPr>
      </w:r>
      <w:r>
        <w:rPr/>
        <w:t>“2017</w:t>
      </w:r>
      <w:r>
        <w:rPr>
          <w:spacing w:val="-53"/>
        </w:rPr>
        <w:t> </w:t>
      </w:r>
      <w:r>
        <w:rPr/>
        <w:t>年授予计划”)。本公司</w:t>
      </w:r>
      <w:r>
        <w:rPr>
          <w:spacing w:val="-53"/>
        </w:rPr>
        <w:t> </w:t>
      </w:r>
      <w:r>
        <w:rPr>
          <w:rFonts w:ascii="宋体" w:hAnsi="宋体" w:cs="宋体" w:eastAsia="宋体" w:hint="default"/>
        </w:rPr>
        <w:t>2017</w:t>
      </w:r>
      <w:r>
        <w:rPr>
          <w:rFonts w:ascii="宋体" w:hAnsi="宋体" w:cs="宋体" w:eastAsia="宋体" w:hint="default"/>
          <w:spacing w:val="-53"/>
        </w:rPr>
        <w:t> </w:t>
      </w:r>
      <w:r>
        <w:rPr/>
        <w:t>年授予计划的授予日为</w:t>
      </w:r>
      <w:r>
        <w:rPr>
          <w:spacing w:val="-53"/>
        </w:rPr>
        <w:t> </w:t>
      </w:r>
      <w:r>
        <w:rPr>
          <w:rFonts w:ascii="宋体" w:hAnsi="宋体" w:cs="宋体" w:eastAsia="宋体" w:hint="default"/>
        </w:rPr>
        <w:t>2017</w:t>
      </w:r>
      <w:r>
        <w:rPr>
          <w:rFonts w:ascii="宋体" w:hAnsi="宋体" w:cs="宋体" w:eastAsia="宋体" w:hint="default"/>
          <w:spacing w:val="-55"/>
        </w:rPr>
        <w:t> </w:t>
      </w:r>
      <w:r>
        <w:rPr/>
        <w:t>年</w:t>
      </w:r>
      <w:r>
        <w:rPr>
          <w:spacing w:val="-53"/>
        </w:rPr>
        <w:t> </w:t>
      </w:r>
      <w:r>
        <w:rPr>
          <w:rFonts w:ascii="宋体" w:hAnsi="宋体" w:cs="宋体" w:eastAsia="宋体" w:hint="default"/>
        </w:rPr>
        <w:t>6</w:t>
      </w:r>
      <w:r>
        <w:rPr>
          <w:rFonts w:ascii="宋体" w:hAnsi="宋体" w:cs="宋体" w:eastAsia="宋体" w:hint="default"/>
          <w:spacing w:val="-55"/>
        </w:rPr>
        <w:t> </w:t>
      </w:r>
      <w:r>
        <w:rPr/>
        <w:t>月</w:t>
      </w:r>
      <w:r>
        <w:rPr>
          <w:spacing w:val="-53"/>
        </w:rPr>
        <w:t> </w:t>
      </w:r>
      <w:r>
        <w:rPr>
          <w:rFonts w:ascii="宋体" w:hAnsi="宋体" w:cs="宋体" w:eastAsia="宋体" w:hint="default"/>
        </w:rPr>
        <w:t>26</w:t>
      </w:r>
      <w:r>
        <w:rPr>
          <w:rFonts w:ascii="宋体" w:hAnsi="宋体" w:cs="宋体" w:eastAsia="宋体" w:hint="default"/>
          <w:spacing w:val="-55"/>
        </w:rPr>
        <w:t> </w:t>
      </w:r>
      <w:r>
        <w:rPr/>
        <w:t>日。</w:t>
      </w:r>
    </w:p>
    <w:p>
      <w:pPr>
        <w:spacing w:line="240" w:lineRule="auto" w:before="1"/>
        <w:rPr>
          <w:rFonts w:ascii="宋体" w:hAnsi="宋体" w:cs="宋体" w:eastAsia="宋体" w:hint="default"/>
          <w:sz w:val="18"/>
          <w:szCs w:val="18"/>
        </w:rPr>
      </w:pPr>
    </w:p>
    <w:p>
      <w:pPr>
        <w:spacing w:before="0"/>
        <w:ind w:left="138" w:right="0" w:firstLine="0"/>
        <w:jc w:val="both"/>
        <w:rPr>
          <w:rFonts w:ascii="宋体" w:hAnsi="宋体" w:cs="宋体" w:eastAsia="宋体" w:hint="default"/>
          <w:sz w:val="21"/>
          <w:szCs w:val="21"/>
        </w:rPr>
      </w:pPr>
      <w:r>
        <w:rPr>
          <w:rFonts w:ascii="黑体" w:hAnsi="黑体" w:cs="黑体" w:eastAsia="黑体" w:hint="default"/>
          <w:sz w:val="20"/>
          <w:szCs w:val="20"/>
        </w:rPr>
        <w:t>（</w:t>
      </w:r>
      <w:r>
        <w:rPr>
          <w:rFonts w:ascii="Arial" w:hAnsi="Arial" w:cs="Arial" w:eastAsia="Arial" w:hint="default"/>
          <w:sz w:val="20"/>
          <w:szCs w:val="20"/>
        </w:rPr>
        <w:t>1</w:t>
      </w:r>
      <w:r>
        <w:rPr>
          <w:rFonts w:ascii="黑体" w:hAnsi="黑体" w:cs="黑体" w:eastAsia="黑体" w:hint="default"/>
          <w:sz w:val="20"/>
          <w:szCs w:val="20"/>
        </w:rPr>
        <w:t>）</w:t>
      </w:r>
      <w:r>
        <w:rPr>
          <w:rFonts w:ascii="宋体" w:hAnsi="宋体" w:cs="宋体" w:eastAsia="宋体" w:hint="default"/>
          <w:sz w:val="21"/>
          <w:szCs w:val="21"/>
        </w:rPr>
        <w:t>限制性股票激励计划</w:t>
      </w:r>
    </w:p>
    <w:p>
      <w:pPr>
        <w:spacing w:line="240" w:lineRule="auto" w:before="6"/>
        <w:rPr>
          <w:rFonts w:ascii="宋体" w:hAnsi="宋体" w:cs="宋体" w:eastAsia="宋体" w:hint="default"/>
          <w:sz w:val="17"/>
          <w:szCs w:val="17"/>
        </w:rPr>
      </w:pPr>
    </w:p>
    <w:p>
      <w:pPr>
        <w:pStyle w:val="BodyText"/>
        <w:spacing w:line="237" w:lineRule="auto"/>
        <w:ind w:left="138" w:right="147"/>
        <w:jc w:val="both"/>
      </w:pPr>
      <w:r>
        <w:rPr/>
        <w:t>本公司</w:t>
      </w:r>
      <w:r>
        <w:rPr>
          <w:spacing w:val="-21"/>
        </w:rPr>
        <w:t> </w:t>
      </w:r>
      <w:r>
        <w:rPr>
          <w:rFonts w:ascii="宋体" w:hAnsi="宋体" w:cs="宋体" w:eastAsia="宋体" w:hint="default"/>
        </w:rPr>
        <w:t>2017</w:t>
      </w:r>
      <w:r>
        <w:rPr>
          <w:rFonts w:ascii="宋体" w:hAnsi="宋体" w:cs="宋体" w:eastAsia="宋体" w:hint="default"/>
          <w:spacing w:val="-20"/>
        </w:rPr>
        <w:t> </w:t>
      </w:r>
      <w:r>
        <w:rPr/>
        <w:t>年发行了新限制性股票激励计划，向</w:t>
      </w:r>
      <w:r>
        <w:rPr>
          <w:spacing w:val="-20"/>
        </w:rPr>
        <w:t> </w:t>
      </w:r>
      <w:r>
        <w:rPr>
          <w:rFonts w:ascii="宋体" w:hAnsi="宋体" w:cs="宋体" w:eastAsia="宋体" w:hint="default"/>
        </w:rPr>
        <w:t>1408</w:t>
      </w:r>
      <w:r>
        <w:rPr>
          <w:rFonts w:ascii="宋体" w:hAnsi="宋体" w:cs="宋体" w:eastAsia="宋体" w:hint="default"/>
          <w:spacing w:val="-18"/>
        </w:rPr>
        <w:t> </w:t>
      </w:r>
      <w:r>
        <w:rPr/>
        <w:t>位激励对象授予限制性股票</w:t>
      </w:r>
      <w:r>
        <w:rPr>
          <w:spacing w:val="-20"/>
        </w:rPr>
        <w:t> </w:t>
      </w:r>
      <w:r>
        <w:rPr>
          <w:rFonts w:ascii="宋体" w:hAnsi="宋体" w:cs="宋体" w:eastAsia="宋体" w:hint="default"/>
        </w:rPr>
        <w:t>19,056,540</w:t>
      </w:r>
      <w:r>
        <w:rPr>
          <w:rFonts w:ascii="宋体" w:hAnsi="宋体" w:cs="宋体" w:eastAsia="宋体" w:hint="default"/>
          <w:w w:val="100"/>
        </w:rPr>
        <w:t> </w:t>
      </w:r>
      <w:r>
        <w:rPr/>
        <w:t>股，限制性股票的授予价格为</w:t>
      </w:r>
      <w:r>
        <w:rPr>
          <w:spacing w:val="-49"/>
        </w:rPr>
        <w:t> </w:t>
      </w:r>
      <w:r>
        <w:rPr>
          <w:rFonts w:ascii="宋体" w:hAnsi="宋体" w:cs="宋体" w:eastAsia="宋体" w:hint="default"/>
        </w:rPr>
        <w:t>4.12</w:t>
      </w:r>
      <w:r>
        <w:rPr>
          <w:rFonts w:ascii="宋体" w:hAnsi="宋体" w:cs="宋体" w:eastAsia="宋体" w:hint="default"/>
          <w:spacing w:val="-47"/>
        </w:rPr>
        <w:t> </w:t>
      </w:r>
      <w:r>
        <w:rPr/>
        <w:t>元，股票来源为公司从二级市场回购的本公司</w:t>
      </w:r>
      <w:r>
        <w:rPr>
          <w:spacing w:val="-2"/>
        </w:rPr>
        <w:t> </w:t>
      </w:r>
      <w:r>
        <w:rPr>
          <w:rFonts w:ascii="宋体" w:hAnsi="宋体" w:cs="宋体" w:eastAsia="宋体" w:hint="default"/>
        </w:rPr>
        <w:t>A</w:t>
      </w:r>
      <w:r>
        <w:rPr>
          <w:rFonts w:ascii="宋体" w:hAnsi="宋体" w:cs="宋体" w:eastAsia="宋体" w:hint="default"/>
          <w:spacing w:val="-4"/>
        </w:rPr>
        <w:t> </w:t>
      </w:r>
      <w:r>
        <w:rPr/>
        <w:t>股普通股。</w:t>
      </w:r>
      <w:r>
        <w:rPr>
          <w:w w:val="100"/>
        </w:rPr>
        <w:t> </w:t>
      </w:r>
      <w:r>
        <w:rPr/>
        <w:t>获授的限制性股票应在授予日起满</w:t>
      </w:r>
      <w:r>
        <w:rPr>
          <w:spacing w:val="-54"/>
        </w:rPr>
        <w:t> </w:t>
      </w:r>
      <w:r>
        <w:rPr>
          <w:rFonts w:ascii="宋体" w:hAnsi="宋体" w:cs="宋体" w:eastAsia="宋体" w:hint="default"/>
        </w:rPr>
        <w:t>12</w:t>
      </w:r>
      <w:r>
        <w:rPr>
          <w:rFonts w:ascii="宋体" w:hAnsi="宋体" w:cs="宋体" w:eastAsia="宋体" w:hint="default"/>
          <w:spacing w:val="-54"/>
        </w:rPr>
        <w:t> </w:t>
      </w:r>
      <w:r>
        <w:rPr/>
        <w:t>个月后的未来</w:t>
      </w:r>
      <w:r>
        <w:rPr>
          <w:spacing w:val="-54"/>
        </w:rPr>
        <w:t> </w:t>
      </w:r>
      <w:r>
        <w:rPr>
          <w:rFonts w:ascii="宋体" w:hAnsi="宋体" w:cs="宋体" w:eastAsia="宋体" w:hint="default"/>
        </w:rPr>
        <w:t>36</w:t>
      </w:r>
      <w:r>
        <w:rPr>
          <w:rFonts w:ascii="宋体" w:hAnsi="宋体" w:cs="宋体" w:eastAsia="宋体" w:hint="default"/>
          <w:spacing w:val="-56"/>
        </w:rPr>
        <w:t> </w:t>
      </w:r>
      <w:r>
        <w:rPr/>
        <w:t>个月内分三期解锁。具体安排如下：</w:t>
      </w:r>
    </w:p>
    <w:p>
      <w:pPr>
        <w:spacing w:line="240" w:lineRule="auto" w:before="4"/>
        <w:rPr>
          <w:rFonts w:ascii="宋体" w:hAnsi="宋体" w:cs="宋体" w:eastAsia="宋体" w:hint="default"/>
          <w:sz w:val="24"/>
          <w:szCs w:val="24"/>
        </w:rPr>
      </w:pPr>
    </w:p>
    <w:tbl>
      <w:tblPr>
        <w:tblW w:w="0" w:type="auto"/>
        <w:jc w:val="left"/>
        <w:tblInd w:w="401" w:type="dxa"/>
        <w:tblLayout w:type="fixed"/>
        <w:tblCellMar>
          <w:top w:w="0" w:type="dxa"/>
          <w:left w:w="0" w:type="dxa"/>
          <w:bottom w:w="0" w:type="dxa"/>
          <w:right w:w="0" w:type="dxa"/>
        </w:tblCellMar>
        <w:tblLook w:val="01E0"/>
      </w:tblPr>
      <w:tblGrid>
        <w:gridCol w:w="2127"/>
        <w:gridCol w:w="5157"/>
        <w:gridCol w:w="1105"/>
      </w:tblGrid>
      <w:tr>
        <w:trPr>
          <w:trHeight w:val="257" w:hRule="exact"/>
        </w:trPr>
        <w:tc>
          <w:tcPr>
            <w:tcW w:w="2127" w:type="dxa"/>
            <w:tcBorders>
              <w:top w:val="nil" w:sz="6" w:space="0" w:color="auto"/>
              <w:left w:val="nil" w:sz="6" w:space="0" w:color="auto"/>
              <w:bottom w:val="nil" w:sz="6" w:space="0" w:color="auto"/>
              <w:right w:val="nil" w:sz="6" w:space="0" w:color="auto"/>
            </w:tcBorders>
          </w:tcPr>
          <w:p>
            <w:pPr>
              <w:pStyle w:val="TableParagraph"/>
              <w:spacing w:line="199" w:lineRule="exact"/>
              <w:ind w:left="200" w:right="0"/>
              <w:jc w:val="left"/>
              <w:rPr>
                <w:rFonts w:ascii="宋体" w:hAnsi="宋体" w:cs="宋体" w:eastAsia="宋体" w:hint="default"/>
                <w:sz w:val="20"/>
                <w:szCs w:val="20"/>
              </w:rPr>
            </w:pPr>
            <w:r>
              <w:rPr>
                <w:rFonts w:ascii="宋体" w:hAnsi="宋体" w:cs="宋体" w:eastAsia="宋体" w:hint="default"/>
                <w:sz w:val="20"/>
                <w:szCs w:val="20"/>
              </w:rPr>
              <w:t>解除限售安排</w:t>
            </w:r>
          </w:p>
        </w:tc>
        <w:tc>
          <w:tcPr>
            <w:tcW w:w="5157" w:type="dxa"/>
            <w:tcBorders>
              <w:top w:val="nil" w:sz="6" w:space="0" w:color="auto"/>
              <w:left w:val="nil" w:sz="6" w:space="0" w:color="auto"/>
              <w:bottom w:val="nil" w:sz="6" w:space="0" w:color="auto"/>
              <w:right w:val="nil" w:sz="6" w:space="0" w:color="auto"/>
            </w:tcBorders>
          </w:tcPr>
          <w:p>
            <w:pPr>
              <w:pStyle w:val="TableParagraph"/>
              <w:spacing w:line="199" w:lineRule="exact"/>
              <w:ind w:left="58" w:right="0"/>
              <w:jc w:val="left"/>
              <w:rPr>
                <w:rFonts w:ascii="宋体" w:hAnsi="宋体" w:cs="宋体" w:eastAsia="宋体" w:hint="default"/>
                <w:sz w:val="20"/>
                <w:szCs w:val="20"/>
              </w:rPr>
            </w:pPr>
            <w:r>
              <w:rPr>
                <w:rFonts w:ascii="宋体" w:hAnsi="宋体" w:cs="宋体" w:eastAsia="宋体" w:hint="default"/>
                <w:sz w:val="20"/>
                <w:szCs w:val="20"/>
              </w:rPr>
              <w:t>解锁时间</w:t>
            </w:r>
          </w:p>
        </w:tc>
        <w:tc>
          <w:tcPr>
            <w:tcW w:w="1105" w:type="dxa"/>
            <w:tcBorders>
              <w:top w:val="nil" w:sz="6" w:space="0" w:color="auto"/>
              <w:left w:val="nil" w:sz="6" w:space="0" w:color="auto"/>
              <w:bottom w:val="nil" w:sz="6" w:space="0" w:color="auto"/>
              <w:right w:val="nil" w:sz="6" w:space="0" w:color="auto"/>
            </w:tcBorders>
          </w:tcPr>
          <w:p>
            <w:pPr>
              <w:pStyle w:val="TableParagraph"/>
              <w:spacing w:line="199" w:lineRule="exact"/>
              <w:ind w:left="108" w:right="0"/>
              <w:jc w:val="left"/>
              <w:rPr>
                <w:rFonts w:ascii="宋体" w:hAnsi="宋体" w:cs="宋体" w:eastAsia="宋体" w:hint="default"/>
                <w:sz w:val="20"/>
                <w:szCs w:val="20"/>
              </w:rPr>
            </w:pPr>
            <w:r>
              <w:rPr>
                <w:rFonts w:ascii="宋体" w:hAnsi="宋体" w:cs="宋体" w:eastAsia="宋体" w:hint="default"/>
                <w:sz w:val="20"/>
                <w:szCs w:val="20"/>
              </w:rPr>
              <w:t>解锁比例</w:t>
            </w:r>
          </w:p>
        </w:tc>
      </w:tr>
      <w:tr>
        <w:trPr>
          <w:trHeight w:val="607" w:hRule="exact"/>
        </w:trPr>
        <w:tc>
          <w:tcPr>
            <w:tcW w:w="2127" w:type="dxa"/>
            <w:tcBorders>
              <w:top w:val="nil" w:sz="6" w:space="0" w:color="auto"/>
              <w:left w:val="nil" w:sz="6" w:space="0" w:color="auto"/>
              <w:bottom w:val="nil" w:sz="6" w:space="0" w:color="auto"/>
              <w:right w:val="nil" w:sz="6" w:space="0" w:color="auto"/>
            </w:tcBorders>
          </w:tcPr>
          <w:p>
            <w:pPr>
              <w:pStyle w:val="TableParagraph"/>
              <w:spacing w:line="276" w:lineRule="auto"/>
              <w:ind w:left="303" w:right="56"/>
              <w:jc w:val="left"/>
              <w:rPr>
                <w:rFonts w:ascii="宋体" w:hAnsi="宋体" w:cs="宋体" w:eastAsia="宋体" w:hint="default"/>
                <w:sz w:val="20"/>
                <w:szCs w:val="20"/>
              </w:rPr>
            </w:pPr>
            <w:r>
              <w:rPr>
                <w:rFonts w:ascii="宋体" w:hAnsi="宋体" w:cs="宋体" w:eastAsia="宋体" w:hint="default"/>
                <w:spacing w:val="15"/>
                <w:sz w:val="20"/>
                <w:szCs w:val="20"/>
              </w:rPr>
              <w:t>限制性</w:t>
            </w:r>
            <w:r>
              <w:rPr>
                <w:rFonts w:ascii="宋体" w:hAnsi="宋体" w:cs="宋体" w:eastAsia="宋体" w:hint="default"/>
                <w:spacing w:val="-76"/>
                <w:sz w:val="20"/>
                <w:szCs w:val="20"/>
              </w:rPr>
              <w:t> </w:t>
            </w:r>
            <w:r>
              <w:rPr>
                <w:rFonts w:ascii="宋体" w:hAnsi="宋体" w:cs="宋体" w:eastAsia="宋体" w:hint="default"/>
                <w:spacing w:val="15"/>
                <w:sz w:val="20"/>
                <w:szCs w:val="20"/>
              </w:rPr>
              <w:t>股票第</w:t>
            </w:r>
            <w:r>
              <w:rPr>
                <w:rFonts w:ascii="宋体" w:hAnsi="宋体" w:cs="宋体" w:eastAsia="宋体" w:hint="default"/>
                <w:spacing w:val="-76"/>
                <w:sz w:val="20"/>
                <w:szCs w:val="20"/>
              </w:rPr>
              <w:t> </w:t>
            </w:r>
            <w:r>
              <w:rPr>
                <w:rFonts w:ascii="宋体" w:hAnsi="宋体" w:cs="宋体" w:eastAsia="宋体" w:hint="default"/>
                <w:spacing w:val="11"/>
                <w:sz w:val="20"/>
                <w:szCs w:val="20"/>
              </w:rPr>
              <w:t>一个</w:t>
            </w:r>
            <w:r>
              <w:rPr>
                <w:rFonts w:ascii="宋体" w:hAnsi="宋体" w:cs="宋体" w:eastAsia="宋体" w:hint="default"/>
                <w:w w:val="99"/>
                <w:sz w:val="20"/>
                <w:szCs w:val="20"/>
              </w:rPr>
              <w:t> </w:t>
            </w:r>
            <w:r>
              <w:rPr>
                <w:rFonts w:ascii="宋体" w:hAnsi="宋体" w:cs="宋体" w:eastAsia="宋体" w:hint="default"/>
                <w:sz w:val="20"/>
                <w:szCs w:val="20"/>
              </w:rPr>
              <w:t>解除限售期</w:t>
            </w:r>
          </w:p>
        </w:tc>
        <w:tc>
          <w:tcPr>
            <w:tcW w:w="5157" w:type="dxa"/>
            <w:tcBorders>
              <w:top w:val="nil" w:sz="6" w:space="0" w:color="auto"/>
              <w:left w:val="nil" w:sz="6" w:space="0" w:color="auto"/>
              <w:bottom w:val="nil" w:sz="6" w:space="0" w:color="auto"/>
              <w:right w:val="nil" w:sz="6" w:space="0" w:color="auto"/>
            </w:tcBorders>
          </w:tcPr>
          <w:p>
            <w:pPr>
              <w:pStyle w:val="TableParagraph"/>
              <w:spacing w:line="276" w:lineRule="auto"/>
              <w:ind w:left="161" w:right="106"/>
              <w:jc w:val="left"/>
              <w:rPr>
                <w:rFonts w:ascii="宋体" w:hAnsi="宋体" w:cs="宋体" w:eastAsia="宋体" w:hint="default"/>
                <w:sz w:val="20"/>
                <w:szCs w:val="20"/>
              </w:rPr>
            </w:pPr>
            <w:r>
              <w:rPr>
                <w:rFonts w:ascii="宋体" w:hAnsi="宋体" w:cs="宋体" w:eastAsia="宋体" w:hint="default"/>
                <w:spacing w:val="3"/>
                <w:sz w:val="20"/>
                <w:szCs w:val="20"/>
              </w:rPr>
              <w:t>自授予登记完成之日起</w:t>
            </w:r>
            <w:r>
              <w:rPr>
                <w:rFonts w:ascii="宋体" w:hAnsi="宋体" w:cs="宋体" w:eastAsia="宋体" w:hint="default"/>
                <w:spacing w:val="3"/>
                <w:sz w:val="20"/>
                <w:szCs w:val="20"/>
              </w:rPr>
              <w:t>12</w:t>
            </w:r>
            <w:r>
              <w:rPr>
                <w:rFonts w:ascii="宋体" w:hAnsi="宋体" w:cs="宋体" w:eastAsia="宋体" w:hint="default"/>
                <w:spacing w:val="3"/>
                <w:sz w:val="20"/>
                <w:szCs w:val="20"/>
              </w:rPr>
              <w:t>个月后的首个交易日，起至授</w:t>
            </w:r>
            <w:r>
              <w:rPr>
                <w:rFonts w:ascii="宋体" w:hAnsi="宋体" w:cs="宋体" w:eastAsia="宋体" w:hint="default"/>
                <w:w w:val="99"/>
                <w:sz w:val="20"/>
                <w:szCs w:val="20"/>
              </w:rPr>
              <w:t> </w:t>
            </w:r>
            <w:r>
              <w:rPr>
                <w:rFonts w:ascii="宋体" w:hAnsi="宋体" w:cs="宋体" w:eastAsia="宋体" w:hint="default"/>
                <w:sz w:val="20"/>
                <w:szCs w:val="20"/>
              </w:rPr>
              <w:t>予登记完成之日起</w:t>
            </w:r>
            <w:r>
              <w:rPr>
                <w:rFonts w:ascii="宋体" w:hAnsi="宋体" w:cs="宋体" w:eastAsia="宋体" w:hint="default"/>
                <w:sz w:val="20"/>
                <w:szCs w:val="20"/>
              </w:rPr>
              <w:t>24</w:t>
            </w:r>
            <w:r>
              <w:rPr>
                <w:rFonts w:ascii="宋体" w:hAnsi="宋体" w:cs="宋体" w:eastAsia="宋体" w:hint="default"/>
                <w:sz w:val="20"/>
                <w:szCs w:val="20"/>
              </w:rPr>
              <w:t>个月内的最后一个交易日当日止</w:t>
            </w:r>
          </w:p>
        </w:tc>
        <w:tc>
          <w:tcPr>
            <w:tcW w:w="1105" w:type="dxa"/>
            <w:tcBorders>
              <w:top w:val="nil" w:sz="6" w:space="0" w:color="auto"/>
              <w:left w:val="nil" w:sz="6" w:space="0" w:color="auto"/>
              <w:bottom w:val="nil" w:sz="6" w:space="0" w:color="auto"/>
              <w:right w:val="nil" w:sz="6" w:space="0" w:color="auto"/>
            </w:tcBorders>
          </w:tcPr>
          <w:p>
            <w:pPr>
              <w:pStyle w:val="TableParagraph"/>
              <w:spacing w:line="257" w:lineRule="exact"/>
              <w:ind w:left="108" w:right="0"/>
              <w:jc w:val="left"/>
              <w:rPr>
                <w:rFonts w:ascii="宋体" w:hAnsi="宋体" w:cs="宋体" w:eastAsia="宋体" w:hint="default"/>
                <w:sz w:val="20"/>
                <w:szCs w:val="20"/>
              </w:rPr>
            </w:pPr>
            <w:r>
              <w:rPr>
                <w:rFonts w:ascii="宋体"/>
                <w:sz w:val="20"/>
              </w:rPr>
              <w:t>40%</w:t>
            </w:r>
          </w:p>
        </w:tc>
      </w:tr>
      <w:tr>
        <w:trPr>
          <w:trHeight w:val="600" w:hRule="exact"/>
        </w:trPr>
        <w:tc>
          <w:tcPr>
            <w:tcW w:w="2127" w:type="dxa"/>
            <w:tcBorders>
              <w:top w:val="nil" w:sz="6" w:space="0" w:color="auto"/>
              <w:left w:val="nil" w:sz="6" w:space="0" w:color="auto"/>
              <w:bottom w:val="nil" w:sz="6" w:space="0" w:color="auto"/>
              <w:right w:val="nil" w:sz="6" w:space="0" w:color="auto"/>
            </w:tcBorders>
          </w:tcPr>
          <w:p>
            <w:pPr>
              <w:pStyle w:val="TableParagraph"/>
              <w:spacing w:line="276" w:lineRule="auto"/>
              <w:ind w:left="303" w:right="56"/>
              <w:jc w:val="left"/>
              <w:rPr>
                <w:rFonts w:ascii="宋体" w:hAnsi="宋体" w:cs="宋体" w:eastAsia="宋体" w:hint="default"/>
                <w:sz w:val="20"/>
                <w:szCs w:val="20"/>
              </w:rPr>
            </w:pPr>
            <w:r>
              <w:rPr>
                <w:rFonts w:ascii="宋体" w:hAnsi="宋体" w:cs="宋体" w:eastAsia="宋体" w:hint="default"/>
                <w:spacing w:val="15"/>
                <w:sz w:val="20"/>
                <w:szCs w:val="20"/>
              </w:rPr>
              <w:t>限制性</w:t>
            </w:r>
            <w:r>
              <w:rPr>
                <w:rFonts w:ascii="宋体" w:hAnsi="宋体" w:cs="宋体" w:eastAsia="宋体" w:hint="default"/>
                <w:spacing w:val="-76"/>
                <w:sz w:val="20"/>
                <w:szCs w:val="20"/>
              </w:rPr>
              <w:t> </w:t>
            </w:r>
            <w:r>
              <w:rPr>
                <w:rFonts w:ascii="宋体" w:hAnsi="宋体" w:cs="宋体" w:eastAsia="宋体" w:hint="default"/>
                <w:spacing w:val="15"/>
                <w:sz w:val="20"/>
                <w:szCs w:val="20"/>
              </w:rPr>
              <w:t>股票第</w:t>
            </w:r>
            <w:r>
              <w:rPr>
                <w:rFonts w:ascii="宋体" w:hAnsi="宋体" w:cs="宋体" w:eastAsia="宋体" w:hint="default"/>
                <w:spacing w:val="-76"/>
                <w:sz w:val="20"/>
                <w:szCs w:val="20"/>
              </w:rPr>
              <w:t> </w:t>
            </w:r>
            <w:r>
              <w:rPr>
                <w:rFonts w:ascii="宋体" w:hAnsi="宋体" w:cs="宋体" w:eastAsia="宋体" w:hint="default"/>
                <w:spacing w:val="11"/>
                <w:sz w:val="20"/>
                <w:szCs w:val="20"/>
              </w:rPr>
              <w:t>二个</w:t>
            </w:r>
            <w:r>
              <w:rPr>
                <w:rFonts w:ascii="宋体" w:hAnsi="宋体" w:cs="宋体" w:eastAsia="宋体" w:hint="default"/>
                <w:w w:val="99"/>
                <w:sz w:val="20"/>
                <w:szCs w:val="20"/>
              </w:rPr>
              <w:t> </w:t>
            </w:r>
            <w:r>
              <w:rPr>
                <w:rFonts w:ascii="宋体" w:hAnsi="宋体" w:cs="宋体" w:eastAsia="宋体" w:hint="default"/>
                <w:sz w:val="20"/>
                <w:szCs w:val="20"/>
              </w:rPr>
              <w:t>解除限售期</w:t>
            </w:r>
          </w:p>
        </w:tc>
        <w:tc>
          <w:tcPr>
            <w:tcW w:w="5157" w:type="dxa"/>
            <w:tcBorders>
              <w:top w:val="nil" w:sz="6" w:space="0" w:color="auto"/>
              <w:left w:val="nil" w:sz="6" w:space="0" w:color="auto"/>
              <w:bottom w:val="nil" w:sz="6" w:space="0" w:color="auto"/>
              <w:right w:val="nil" w:sz="6" w:space="0" w:color="auto"/>
            </w:tcBorders>
          </w:tcPr>
          <w:p>
            <w:pPr>
              <w:pStyle w:val="TableParagraph"/>
              <w:spacing w:line="276" w:lineRule="auto"/>
              <w:ind w:left="161" w:right="106"/>
              <w:jc w:val="left"/>
              <w:rPr>
                <w:rFonts w:ascii="宋体" w:hAnsi="宋体" w:cs="宋体" w:eastAsia="宋体" w:hint="default"/>
                <w:sz w:val="20"/>
                <w:szCs w:val="20"/>
              </w:rPr>
            </w:pPr>
            <w:r>
              <w:rPr>
                <w:rFonts w:ascii="宋体" w:hAnsi="宋体" w:cs="宋体" w:eastAsia="宋体" w:hint="default"/>
                <w:spacing w:val="3"/>
                <w:sz w:val="20"/>
                <w:szCs w:val="20"/>
              </w:rPr>
              <w:t>自授予登记完成之日起</w:t>
            </w:r>
            <w:r>
              <w:rPr>
                <w:rFonts w:ascii="宋体" w:hAnsi="宋体" w:cs="宋体" w:eastAsia="宋体" w:hint="default"/>
                <w:spacing w:val="3"/>
                <w:sz w:val="20"/>
                <w:szCs w:val="20"/>
              </w:rPr>
              <w:t>24</w:t>
            </w:r>
            <w:r>
              <w:rPr>
                <w:rFonts w:ascii="宋体" w:hAnsi="宋体" w:cs="宋体" w:eastAsia="宋体" w:hint="default"/>
                <w:spacing w:val="3"/>
                <w:sz w:val="20"/>
                <w:szCs w:val="20"/>
              </w:rPr>
              <w:t>个月后的首个交易日，起至授</w:t>
            </w:r>
            <w:r>
              <w:rPr>
                <w:rFonts w:ascii="宋体" w:hAnsi="宋体" w:cs="宋体" w:eastAsia="宋体" w:hint="default"/>
                <w:w w:val="99"/>
                <w:sz w:val="20"/>
                <w:szCs w:val="20"/>
              </w:rPr>
              <w:t> </w:t>
            </w:r>
            <w:r>
              <w:rPr>
                <w:rFonts w:ascii="宋体" w:hAnsi="宋体" w:cs="宋体" w:eastAsia="宋体" w:hint="default"/>
                <w:sz w:val="20"/>
                <w:szCs w:val="20"/>
              </w:rPr>
              <w:t>予登记完成之日起</w:t>
            </w:r>
            <w:r>
              <w:rPr>
                <w:rFonts w:ascii="宋体" w:hAnsi="宋体" w:cs="宋体" w:eastAsia="宋体" w:hint="default"/>
                <w:sz w:val="20"/>
                <w:szCs w:val="20"/>
              </w:rPr>
              <w:t>36</w:t>
            </w:r>
            <w:r>
              <w:rPr>
                <w:rFonts w:ascii="宋体" w:hAnsi="宋体" w:cs="宋体" w:eastAsia="宋体" w:hint="default"/>
                <w:sz w:val="20"/>
                <w:szCs w:val="20"/>
              </w:rPr>
              <w:t>个月内的最后一个交易日当日止</w:t>
            </w:r>
          </w:p>
        </w:tc>
        <w:tc>
          <w:tcPr>
            <w:tcW w:w="1105" w:type="dxa"/>
            <w:tcBorders>
              <w:top w:val="nil" w:sz="6" w:space="0" w:color="auto"/>
              <w:left w:val="nil" w:sz="6" w:space="0" w:color="auto"/>
              <w:bottom w:val="nil" w:sz="6" w:space="0" w:color="auto"/>
              <w:right w:val="nil" w:sz="6" w:space="0" w:color="auto"/>
            </w:tcBorders>
          </w:tcPr>
          <w:p>
            <w:pPr>
              <w:pStyle w:val="TableParagraph"/>
              <w:spacing w:line="250" w:lineRule="exact"/>
              <w:ind w:left="108" w:right="0"/>
              <w:jc w:val="left"/>
              <w:rPr>
                <w:rFonts w:ascii="宋体" w:hAnsi="宋体" w:cs="宋体" w:eastAsia="宋体" w:hint="default"/>
                <w:sz w:val="20"/>
                <w:szCs w:val="20"/>
              </w:rPr>
            </w:pPr>
            <w:r>
              <w:rPr>
                <w:rFonts w:ascii="宋体"/>
                <w:sz w:val="20"/>
              </w:rPr>
              <w:t>30%</w:t>
            </w:r>
          </w:p>
        </w:tc>
      </w:tr>
      <w:tr>
        <w:trPr>
          <w:trHeight w:val="550" w:hRule="exact"/>
        </w:trPr>
        <w:tc>
          <w:tcPr>
            <w:tcW w:w="2127" w:type="dxa"/>
            <w:tcBorders>
              <w:top w:val="nil" w:sz="6" w:space="0" w:color="auto"/>
              <w:left w:val="nil" w:sz="6" w:space="0" w:color="auto"/>
              <w:bottom w:val="nil" w:sz="6" w:space="0" w:color="auto"/>
              <w:right w:val="nil" w:sz="6" w:space="0" w:color="auto"/>
            </w:tcBorders>
          </w:tcPr>
          <w:p>
            <w:pPr>
              <w:pStyle w:val="TableParagraph"/>
              <w:spacing w:line="276" w:lineRule="auto"/>
              <w:ind w:left="303" w:right="56"/>
              <w:jc w:val="left"/>
              <w:rPr>
                <w:rFonts w:ascii="宋体" w:hAnsi="宋体" w:cs="宋体" w:eastAsia="宋体" w:hint="default"/>
                <w:sz w:val="20"/>
                <w:szCs w:val="20"/>
              </w:rPr>
            </w:pPr>
            <w:r>
              <w:rPr>
                <w:rFonts w:ascii="宋体" w:hAnsi="宋体" w:cs="宋体" w:eastAsia="宋体" w:hint="default"/>
                <w:spacing w:val="15"/>
                <w:sz w:val="20"/>
                <w:szCs w:val="20"/>
              </w:rPr>
              <w:t>限制性</w:t>
            </w:r>
            <w:r>
              <w:rPr>
                <w:rFonts w:ascii="宋体" w:hAnsi="宋体" w:cs="宋体" w:eastAsia="宋体" w:hint="default"/>
                <w:spacing w:val="-76"/>
                <w:sz w:val="20"/>
                <w:szCs w:val="20"/>
              </w:rPr>
              <w:t> </w:t>
            </w:r>
            <w:r>
              <w:rPr>
                <w:rFonts w:ascii="宋体" w:hAnsi="宋体" w:cs="宋体" w:eastAsia="宋体" w:hint="default"/>
                <w:spacing w:val="15"/>
                <w:sz w:val="20"/>
                <w:szCs w:val="20"/>
              </w:rPr>
              <w:t>股票第</w:t>
            </w:r>
            <w:r>
              <w:rPr>
                <w:rFonts w:ascii="宋体" w:hAnsi="宋体" w:cs="宋体" w:eastAsia="宋体" w:hint="default"/>
                <w:spacing w:val="-76"/>
                <w:sz w:val="20"/>
                <w:szCs w:val="20"/>
              </w:rPr>
              <w:t> </w:t>
            </w:r>
            <w:r>
              <w:rPr>
                <w:rFonts w:ascii="宋体" w:hAnsi="宋体" w:cs="宋体" w:eastAsia="宋体" w:hint="default"/>
                <w:spacing w:val="11"/>
                <w:sz w:val="20"/>
                <w:szCs w:val="20"/>
              </w:rPr>
              <w:t>三个</w:t>
            </w:r>
            <w:r>
              <w:rPr>
                <w:rFonts w:ascii="宋体" w:hAnsi="宋体" w:cs="宋体" w:eastAsia="宋体" w:hint="default"/>
                <w:w w:val="99"/>
                <w:sz w:val="20"/>
                <w:szCs w:val="20"/>
              </w:rPr>
              <w:t> </w:t>
            </w:r>
            <w:r>
              <w:rPr>
                <w:rFonts w:ascii="宋体" w:hAnsi="宋体" w:cs="宋体" w:eastAsia="宋体" w:hint="default"/>
                <w:sz w:val="20"/>
                <w:szCs w:val="20"/>
              </w:rPr>
              <w:t>解除限售期</w:t>
            </w:r>
          </w:p>
        </w:tc>
        <w:tc>
          <w:tcPr>
            <w:tcW w:w="5157" w:type="dxa"/>
            <w:tcBorders>
              <w:top w:val="nil" w:sz="6" w:space="0" w:color="auto"/>
              <w:left w:val="nil" w:sz="6" w:space="0" w:color="auto"/>
              <w:bottom w:val="nil" w:sz="6" w:space="0" w:color="auto"/>
              <w:right w:val="nil" w:sz="6" w:space="0" w:color="auto"/>
            </w:tcBorders>
          </w:tcPr>
          <w:p>
            <w:pPr>
              <w:pStyle w:val="TableParagraph"/>
              <w:spacing w:line="276" w:lineRule="auto"/>
              <w:ind w:left="161" w:right="106"/>
              <w:jc w:val="left"/>
              <w:rPr>
                <w:rFonts w:ascii="宋体" w:hAnsi="宋体" w:cs="宋体" w:eastAsia="宋体" w:hint="default"/>
                <w:sz w:val="20"/>
                <w:szCs w:val="20"/>
              </w:rPr>
            </w:pPr>
            <w:r>
              <w:rPr>
                <w:rFonts w:ascii="宋体" w:hAnsi="宋体" w:cs="宋体" w:eastAsia="宋体" w:hint="default"/>
                <w:spacing w:val="3"/>
                <w:sz w:val="20"/>
                <w:szCs w:val="20"/>
              </w:rPr>
              <w:t>自授予登记完成之日起</w:t>
            </w:r>
            <w:r>
              <w:rPr>
                <w:rFonts w:ascii="宋体" w:hAnsi="宋体" w:cs="宋体" w:eastAsia="宋体" w:hint="default"/>
                <w:spacing w:val="3"/>
                <w:sz w:val="20"/>
                <w:szCs w:val="20"/>
              </w:rPr>
              <w:t>36</w:t>
            </w:r>
            <w:r>
              <w:rPr>
                <w:rFonts w:ascii="宋体" w:hAnsi="宋体" w:cs="宋体" w:eastAsia="宋体" w:hint="default"/>
                <w:spacing w:val="3"/>
                <w:sz w:val="20"/>
                <w:szCs w:val="20"/>
              </w:rPr>
              <w:t>个月后的首个交易日，起至授</w:t>
            </w:r>
            <w:r>
              <w:rPr>
                <w:rFonts w:ascii="宋体" w:hAnsi="宋体" w:cs="宋体" w:eastAsia="宋体" w:hint="default"/>
                <w:w w:val="99"/>
                <w:sz w:val="20"/>
                <w:szCs w:val="20"/>
              </w:rPr>
              <w:t> </w:t>
            </w:r>
            <w:r>
              <w:rPr>
                <w:rFonts w:ascii="宋体" w:hAnsi="宋体" w:cs="宋体" w:eastAsia="宋体" w:hint="default"/>
                <w:sz w:val="20"/>
                <w:szCs w:val="20"/>
              </w:rPr>
              <w:t>予登记完成之日起</w:t>
            </w:r>
            <w:r>
              <w:rPr>
                <w:rFonts w:ascii="宋体" w:hAnsi="宋体" w:cs="宋体" w:eastAsia="宋体" w:hint="default"/>
                <w:sz w:val="20"/>
                <w:szCs w:val="20"/>
              </w:rPr>
              <w:t>48</w:t>
            </w:r>
            <w:r>
              <w:rPr>
                <w:rFonts w:ascii="宋体" w:hAnsi="宋体" w:cs="宋体" w:eastAsia="宋体" w:hint="default"/>
                <w:sz w:val="20"/>
                <w:szCs w:val="20"/>
              </w:rPr>
              <w:t>个月内的最后一个交易日当日止</w:t>
            </w:r>
          </w:p>
        </w:tc>
        <w:tc>
          <w:tcPr>
            <w:tcW w:w="1105" w:type="dxa"/>
            <w:tcBorders>
              <w:top w:val="nil" w:sz="6" w:space="0" w:color="auto"/>
              <w:left w:val="nil" w:sz="6" w:space="0" w:color="auto"/>
              <w:bottom w:val="nil" w:sz="6" w:space="0" w:color="auto"/>
              <w:right w:val="nil" w:sz="6" w:space="0" w:color="auto"/>
            </w:tcBorders>
          </w:tcPr>
          <w:p>
            <w:pPr>
              <w:pStyle w:val="TableParagraph"/>
              <w:spacing w:line="250" w:lineRule="exact"/>
              <w:ind w:left="108" w:right="0"/>
              <w:jc w:val="left"/>
              <w:rPr>
                <w:rFonts w:ascii="宋体" w:hAnsi="宋体" w:cs="宋体" w:eastAsia="宋体" w:hint="default"/>
                <w:sz w:val="20"/>
                <w:szCs w:val="20"/>
              </w:rPr>
            </w:pPr>
            <w:r>
              <w:rPr>
                <w:rFonts w:ascii="宋体"/>
                <w:sz w:val="20"/>
              </w:rPr>
              <w:t>30%</w:t>
            </w:r>
          </w:p>
        </w:tc>
      </w:tr>
    </w:tbl>
    <w:p>
      <w:pPr>
        <w:spacing w:line="240" w:lineRule="auto" w:before="5"/>
        <w:rPr>
          <w:rFonts w:ascii="宋体" w:hAnsi="宋体" w:cs="宋体" w:eastAsia="宋体" w:hint="default"/>
          <w:sz w:val="18"/>
          <w:szCs w:val="18"/>
        </w:rPr>
      </w:pPr>
    </w:p>
    <w:p>
      <w:pPr>
        <w:pStyle w:val="BodyText"/>
        <w:spacing w:line="240" w:lineRule="auto" w:before="36"/>
        <w:ind w:left="138" w:right="0"/>
        <w:jc w:val="left"/>
      </w:pPr>
      <w:r>
        <w:rPr>
          <w:spacing w:val="-1"/>
        </w:rPr>
        <w:t>公司未满足上述业绩考核目标的，激励对象对应期间获授的限制性股票均不得解除限售，由公司</w:t>
      </w:r>
      <w:r>
        <w:rPr>
          <w:spacing w:val="-55"/>
        </w:rPr>
        <w:t> </w:t>
      </w:r>
      <w:r>
        <w:rPr>
          <w:spacing w:val="-55"/>
        </w:rPr>
      </w:r>
      <w:r>
        <w:rPr/>
        <w:t>回购注销，回购价格为授予价格。</w:t>
      </w:r>
    </w:p>
    <w:p>
      <w:pPr>
        <w:spacing w:after="0" w:line="240" w:lineRule="auto"/>
        <w:jc w:val="left"/>
        <w:sectPr>
          <w:pgSz w:w="11910" w:h="16840"/>
          <w:pgMar w:header="857" w:footer="1195" w:top="1280" w:bottom="1380" w:left="1660" w:right="1120"/>
        </w:sectPr>
      </w:pPr>
    </w:p>
    <w:p>
      <w:pPr>
        <w:spacing w:line="240" w:lineRule="auto" w:before="4"/>
        <w:rPr>
          <w:rFonts w:ascii="宋体" w:hAnsi="宋体" w:cs="宋体" w:eastAsia="宋体" w:hint="default"/>
          <w:sz w:val="12"/>
          <w:szCs w:val="12"/>
        </w:rPr>
      </w:pPr>
    </w:p>
    <w:p>
      <w:pPr>
        <w:pStyle w:val="BodyText"/>
        <w:spacing w:line="240" w:lineRule="auto" w:before="36"/>
        <w:ind w:left="138" w:right="244"/>
        <w:jc w:val="left"/>
      </w:pPr>
      <w:r>
        <w:rPr/>
        <w:t>（</w:t>
      </w:r>
      <w:r>
        <w:rPr>
          <w:rFonts w:ascii="宋体" w:hAnsi="宋体" w:cs="宋体" w:eastAsia="宋体" w:hint="default"/>
        </w:rPr>
        <w:t>2</w:t>
      </w:r>
      <w:r>
        <w:rPr/>
        <w:t>）股票期权激励计划</w:t>
      </w:r>
    </w:p>
    <w:p>
      <w:pPr>
        <w:spacing w:line="240" w:lineRule="auto" w:before="8"/>
        <w:rPr>
          <w:rFonts w:ascii="宋体" w:hAnsi="宋体" w:cs="宋体" w:eastAsia="宋体" w:hint="default"/>
          <w:sz w:val="20"/>
          <w:szCs w:val="20"/>
        </w:rPr>
      </w:pPr>
    </w:p>
    <w:p>
      <w:pPr>
        <w:pStyle w:val="BodyText"/>
        <w:spacing w:line="274" w:lineRule="exact"/>
        <w:ind w:left="138" w:right="0"/>
        <w:jc w:val="left"/>
      </w:pPr>
      <w:r>
        <w:rPr>
          <w:rFonts w:ascii="宋体" w:hAnsi="宋体" w:cs="宋体" w:eastAsia="宋体" w:hint="default"/>
        </w:rPr>
        <w:t>2017</w:t>
      </w:r>
      <w:r>
        <w:rPr>
          <w:rFonts w:ascii="宋体" w:hAnsi="宋体" w:cs="宋体" w:eastAsia="宋体" w:hint="default"/>
          <w:spacing w:val="-41"/>
        </w:rPr>
        <w:t> </w:t>
      </w:r>
      <w:r>
        <w:rPr/>
        <w:t>年本公司发行了新的股票期权激励计划，向</w:t>
      </w:r>
      <w:r>
        <w:rPr>
          <w:spacing w:val="-41"/>
        </w:rPr>
        <w:t> </w:t>
      </w:r>
      <w:r>
        <w:rPr>
          <w:rFonts w:ascii="宋体" w:hAnsi="宋体" w:cs="宋体" w:eastAsia="宋体" w:hint="default"/>
        </w:rPr>
        <w:t>1428</w:t>
      </w:r>
      <w:r>
        <w:rPr>
          <w:rFonts w:ascii="宋体" w:hAnsi="宋体" w:cs="宋体" w:eastAsia="宋体" w:hint="default"/>
          <w:spacing w:val="-40"/>
        </w:rPr>
        <w:t> </w:t>
      </w:r>
      <w:r>
        <w:rPr/>
        <w:t>名激励对象授予</w:t>
      </w:r>
      <w:r>
        <w:rPr>
          <w:spacing w:val="-43"/>
        </w:rPr>
        <w:t> </w:t>
      </w:r>
      <w:r>
        <w:rPr>
          <w:rFonts w:ascii="宋体" w:hAnsi="宋体" w:cs="宋体" w:eastAsia="宋体" w:hint="default"/>
        </w:rPr>
        <w:t>38,465,610</w:t>
      </w:r>
      <w:r>
        <w:rPr>
          <w:rFonts w:ascii="宋体" w:hAnsi="宋体" w:cs="宋体" w:eastAsia="宋体" w:hint="default"/>
          <w:spacing w:val="-40"/>
        </w:rPr>
        <w:t> </w:t>
      </w:r>
      <w:r>
        <w:rPr/>
        <w:t>份股票期权，</w:t>
      </w:r>
    </w:p>
    <w:p>
      <w:pPr>
        <w:pStyle w:val="BodyText"/>
        <w:spacing w:line="274" w:lineRule="exact"/>
        <w:ind w:left="138" w:right="244"/>
        <w:jc w:val="left"/>
      </w:pPr>
      <w:r>
        <w:rPr/>
        <w:t>行权价格为</w:t>
      </w:r>
      <w:r>
        <w:rPr>
          <w:spacing w:val="-57"/>
        </w:rPr>
        <w:t> </w:t>
      </w:r>
      <w:r>
        <w:rPr>
          <w:rFonts w:ascii="宋体" w:hAnsi="宋体" w:cs="宋体" w:eastAsia="宋体" w:hint="default"/>
        </w:rPr>
        <w:t>15.88</w:t>
      </w:r>
      <w:r>
        <w:rPr>
          <w:rFonts w:ascii="宋体" w:hAnsi="宋体" w:cs="宋体" w:eastAsia="宋体" w:hint="default"/>
          <w:spacing w:val="-57"/>
        </w:rPr>
        <w:t> </w:t>
      </w:r>
      <w:r>
        <w:rPr/>
        <w:t>元</w:t>
      </w:r>
      <w:r>
        <w:rPr>
          <w:rFonts w:ascii="宋体" w:hAnsi="宋体" w:cs="宋体" w:eastAsia="宋体" w:hint="default"/>
        </w:rPr>
        <w:t>/</w:t>
      </w:r>
      <w:r>
        <w:rPr/>
        <w:t>份。股票期权的行权期及各期行权时间安排如下表所示：</w:t>
      </w:r>
    </w:p>
    <w:p>
      <w:pPr>
        <w:spacing w:line="240" w:lineRule="auto" w:before="3"/>
        <w:rPr>
          <w:rFonts w:ascii="宋体" w:hAnsi="宋体" w:cs="宋体" w:eastAsia="宋体" w:hint="default"/>
          <w:sz w:val="22"/>
          <w:szCs w:val="22"/>
        </w:rPr>
      </w:pPr>
    </w:p>
    <w:tbl>
      <w:tblPr>
        <w:tblW w:w="0" w:type="auto"/>
        <w:jc w:val="left"/>
        <w:tblInd w:w="552" w:type="dxa"/>
        <w:tblLayout w:type="fixed"/>
        <w:tblCellMar>
          <w:top w:w="0" w:type="dxa"/>
          <w:left w:w="0" w:type="dxa"/>
          <w:bottom w:w="0" w:type="dxa"/>
          <w:right w:w="0" w:type="dxa"/>
        </w:tblCellMar>
        <w:tblLook w:val="01E0"/>
      </w:tblPr>
      <w:tblGrid>
        <w:gridCol w:w="1555"/>
        <w:gridCol w:w="4869"/>
        <w:gridCol w:w="1854"/>
      </w:tblGrid>
      <w:tr>
        <w:trPr>
          <w:trHeight w:val="607" w:hRule="exact"/>
        </w:trPr>
        <w:tc>
          <w:tcPr>
            <w:tcW w:w="1555" w:type="dxa"/>
            <w:tcBorders>
              <w:top w:val="nil" w:sz="6" w:space="0" w:color="auto"/>
              <w:left w:val="nil" w:sz="6" w:space="0" w:color="auto"/>
              <w:bottom w:val="nil" w:sz="6" w:space="0" w:color="auto"/>
              <w:right w:val="nil" w:sz="6" w:space="0" w:color="auto"/>
            </w:tcBorders>
          </w:tcPr>
          <w:p>
            <w:pPr>
              <w:pStyle w:val="TableParagraph"/>
              <w:spacing w:line="199" w:lineRule="exact"/>
              <w:ind w:left="293" w:right="0"/>
              <w:jc w:val="left"/>
              <w:rPr>
                <w:rFonts w:ascii="宋体" w:hAnsi="宋体" w:cs="宋体" w:eastAsia="宋体" w:hint="default"/>
                <w:sz w:val="20"/>
                <w:szCs w:val="20"/>
              </w:rPr>
            </w:pPr>
            <w:r>
              <w:rPr>
                <w:rFonts w:ascii="宋体" w:hAnsi="宋体" w:cs="宋体" w:eastAsia="宋体" w:hint="default"/>
                <w:sz w:val="20"/>
                <w:szCs w:val="20"/>
              </w:rPr>
              <w:t>行权期</w:t>
            </w:r>
          </w:p>
        </w:tc>
        <w:tc>
          <w:tcPr>
            <w:tcW w:w="4869" w:type="dxa"/>
            <w:tcBorders>
              <w:top w:val="nil" w:sz="6" w:space="0" w:color="auto"/>
              <w:left w:val="nil" w:sz="6" w:space="0" w:color="auto"/>
              <w:bottom w:val="nil" w:sz="6" w:space="0" w:color="auto"/>
              <w:right w:val="nil" w:sz="6" w:space="0" w:color="auto"/>
            </w:tcBorders>
          </w:tcPr>
          <w:p>
            <w:pPr>
              <w:pStyle w:val="TableParagraph"/>
              <w:spacing w:line="199" w:lineRule="exact"/>
              <w:ind w:left="157" w:right="0"/>
              <w:jc w:val="left"/>
              <w:rPr>
                <w:rFonts w:ascii="宋体" w:hAnsi="宋体" w:cs="宋体" w:eastAsia="宋体" w:hint="default"/>
                <w:sz w:val="20"/>
                <w:szCs w:val="20"/>
              </w:rPr>
            </w:pPr>
            <w:r>
              <w:rPr>
                <w:rFonts w:ascii="宋体" w:hAnsi="宋体" w:cs="宋体" w:eastAsia="宋体" w:hint="default"/>
                <w:sz w:val="20"/>
                <w:szCs w:val="20"/>
              </w:rPr>
              <w:t>行权时间</w:t>
            </w:r>
          </w:p>
        </w:tc>
        <w:tc>
          <w:tcPr>
            <w:tcW w:w="1854" w:type="dxa"/>
            <w:tcBorders>
              <w:top w:val="nil" w:sz="6" w:space="0" w:color="auto"/>
              <w:left w:val="nil" w:sz="6" w:space="0" w:color="auto"/>
              <w:bottom w:val="nil" w:sz="6" w:space="0" w:color="auto"/>
              <w:right w:val="nil" w:sz="6" w:space="0" w:color="auto"/>
            </w:tcBorders>
          </w:tcPr>
          <w:p>
            <w:pPr>
              <w:pStyle w:val="TableParagraph"/>
              <w:spacing w:line="188" w:lineRule="exact"/>
              <w:ind w:left="107" w:right="0"/>
              <w:jc w:val="left"/>
              <w:rPr>
                <w:rFonts w:ascii="宋体" w:hAnsi="宋体" w:cs="宋体" w:eastAsia="宋体" w:hint="default"/>
                <w:sz w:val="20"/>
                <w:szCs w:val="20"/>
              </w:rPr>
            </w:pPr>
            <w:r>
              <w:rPr>
                <w:rFonts w:ascii="宋体" w:hAnsi="宋体" w:cs="宋体" w:eastAsia="宋体" w:hint="default"/>
                <w:spacing w:val="18"/>
                <w:sz w:val="20"/>
                <w:szCs w:val="20"/>
              </w:rPr>
              <w:t>可行权数量占获</w:t>
            </w:r>
            <w:r>
              <w:rPr>
                <w:rFonts w:ascii="宋体" w:hAnsi="宋体" w:cs="宋体" w:eastAsia="宋体" w:hint="default"/>
                <w:spacing w:val="-79"/>
                <w:sz w:val="20"/>
                <w:szCs w:val="20"/>
              </w:rPr>
              <w:t> </w:t>
            </w:r>
            <w:r>
              <w:rPr>
                <w:rFonts w:ascii="宋体" w:hAnsi="宋体" w:cs="宋体" w:eastAsia="宋体" w:hint="default"/>
                <w:sz w:val="20"/>
                <w:szCs w:val="20"/>
              </w:rPr>
            </w:r>
          </w:p>
          <w:p>
            <w:pPr>
              <w:pStyle w:val="TableParagraph"/>
              <w:spacing w:line="251" w:lineRule="exact"/>
              <w:ind w:left="107" w:right="0"/>
              <w:jc w:val="left"/>
              <w:rPr>
                <w:rFonts w:ascii="宋体" w:hAnsi="宋体" w:cs="宋体" w:eastAsia="宋体" w:hint="default"/>
                <w:sz w:val="20"/>
                <w:szCs w:val="20"/>
              </w:rPr>
            </w:pPr>
            <w:r>
              <w:rPr>
                <w:rFonts w:ascii="宋体" w:hAnsi="宋体" w:cs="宋体" w:eastAsia="宋体" w:hint="default"/>
                <w:sz w:val="20"/>
                <w:szCs w:val="20"/>
              </w:rPr>
              <w:t>授期权数量比例</w:t>
            </w:r>
          </w:p>
        </w:tc>
      </w:tr>
      <w:tr>
        <w:trPr>
          <w:trHeight w:val="868" w:hRule="exact"/>
        </w:trPr>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200" w:right="0"/>
              <w:jc w:val="left"/>
              <w:rPr>
                <w:rFonts w:ascii="宋体" w:hAnsi="宋体" w:cs="宋体" w:eastAsia="宋体" w:hint="default"/>
                <w:sz w:val="20"/>
                <w:szCs w:val="20"/>
              </w:rPr>
            </w:pPr>
            <w:r>
              <w:rPr>
                <w:rFonts w:ascii="宋体" w:hAnsi="宋体" w:cs="宋体" w:eastAsia="宋体" w:hint="default"/>
                <w:sz w:val="20"/>
                <w:szCs w:val="20"/>
              </w:rPr>
              <w:t>第一个行权期</w:t>
            </w:r>
          </w:p>
        </w:tc>
        <w:tc>
          <w:tcPr>
            <w:tcW w:w="4869" w:type="dxa"/>
            <w:tcBorders>
              <w:top w:val="nil" w:sz="6" w:space="0" w:color="auto"/>
              <w:left w:val="nil" w:sz="6" w:space="0" w:color="auto"/>
              <w:bottom w:val="nil" w:sz="6" w:space="0" w:color="auto"/>
              <w:right w:val="nil" w:sz="6" w:space="0" w:color="auto"/>
            </w:tcBorders>
          </w:tcPr>
          <w:p>
            <w:pPr>
              <w:pStyle w:val="TableParagraph"/>
              <w:spacing w:line="240" w:lineRule="exact" w:before="147"/>
              <w:ind w:left="157" w:right="107" w:firstLine="316"/>
              <w:jc w:val="both"/>
              <w:rPr>
                <w:rFonts w:ascii="宋体" w:hAnsi="宋体" w:cs="宋体" w:eastAsia="宋体" w:hint="default"/>
                <w:sz w:val="20"/>
                <w:szCs w:val="20"/>
              </w:rPr>
            </w:pPr>
            <w:r>
              <w:rPr>
                <w:rFonts w:ascii="宋体" w:hAnsi="宋体" w:cs="宋体" w:eastAsia="宋体" w:hint="default"/>
                <w:spacing w:val="3"/>
                <w:sz w:val="20"/>
                <w:szCs w:val="20"/>
              </w:rPr>
              <w:t>自授予登记完成之日起</w:t>
            </w:r>
            <w:r>
              <w:rPr>
                <w:rFonts w:ascii="宋体" w:hAnsi="宋体" w:cs="宋体" w:eastAsia="宋体" w:hint="default"/>
                <w:spacing w:val="3"/>
                <w:sz w:val="20"/>
                <w:szCs w:val="20"/>
              </w:rPr>
              <w:t>12</w:t>
            </w:r>
            <w:r>
              <w:rPr>
                <w:rFonts w:ascii="宋体" w:hAnsi="宋体" w:cs="宋体" w:eastAsia="宋体" w:hint="default"/>
                <w:spacing w:val="3"/>
                <w:sz w:val="20"/>
                <w:szCs w:val="20"/>
              </w:rPr>
              <w:t>个月后的首个交易日，</w:t>
            </w:r>
            <w:r>
              <w:rPr>
                <w:rFonts w:ascii="宋体" w:hAnsi="宋体" w:cs="宋体" w:eastAsia="宋体" w:hint="default"/>
                <w:spacing w:val="4"/>
                <w:w w:val="99"/>
                <w:sz w:val="20"/>
                <w:szCs w:val="20"/>
              </w:rPr>
              <w:t> </w:t>
            </w:r>
            <w:r>
              <w:rPr>
                <w:rFonts w:ascii="宋体" w:hAnsi="宋体" w:cs="宋体" w:eastAsia="宋体" w:hint="default"/>
                <w:sz w:val="20"/>
                <w:szCs w:val="20"/>
              </w:rPr>
              <w:t>起至授予登记完成之日起</w:t>
            </w:r>
            <w:r>
              <w:rPr>
                <w:rFonts w:ascii="宋体" w:hAnsi="宋体" w:cs="宋体" w:eastAsia="宋体" w:hint="default"/>
                <w:sz w:val="20"/>
                <w:szCs w:val="20"/>
              </w:rPr>
              <w:t>24</w:t>
            </w:r>
            <w:r>
              <w:rPr>
                <w:rFonts w:ascii="宋体" w:hAnsi="宋体" w:cs="宋体" w:eastAsia="宋体" w:hint="default"/>
                <w:sz w:val="20"/>
                <w:szCs w:val="20"/>
              </w:rPr>
              <w:t>个月内的最后一个交易日</w:t>
            </w:r>
            <w:r>
              <w:rPr>
                <w:rFonts w:ascii="宋体" w:hAnsi="宋体" w:cs="宋体" w:eastAsia="宋体" w:hint="default"/>
                <w:w w:val="99"/>
                <w:sz w:val="20"/>
                <w:szCs w:val="20"/>
              </w:rPr>
              <w:t> </w:t>
            </w:r>
            <w:r>
              <w:rPr>
                <w:rFonts w:ascii="宋体" w:hAnsi="宋体" w:cs="宋体" w:eastAsia="宋体" w:hint="default"/>
                <w:sz w:val="20"/>
                <w:szCs w:val="20"/>
              </w:rPr>
              <w:t>当日止</w:t>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07" w:right="0"/>
              <w:jc w:val="left"/>
              <w:rPr>
                <w:rFonts w:ascii="宋体" w:hAnsi="宋体" w:cs="宋体" w:eastAsia="宋体" w:hint="default"/>
                <w:sz w:val="20"/>
                <w:szCs w:val="20"/>
              </w:rPr>
            </w:pPr>
            <w:r>
              <w:rPr>
                <w:rFonts w:ascii="宋体"/>
                <w:sz w:val="20"/>
              </w:rPr>
              <w:t>40%</w:t>
            </w:r>
          </w:p>
        </w:tc>
      </w:tr>
      <w:tr>
        <w:trPr>
          <w:trHeight w:val="721" w:hRule="exact"/>
        </w:trPr>
        <w:tc>
          <w:tcPr>
            <w:tcW w:w="1555" w:type="dxa"/>
            <w:tcBorders>
              <w:top w:val="nil" w:sz="6" w:space="0" w:color="auto"/>
              <w:left w:val="nil" w:sz="6" w:space="0" w:color="auto"/>
              <w:bottom w:val="nil" w:sz="6" w:space="0" w:color="auto"/>
              <w:right w:val="nil" w:sz="6" w:space="0" w:color="auto"/>
            </w:tcBorders>
          </w:tcPr>
          <w:p>
            <w:pPr>
              <w:pStyle w:val="TableParagraph"/>
              <w:spacing w:line="220" w:lineRule="exact"/>
              <w:ind w:left="200" w:right="0"/>
              <w:jc w:val="left"/>
              <w:rPr>
                <w:rFonts w:ascii="宋体" w:hAnsi="宋体" w:cs="宋体" w:eastAsia="宋体" w:hint="default"/>
                <w:sz w:val="20"/>
                <w:szCs w:val="20"/>
              </w:rPr>
            </w:pPr>
            <w:r>
              <w:rPr>
                <w:rFonts w:ascii="宋体" w:hAnsi="宋体" w:cs="宋体" w:eastAsia="宋体" w:hint="default"/>
                <w:sz w:val="20"/>
                <w:szCs w:val="20"/>
              </w:rPr>
              <w:t>第二个行权期</w:t>
            </w:r>
          </w:p>
        </w:tc>
        <w:tc>
          <w:tcPr>
            <w:tcW w:w="4869" w:type="dxa"/>
            <w:tcBorders>
              <w:top w:val="nil" w:sz="6" w:space="0" w:color="auto"/>
              <w:left w:val="nil" w:sz="6" w:space="0" w:color="auto"/>
              <w:bottom w:val="nil" w:sz="6" w:space="0" w:color="auto"/>
              <w:right w:val="nil" w:sz="6" w:space="0" w:color="auto"/>
            </w:tcBorders>
          </w:tcPr>
          <w:p>
            <w:pPr>
              <w:pStyle w:val="TableParagraph"/>
              <w:spacing w:line="209" w:lineRule="exact"/>
              <w:ind w:left="157" w:right="0" w:firstLine="316"/>
              <w:jc w:val="left"/>
              <w:rPr>
                <w:rFonts w:ascii="宋体" w:hAnsi="宋体" w:cs="宋体" w:eastAsia="宋体" w:hint="default"/>
                <w:sz w:val="20"/>
                <w:szCs w:val="20"/>
              </w:rPr>
            </w:pPr>
            <w:r>
              <w:rPr>
                <w:rFonts w:ascii="宋体" w:hAnsi="宋体" w:cs="宋体" w:eastAsia="宋体" w:hint="default"/>
                <w:spacing w:val="3"/>
                <w:sz w:val="20"/>
                <w:szCs w:val="20"/>
              </w:rPr>
              <w:t>自授予登记完成之日起</w:t>
            </w:r>
            <w:r>
              <w:rPr>
                <w:rFonts w:ascii="宋体" w:hAnsi="宋体" w:cs="宋体" w:eastAsia="宋体" w:hint="default"/>
                <w:spacing w:val="3"/>
                <w:sz w:val="20"/>
                <w:szCs w:val="20"/>
              </w:rPr>
              <w:t>24</w:t>
            </w:r>
            <w:r>
              <w:rPr>
                <w:rFonts w:ascii="宋体" w:hAnsi="宋体" w:cs="宋体" w:eastAsia="宋体" w:hint="default"/>
                <w:spacing w:val="3"/>
                <w:sz w:val="20"/>
                <w:szCs w:val="20"/>
              </w:rPr>
              <w:t>个月后的首个交易日，</w:t>
            </w:r>
            <w:r>
              <w:rPr>
                <w:rFonts w:ascii="宋体" w:hAnsi="宋体" w:cs="宋体" w:eastAsia="宋体" w:hint="default"/>
                <w:sz w:val="20"/>
                <w:szCs w:val="20"/>
              </w:rPr>
            </w:r>
          </w:p>
          <w:p>
            <w:pPr>
              <w:pStyle w:val="TableParagraph"/>
              <w:spacing w:line="240" w:lineRule="exact" w:before="30"/>
              <w:ind w:left="157" w:right="109"/>
              <w:jc w:val="left"/>
              <w:rPr>
                <w:rFonts w:ascii="宋体" w:hAnsi="宋体" w:cs="宋体" w:eastAsia="宋体" w:hint="default"/>
                <w:sz w:val="20"/>
                <w:szCs w:val="20"/>
              </w:rPr>
            </w:pPr>
            <w:r>
              <w:rPr>
                <w:rFonts w:ascii="宋体" w:hAnsi="宋体" w:cs="宋体" w:eastAsia="宋体" w:hint="default"/>
                <w:sz w:val="20"/>
                <w:szCs w:val="20"/>
              </w:rPr>
              <w:t>起至授予登记完成之日起</w:t>
            </w:r>
            <w:r>
              <w:rPr>
                <w:rFonts w:ascii="宋体" w:hAnsi="宋体" w:cs="宋体" w:eastAsia="宋体" w:hint="default"/>
                <w:sz w:val="20"/>
                <w:szCs w:val="20"/>
              </w:rPr>
              <w:t>36</w:t>
            </w:r>
            <w:r>
              <w:rPr>
                <w:rFonts w:ascii="宋体" w:hAnsi="宋体" w:cs="宋体" w:eastAsia="宋体" w:hint="default"/>
                <w:sz w:val="20"/>
                <w:szCs w:val="20"/>
              </w:rPr>
              <w:t>个月内的最后一个交易日</w:t>
            </w:r>
            <w:r>
              <w:rPr>
                <w:rFonts w:ascii="宋体" w:hAnsi="宋体" w:cs="宋体" w:eastAsia="宋体" w:hint="default"/>
                <w:w w:val="99"/>
                <w:sz w:val="20"/>
                <w:szCs w:val="20"/>
              </w:rPr>
              <w:t> </w:t>
            </w:r>
            <w:r>
              <w:rPr>
                <w:rFonts w:ascii="宋体" w:hAnsi="宋体" w:cs="宋体" w:eastAsia="宋体" w:hint="default"/>
                <w:sz w:val="20"/>
                <w:szCs w:val="20"/>
              </w:rPr>
              <w:t>当日止</w:t>
            </w:r>
          </w:p>
        </w:tc>
        <w:tc>
          <w:tcPr>
            <w:tcW w:w="1854" w:type="dxa"/>
            <w:tcBorders>
              <w:top w:val="nil" w:sz="6" w:space="0" w:color="auto"/>
              <w:left w:val="nil" w:sz="6" w:space="0" w:color="auto"/>
              <w:bottom w:val="nil" w:sz="6" w:space="0" w:color="auto"/>
              <w:right w:val="nil" w:sz="6" w:space="0" w:color="auto"/>
            </w:tcBorders>
          </w:tcPr>
          <w:p>
            <w:pPr>
              <w:pStyle w:val="TableParagraph"/>
              <w:spacing w:line="220" w:lineRule="exact"/>
              <w:ind w:left="107" w:right="0"/>
              <w:jc w:val="left"/>
              <w:rPr>
                <w:rFonts w:ascii="宋体" w:hAnsi="宋体" w:cs="宋体" w:eastAsia="宋体" w:hint="default"/>
                <w:sz w:val="20"/>
                <w:szCs w:val="20"/>
              </w:rPr>
            </w:pPr>
            <w:r>
              <w:rPr>
                <w:rFonts w:ascii="宋体"/>
                <w:sz w:val="20"/>
              </w:rPr>
              <w:t>30%</w:t>
            </w:r>
          </w:p>
        </w:tc>
      </w:tr>
      <w:tr>
        <w:trPr>
          <w:trHeight w:val="700" w:hRule="exact"/>
        </w:trPr>
        <w:tc>
          <w:tcPr>
            <w:tcW w:w="1555" w:type="dxa"/>
            <w:tcBorders>
              <w:top w:val="nil" w:sz="6" w:space="0" w:color="auto"/>
              <w:left w:val="nil" w:sz="6" w:space="0" w:color="auto"/>
              <w:bottom w:val="nil" w:sz="6" w:space="0" w:color="auto"/>
              <w:right w:val="nil" w:sz="6" w:space="0" w:color="auto"/>
            </w:tcBorders>
          </w:tcPr>
          <w:p>
            <w:pPr>
              <w:pStyle w:val="TableParagraph"/>
              <w:spacing w:line="220" w:lineRule="exact"/>
              <w:ind w:left="200" w:right="0"/>
              <w:jc w:val="left"/>
              <w:rPr>
                <w:rFonts w:ascii="宋体" w:hAnsi="宋体" w:cs="宋体" w:eastAsia="宋体" w:hint="default"/>
                <w:sz w:val="20"/>
                <w:szCs w:val="20"/>
              </w:rPr>
            </w:pPr>
            <w:r>
              <w:rPr>
                <w:rFonts w:ascii="宋体" w:hAnsi="宋体" w:cs="宋体" w:eastAsia="宋体" w:hint="default"/>
                <w:sz w:val="20"/>
                <w:szCs w:val="20"/>
              </w:rPr>
              <w:t>第三个行权期</w:t>
            </w:r>
          </w:p>
        </w:tc>
        <w:tc>
          <w:tcPr>
            <w:tcW w:w="4869" w:type="dxa"/>
            <w:tcBorders>
              <w:top w:val="nil" w:sz="6" w:space="0" w:color="auto"/>
              <w:left w:val="nil" w:sz="6" w:space="0" w:color="auto"/>
              <w:bottom w:val="nil" w:sz="6" w:space="0" w:color="auto"/>
              <w:right w:val="nil" w:sz="6" w:space="0" w:color="auto"/>
            </w:tcBorders>
          </w:tcPr>
          <w:p>
            <w:pPr>
              <w:pStyle w:val="TableParagraph"/>
              <w:spacing w:line="209" w:lineRule="exact"/>
              <w:ind w:left="157" w:right="0" w:firstLine="316"/>
              <w:jc w:val="left"/>
              <w:rPr>
                <w:rFonts w:ascii="宋体" w:hAnsi="宋体" w:cs="宋体" w:eastAsia="宋体" w:hint="default"/>
                <w:sz w:val="20"/>
                <w:szCs w:val="20"/>
              </w:rPr>
            </w:pPr>
            <w:r>
              <w:rPr>
                <w:rFonts w:ascii="宋体" w:hAnsi="宋体" w:cs="宋体" w:eastAsia="宋体" w:hint="default"/>
                <w:spacing w:val="3"/>
                <w:sz w:val="20"/>
                <w:szCs w:val="20"/>
              </w:rPr>
              <w:t>自授予登记完成之日起</w:t>
            </w:r>
            <w:r>
              <w:rPr>
                <w:rFonts w:ascii="宋体" w:hAnsi="宋体" w:cs="宋体" w:eastAsia="宋体" w:hint="default"/>
                <w:spacing w:val="3"/>
                <w:sz w:val="20"/>
                <w:szCs w:val="20"/>
              </w:rPr>
              <w:t>36</w:t>
            </w:r>
            <w:r>
              <w:rPr>
                <w:rFonts w:ascii="宋体" w:hAnsi="宋体" w:cs="宋体" w:eastAsia="宋体" w:hint="default"/>
                <w:spacing w:val="3"/>
                <w:sz w:val="20"/>
                <w:szCs w:val="20"/>
              </w:rPr>
              <w:t>个月后的首个交易日，</w:t>
            </w:r>
            <w:r>
              <w:rPr>
                <w:rFonts w:ascii="宋体" w:hAnsi="宋体" w:cs="宋体" w:eastAsia="宋体" w:hint="default"/>
                <w:sz w:val="20"/>
                <w:szCs w:val="20"/>
              </w:rPr>
            </w:r>
          </w:p>
          <w:p>
            <w:pPr>
              <w:pStyle w:val="TableParagraph"/>
              <w:spacing w:line="240" w:lineRule="exact" w:before="30"/>
              <w:ind w:left="157" w:right="109"/>
              <w:jc w:val="left"/>
              <w:rPr>
                <w:rFonts w:ascii="宋体" w:hAnsi="宋体" w:cs="宋体" w:eastAsia="宋体" w:hint="default"/>
                <w:sz w:val="20"/>
                <w:szCs w:val="20"/>
              </w:rPr>
            </w:pPr>
            <w:r>
              <w:rPr>
                <w:rFonts w:ascii="宋体" w:hAnsi="宋体" w:cs="宋体" w:eastAsia="宋体" w:hint="default"/>
                <w:sz w:val="20"/>
                <w:szCs w:val="20"/>
              </w:rPr>
              <w:t>起至授予登记完成之日起</w:t>
            </w:r>
            <w:r>
              <w:rPr>
                <w:rFonts w:ascii="宋体" w:hAnsi="宋体" w:cs="宋体" w:eastAsia="宋体" w:hint="default"/>
                <w:sz w:val="20"/>
                <w:szCs w:val="20"/>
              </w:rPr>
              <w:t>48</w:t>
            </w:r>
            <w:r>
              <w:rPr>
                <w:rFonts w:ascii="宋体" w:hAnsi="宋体" w:cs="宋体" w:eastAsia="宋体" w:hint="default"/>
                <w:sz w:val="20"/>
                <w:szCs w:val="20"/>
              </w:rPr>
              <w:t>个月内的最后一个交易日</w:t>
            </w:r>
            <w:r>
              <w:rPr>
                <w:rFonts w:ascii="宋体" w:hAnsi="宋体" w:cs="宋体" w:eastAsia="宋体" w:hint="default"/>
                <w:w w:val="99"/>
                <w:sz w:val="20"/>
                <w:szCs w:val="20"/>
              </w:rPr>
              <w:t> </w:t>
            </w:r>
            <w:r>
              <w:rPr>
                <w:rFonts w:ascii="宋体" w:hAnsi="宋体" w:cs="宋体" w:eastAsia="宋体" w:hint="default"/>
                <w:sz w:val="20"/>
                <w:szCs w:val="20"/>
              </w:rPr>
              <w:t>当日止</w:t>
            </w:r>
          </w:p>
        </w:tc>
        <w:tc>
          <w:tcPr>
            <w:tcW w:w="1854" w:type="dxa"/>
            <w:tcBorders>
              <w:top w:val="nil" w:sz="6" w:space="0" w:color="auto"/>
              <w:left w:val="nil" w:sz="6" w:space="0" w:color="auto"/>
              <w:bottom w:val="nil" w:sz="6" w:space="0" w:color="auto"/>
              <w:right w:val="nil" w:sz="6" w:space="0" w:color="auto"/>
            </w:tcBorders>
          </w:tcPr>
          <w:p>
            <w:pPr>
              <w:pStyle w:val="TableParagraph"/>
              <w:spacing w:line="220" w:lineRule="exact"/>
              <w:ind w:left="107" w:right="0"/>
              <w:jc w:val="left"/>
              <w:rPr>
                <w:rFonts w:ascii="宋体" w:hAnsi="宋体" w:cs="宋体" w:eastAsia="宋体" w:hint="default"/>
                <w:sz w:val="20"/>
                <w:szCs w:val="20"/>
              </w:rPr>
            </w:pPr>
            <w:r>
              <w:rPr>
                <w:rFonts w:ascii="宋体"/>
                <w:sz w:val="20"/>
              </w:rPr>
              <w:t>30%</w:t>
            </w:r>
          </w:p>
        </w:tc>
      </w:tr>
    </w:tbl>
    <w:p>
      <w:pPr>
        <w:spacing w:line="240" w:lineRule="auto" w:before="6"/>
        <w:rPr>
          <w:rFonts w:ascii="宋体" w:hAnsi="宋体" w:cs="宋体" w:eastAsia="宋体" w:hint="default"/>
          <w:sz w:val="14"/>
          <w:szCs w:val="14"/>
        </w:rPr>
      </w:pPr>
    </w:p>
    <w:p>
      <w:pPr>
        <w:pStyle w:val="BodyText"/>
        <w:spacing w:line="272" w:lineRule="exact" w:before="64"/>
        <w:ind w:left="138" w:right="244"/>
        <w:jc w:val="left"/>
      </w:pPr>
      <w:r>
        <w:rPr>
          <w:spacing w:val="-1"/>
        </w:rPr>
        <w:t>在行权期内，如达到相应的行权期规定的行权条件，则激励对象可以在该行权期内行权；如未达</w:t>
      </w:r>
      <w:r>
        <w:rPr>
          <w:spacing w:val="-55"/>
        </w:rPr>
        <w:t> </w:t>
      </w:r>
      <w:r>
        <w:rPr>
          <w:spacing w:val="-55"/>
        </w:rPr>
      </w:r>
      <w:r>
        <w:rPr/>
        <w:t>到行权条件或激励对象在行权期内未行权，该部分股票期权由本公司注销。</w:t>
      </w:r>
    </w:p>
    <w:p>
      <w:pPr>
        <w:spacing w:line="240" w:lineRule="auto" w:before="10"/>
        <w:rPr>
          <w:rFonts w:ascii="宋体" w:hAnsi="宋体" w:cs="宋体" w:eastAsia="宋体" w:hint="default"/>
          <w:sz w:val="18"/>
          <w:szCs w:val="18"/>
        </w:rPr>
      </w:pPr>
    </w:p>
    <w:p>
      <w:pPr>
        <w:pStyle w:val="BodyText"/>
        <w:spacing w:line="240" w:lineRule="auto"/>
        <w:ind w:left="138" w:right="244"/>
        <w:jc w:val="left"/>
      </w:pPr>
      <w:r>
        <w:rPr>
          <w:spacing w:val="-4"/>
        </w:rPr>
        <w:t>授予的以权益结算的股份支付于授予日的公允价值，采用布莱克</w:t>
      </w:r>
      <w:r>
        <w:rPr>
          <w:rFonts w:ascii="宋体" w:hAnsi="宋体" w:cs="宋体" w:eastAsia="宋体" w:hint="default"/>
          <w:spacing w:val="-4"/>
        </w:rPr>
        <w:t>-</w:t>
      </w:r>
      <w:r>
        <w:rPr>
          <w:spacing w:val="-4"/>
        </w:rPr>
        <w:t>斯科尔斯模型，结合授予股份的</w:t>
      </w:r>
      <w:r>
        <w:rPr>
          <w:spacing w:val="-33"/>
        </w:rPr>
        <w:t> </w:t>
      </w:r>
      <w:r>
        <w:rPr>
          <w:spacing w:val="-33"/>
        </w:rPr>
      </w:r>
      <w:r>
        <w:rPr/>
        <w:t>条款和条件，作出估计。下表列示了所用模型的输入变量：</w:t>
      </w:r>
    </w:p>
    <w:p>
      <w:pPr>
        <w:spacing w:line="240" w:lineRule="auto" w:before="4"/>
        <w:rPr>
          <w:rFonts w:ascii="宋体" w:hAnsi="宋体" w:cs="宋体" w:eastAsia="宋体" w:hint="default"/>
          <w:sz w:val="24"/>
          <w:szCs w:val="24"/>
        </w:rPr>
      </w:pPr>
    </w:p>
    <w:tbl>
      <w:tblPr>
        <w:tblW w:w="0" w:type="auto"/>
        <w:jc w:val="left"/>
        <w:tblInd w:w="533" w:type="dxa"/>
        <w:tblLayout w:type="fixed"/>
        <w:tblCellMar>
          <w:top w:w="0" w:type="dxa"/>
          <w:left w:w="0" w:type="dxa"/>
          <w:bottom w:w="0" w:type="dxa"/>
          <w:right w:w="0" w:type="dxa"/>
        </w:tblCellMar>
        <w:tblLook w:val="01E0"/>
      </w:tblPr>
      <w:tblGrid>
        <w:gridCol w:w="3100"/>
        <w:gridCol w:w="2260"/>
        <w:gridCol w:w="1588"/>
        <w:gridCol w:w="1627"/>
      </w:tblGrid>
      <w:tr>
        <w:trPr>
          <w:trHeight w:val="250" w:hRule="exact"/>
        </w:trPr>
        <w:tc>
          <w:tcPr>
            <w:tcW w:w="3100" w:type="dxa"/>
            <w:tcBorders>
              <w:top w:val="nil" w:sz="6" w:space="0" w:color="auto"/>
              <w:left w:val="nil" w:sz="6" w:space="0" w:color="auto"/>
              <w:bottom w:val="nil" w:sz="6" w:space="0" w:color="auto"/>
              <w:right w:val="nil" w:sz="6" w:space="0" w:color="auto"/>
            </w:tcBorders>
          </w:tcPr>
          <w:p>
            <w:pPr/>
          </w:p>
        </w:tc>
        <w:tc>
          <w:tcPr>
            <w:tcW w:w="2260" w:type="dxa"/>
            <w:tcBorders>
              <w:top w:val="nil" w:sz="6" w:space="0" w:color="auto"/>
              <w:left w:val="nil" w:sz="6" w:space="0" w:color="auto"/>
              <w:bottom w:val="nil" w:sz="6" w:space="0" w:color="auto"/>
              <w:right w:val="nil" w:sz="6" w:space="0" w:color="auto"/>
            </w:tcBorders>
          </w:tcPr>
          <w:p>
            <w:pPr>
              <w:pStyle w:val="TableParagraph"/>
              <w:spacing w:line="199" w:lineRule="exact"/>
              <w:ind w:left="901" w:right="0"/>
              <w:jc w:val="left"/>
              <w:rPr>
                <w:rFonts w:ascii="宋体" w:hAnsi="宋体" w:cs="宋体" w:eastAsia="宋体" w:hint="default"/>
                <w:sz w:val="20"/>
                <w:szCs w:val="20"/>
              </w:rPr>
            </w:pPr>
            <w:r>
              <w:rPr>
                <w:rFonts w:ascii="宋体" w:hAnsi="宋体" w:cs="宋体" w:eastAsia="宋体" w:hint="default"/>
                <w:sz w:val="20"/>
                <w:szCs w:val="20"/>
              </w:rPr>
              <w:t>第一个行权期</w:t>
            </w:r>
          </w:p>
        </w:tc>
        <w:tc>
          <w:tcPr>
            <w:tcW w:w="1588" w:type="dxa"/>
            <w:tcBorders>
              <w:top w:val="nil" w:sz="6" w:space="0" w:color="auto"/>
              <w:left w:val="nil" w:sz="6" w:space="0" w:color="auto"/>
              <w:bottom w:val="nil" w:sz="6" w:space="0" w:color="auto"/>
              <w:right w:val="nil" w:sz="6" w:space="0" w:color="auto"/>
            </w:tcBorders>
          </w:tcPr>
          <w:p>
            <w:pPr>
              <w:pStyle w:val="TableParagraph"/>
              <w:spacing w:line="199" w:lineRule="exact"/>
              <w:ind w:left="161" w:right="0"/>
              <w:jc w:val="left"/>
              <w:rPr>
                <w:rFonts w:ascii="宋体" w:hAnsi="宋体" w:cs="宋体" w:eastAsia="宋体" w:hint="default"/>
                <w:sz w:val="20"/>
                <w:szCs w:val="20"/>
              </w:rPr>
            </w:pPr>
            <w:r>
              <w:rPr>
                <w:rFonts w:ascii="宋体" w:hAnsi="宋体" w:cs="宋体" w:eastAsia="宋体" w:hint="default"/>
                <w:sz w:val="20"/>
                <w:szCs w:val="20"/>
              </w:rPr>
              <w:t>第二个行权期</w:t>
            </w:r>
          </w:p>
        </w:tc>
        <w:tc>
          <w:tcPr>
            <w:tcW w:w="1627" w:type="dxa"/>
            <w:tcBorders>
              <w:top w:val="nil" w:sz="6" w:space="0" w:color="auto"/>
              <w:left w:val="nil" w:sz="6" w:space="0" w:color="auto"/>
              <w:bottom w:val="nil" w:sz="6" w:space="0" w:color="auto"/>
              <w:right w:val="nil" w:sz="6" w:space="0" w:color="auto"/>
            </w:tcBorders>
          </w:tcPr>
          <w:p>
            <w:pPr>
              <w:pStyle w:val="TableParagraph"/>
              <w:spacing w:line="199" w:lineRule="exact"/>
              <w:ind w:left="229" w:right="0"/>
              <w:jc w:val="left"/>
              <w:rPr>
                <w:rFonts w:ascii="宋体" w:hAnsi="宋体" w:cs="宋体" w:eastAsia="宋体" w:hint="default"/>
                <w:sz w:val="20"/>
                <w:szCs w:val="20"/>
              </w:rPr>
            </w:pPr>
            <w:r>
              <w:rPr>
                <w:rFonts w:ascii="宋体" w:hAnsi="宋体" w:cs="宋体" w:eastAsia="宋体" w:hint="default"/>
                <w:sz w:val="20"/>
                <w:szCs w:val="20"/>
              </w:rPr>
              <w:t>第三个行权期</w:t>
            </w:r>
          </w:p>
        </w:tc>
      </w:tr>
      <w:tr>
        <w:trPr>
          <w:trHeight w:val="300"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50" w:lineRule="exact"/>
              <w:ind w:left="200" w:right="0"/>
              <w:jc w:val="left"/>
              <w:rPr>
                <w:rFonts w:ascii="宋体" w:hAnsi="宋体" w:cs="宋体" w:eastAsia="宋体" w:hint="default"/>
                <w:sz w:val="20"/>
                <w:szCs w:val="20"/>
              </w:rPr>
            </w:pPr>
            <w:r>
              <w:rPr>
                <w:rFonts w:ascii="宋体" w:hAnsi="宋体" w:cs="宋体" w:eastAsia="宋体" w:hint="default"/>
                <w:sz w:val="20"/>
                <w:szCs w:val="20"/>
              </w:rPr>
              <w:t>股利率</w:t>
            </w:r>
            <w:r>
              <w:rPr>
                <w:rFonts w:ascii="宋体" w:hAnsi="宋体" w:cs="宋体" w:eastAsia="宋体" w:hint="default"/>
                <w:sz w:val="20"/>
                <w:szCs w:val="20"/>
              </w:rPr>
              <w:t>(%)</w:t>
            </w:r>
          </w:p>
        </w:tc>
        <w:tc>
          <w:tcPr>
            <w:tcW w:w="2260" w:type="dxa"/>
            <w:tcBorders>
              <w:top w:val="nil" w:sz="6" w:space="0" w:color="auto"/>
              <w:left w:val="nil" w:sz="6" w:space="0" w:color="auto"/>
              <w:bottom w:val="nil" w:sz="6" w:space="0" w:color="auto"/>
              <w:right w:val="nil" w:sz="6" w:space="0" w:color="auto"/>
            </w:tcBorders>
          </w:tcPr>
          <w:p>
            <w:pPr>
              <w:pStyle w:val="TableParagraph"/>
              <w:spacing w:line="250" w:lineRule="exact"/>
              <w:ind w:left="901" w:right="0"/>
              <w:jc w:val="left"/>
              <w:rPr>
                <w:rFonts w:ascii="宋体" w:hAnsi="宋体" w:cs="宋体" w:eastAsia="宋体" w:hint="default"/>
                <w:sz w:val="20"/>
                <w:szCs w:val="20"/>
              </w:rPr>
            </w:pPr>
            <w:r>
              <w:rPr>
                <w:rFonts w:ascii="宋体"/>
                <w:sz w:val="20"/>
              </w:rPr>
              <w:t>0.73</w:t>
            </w:r>
          </w:p>
        </w:tc>
        <w:tc>
          <w:tcPr>
            <w:tcW w:w="1588" w:type="dxa"/>
            <w:tcBorders>
              <w:top w:val="nil" w:sz="6" w:space="0" w:color="auto"/>
              <w:left w:val="nil" w:sz="6" w:space="0" w:color="auto"/>
              <w:bottom w:val="nil" w:sz="6" w:space="0" w:color="auto"/>
              <w:right w:val="nil" w:sz="6" w:space="0" w:color="auto"/>
            </w:tcBorders>
          </w:tcPr>
          <w:p>
            <w:pPr>
              <w:pStyle w:val="TableParagraph"/>
              <w:spacing w:line="250" w:lineRule="exact"/>
              <w:ind w:left="54" w:right="0"/>
              <w:jc w:val="center"/>
              <w:rPr>
                <w:rFonts w:ascii="宋体" w:hAnsi="宋体" w:cs="宋体" w:eastAsia="宋体" w:hint="default"/>
                <w:sz w:val="20"/>
                <w:szCs w:val="20"/>
              </w:rPr>
            </w:pPr>
            <w:r>
              <w:rPr>
                <w:rFonts w:ascii="宋体"/>
                <w:sz w:val="20"/>
              </w:rPr>
              <w:t>0.75</w:t>
            </w:r>
          </w:p>
        </w:tc>
        <w:tc>
          <w:tcPr>
            <w:tcW w:w="1627" w:type="dxa"/>
            <w:tcBorders>
              <w:top w:val="nil" w:sz="6" w:space="0" w:color="auto"/>
              <w:left w:val="nil" w:sz="6" w:space="0" w:color="auto"/>
              <w:bottom w:val="nil" w:sz="6" w:space="0" w:color="auto"/>
              <w:right w:val="nil" w:sz="6" w:space="0" w:color="auto"/>
            </w:tcBorders>
          </w:tcPr>
          <w:p>
            <w:pPr>
              <w:pStyle w:val="TableParagraph"/>
              <w:spacing w:line="250" w:lineRule="exact"/>
              <w:ind w:left="229" w:right="0"/>
              <w:jc w:val="left"/>
              <w:rPr>
                <w:rFonts w:ascii="宋体" w:hAnsi="宋体" w:cs="宋体" w:eastAsia="宋体" w:hint="default"/>
                <w:sz w:val="20"/>
                <w:szCs w:val="20"/>
              </w:rPr>
            </w:pPr>
            <w:r>
              <w:rPr>
                <w:rFonts w:ascii="宋体"/>
                <w:sz w:val="20"/>
              </w:rPr>
              <w:t>0.71</w:t>
            </w:r>
          </w:p>
        </w:tc>
      </w:tr>
      <w:tr>
        <w:trPr>
          <w:trHeight w:val="300"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50" w:lineRule="exact"/>
              <w:ind w:left="200" w:right="0"/>
              <w:jc w:val="left"/>
              <w:rPr>
                <w:rFonts w:ascii="宋体" w:hAnsi="宋体" w:cs="宋体" w:eastAsia="宋体" w:hint="default"/>
                <w:sz w:val="20"/>
                <w:szCs w:val="20"/>
              </w:rPr>
            </w:pPr>
            <w:r>
              <w:rPr>
                <w:rFonts w:ascii="宋体" w:hAnsi="宋体" w:cs="宋体" w:eastAsia="宋体" w:hint="default"/>
                <w:sz w:val="20"/>
                <w:szCs w:val="20"/>
              </w:rPr>
              <w:t>预计波动率</w:t>
            </w:r>
            <w:r>
              <w:rPr>
                <w:rFonts w:ascii="宋体" w:hAnsi="宋体" w:cs="宋体" w:eastAsia="宋体" w:hint="default"/>
                <w:sz w:val="20"/>
                <w:szCs w:val="20"/>
              </w:rPr>
              <w:t>(%)</w:t>
            </w:r>
          </w:p>
        </w:tc>
        <w:tc>
          <w:tcPr>
            <w:tcW w:w="2260" w:type="dxa"/>
            <w:tcBorders>
              <w:top w:val="nil" w:sz="6" w:space="0" w:color="auto"/>
              <w:left w:val="nil" w:sz="6" w:space="0" w:color="auto"/>
              <w:bottom w:val="nil" w:sz="6" w:space="0" w:color="auto"/>
              <w:right w:val="nil" w:sz="6" w:space="0" w:color="auto"/>
            </w:tcBorders>
          </w:tcPr>
          <w:p>
            <w:pPr>
              <w:pStyle w:val="TableParagraph"/>
              <w:spacing w:line="250" w:lineRule="exact"/>
              <w:ind w:left="901" w:right="0"/>
              <w:jc w:val="left"/>
              <w:rPr>
                <w:rFonts w:ascii="宋体" w:hAnsi="宋体" w:cs="宋体" w:eastAsia="宋体" w:hint="default"/>
                <w:sz w:val="20"/>
                <w:szCs w:val="20"/>
              </w:rPr>
            </w:pPr>
            <w:r>
              <w:rPr>
                <w:rFonts w:ascii="宋体"/>
                <w:sz w:val="20"/>
              </w:rPr>
              <w:t>32.93</w:t>
            </w:r>
          </w:p>
        </w:tc>
        <w:tc>
          <w:tcPr>
            <w:tcW w:w="1588" w:type="dxa"/>
            <w:tcBorders>
              <w:top w:val="nil" w:sz="6" w:space="0" w:color="auto"/>
              <w:left w:val="nil" w:sz="6" w:space="0" w:color="auto"/>
              <w:bottom w:val="nil" w:sz="6" w:space="0" w:color="auto"/>
              <w:right w:val="nil" w:sz="6" w:space="0" w:color="auto"/>
            </w:tcBorders>
          </w:tcPr>
          <w:p>
            <w:pPr>
              <w:pStyle w:val="TableParagraph"/>
              <w:spacing w:line="250" w:lineRule="exact"/>
              <w:ind w:left="619" w:right="0"/>
              <w:jc w:val="left"/>
              <w:rPr>
                <w:rFonts w:ascii="宋体" w:hAnsi="宋体" w:cs="宋体" w:eastAsia="宋体" w:hint="default"/>
                <w:sz w:val="20"/>
                <w:szCs w:val="20"/>
              </w:rPr>
            </w:pPr>
            <w:r>
              <w:rPr>
                <w:rFonts w:ascii="宋体"/>
                <w:sz w:val="20"/>
              </w:rPr>
              <w:t>58.77</w:t>
            </w:r>
          </w:p>
        </w:tc>
        <w:tc>
          <w:tcPr>
            <w:tcW w:w="1627" w:type="dxa"/>
            <w:tcBorders>
              <w:top w:val="nil" w:sz="6" w:space="0" w:color="auto"/>
              <w:left w:val="nil" w:sz="6" w:space="0" w:color="auto"/>
              <w:bottom w:val="nil" w:sz="6" w:space="0" w:color="auto"/>
              <w:right w:val="nil" w:sz="6" w:space="0" w:color="auto"/>
            </w:tcBorders>
          </w:tcPr>
          <w:p>
            <w:pPr>
              <w:pStyle w:val="TableParagraph"/>
              <w:spacing w:line="250" w:lineRule="exact"/>
              <w:ind w:left="229" w:right="0"/>
              <w:jc w:val="left"/>
              <w:rPr>
                <w:rFonts w:ascii="宋体" w:hAnsi="宋体" w:cs="宋体" w:eastAsia="宋体" w:hint="default"/>
                <w:sz w:val="20"/>
                <w:szCs w:val="20"/>
              </w:rPr>
            </w:pPr>
            <w:r>
              <w:rPr>
                <w:rFonts w:ascii="宋体"/>
                <w:sz w:val="20"/>
              </w:rPr>
              <w:t>55.81</w:t>
            </w:r>
          </w:p>
        </w:tc>
      </w:tr>
      <w:tr>
        <w:trPr>
          <w:trHeight w:val="300"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50" w:lineRule="exact"/>
              <w:ind w:left="200" w:right="0"/>
              <w:jc w:val="left"/>
              <w:rPr>
                <w:rFonts w:ascii="宋体" w:hAnsi="宋体" w:cs="宋体" w:eastAsia="宋体" w:hint="default"/>
                <w:sz w:val="20"/>
                <w:szCs w:val="20"/>
              </w:rPr>
            </w:pPr>
            <w:r>
              <w:rPr>
                <w:rFonts w:ascii="宋体" w:hAnsi="宋体" w:cs="宋体" w:eastAsia="宋体" w:hint="default"/>
                <w:sz w:val="20"/>
                <w:szCs w:val="20"/>
              </w:rPr>
              <w:t>无风险利率</w:t>
            </w:r>
            <w:r>
              <w:rPr>
                <w:rFonts w:ascii="宋体" w:hAnsi="宋体" w:cs="宋体" w:eastAsia="宋体" w:hint="default"/>
                <w:sz w:val="20"/>
                <w:szCs w:val="20"/>
              </w:rPr>
              <w:t>(%)</w:t>
            </w:r>
          </w:p>
        </w:tc>
        <w:tc>
          <w:tcPr>
            <w:tcW w:w="2260" w:type="dxa"/>
            <w:tcBorders>
              <w:top w:val="nil" w:sz="6" w:space="0" w:color="auto"/>
              <w:left w:val="nil" w:sz="6" w:space="0" w:color="auto"/>
              <w:bottom w:val="nil" w:sz="6" w:space="0" w:color="auto"/>
              <w:right w:val="nil" w:sz="6" w:space="0" w:color="auto"/>
            </w:tcBorders>
          </w:tcPr>
          <w:p>
            <w:pPr>
              <w:pStyle w:val="TableParagraph"/>
              <w:spacing w:line="250" w:lineRule="exact"/>
              <w:ind w:left="901" w:right="0"/>
              <w:jc w:val="left"/>
              <w:rPr>
                <w:rFonts w:ascii="宋体" w:hAnsi="宋体" w:cs="宋体" w:eastAsia="宋体" w:hint="default"/>
                <w:sz w:val="20"/>
                <w:szCs w:val="20"/>
              </w:rPr>
            </w:pPr>
            <w:r>
              <w:rPr>
                <w:rFonts w:ascii="宋体"/>
                <w:sz w:val="20"/>
              </w:rPr>
              <w:t>1.50</w:t>
            </w:r>
          </w:p>
        </w:tc>
        <w:tc>
          <w:tcPr>
            <w:tcW w:w="1588" w:type="dxa"/>
            <w:tcBorders>
              <w:top w:val="nil" w:sz="6" w:space="0" w:color="auto"/>
              <w:left w:val="nil" w:sz="6" w:space="0" w:color="auto"/>
              <w:bottom w:val="nil" w:sz="6" w:space="0" w:color="auto"/>
              <w:right w:val="nil" w:sz="6" w:space="0" w:color="auto"/>
            </w:tcBorders>
          </w:tcPr>
          <w:p>
            <w:pPr>
              <w:pStyle w:val="TableParagraph"/>
              <w:spacing w:line="250" w:lineRule="exact"/>
              <w:ind w:left="54" w:right="0"/>
              <w:jc w:val="center"/>
              <w:rPr>
                <w:rFonts w:ascii="宋体" w:hAnsi="宋体" w:cs="宋体" w:eastAsia="宋体" w:hint="default"/>
                <w:sz w:val="20"/>
                <w:szCs w:val="20"/>
              </w:rPr>
            </w:pPr>
            <w:r>
              <w:rPr>
                <w:rFonts w:ascii="宋体"/>
                <w:sz w:val="20"/>
              </w:rPr>
              <w:t>2.10</w:t>
            </w:r>
          </w:p>
        </w:tc>
        <w:tc>
          <w:tcPr>
            <w:tcW w:w="1627" w:type="dxa"/>
            <w:tcBorders>
              <w:top w:val="nil" w:sz="6" w:space="0" w:color="auto"/>
              <w:left w:val="nil" w:sz="6" w:space="0" w:color="auto"/>
              <w:bottom w:val="nil" w:sz="6" w:space="0" w:color="auto"/>
              <w:right w:val="nil" w:sz="6" w:space="0" w:color="auto"/>
            </w:tcBorders>
          </w:tcPr>
          <w:p>
            <w:pPr>
              <w:pStyle w:val="TableParagraph"/>
              <w:spacing w:line="250" w:lineRule="exact"/>
              <w:ind w:left="229" w:right="0"/>
              <w:jc w:val="left"/>
              <w:rPr>
                <w:rFonts w:ascii="宋体" w:hAnsi="宋体" w:cs="宋体" w:eastAsia="宋体" w:hint="default"/>
                <w:sz w:val="20"/>
                <w:szCs w:val="20"/>
              </w:rPr>
            </w:pPr>
            <w:r>
              <w:rPr>
                <w:rFonts w:ascii="宋体"/>
                <w:sz w:val="20"/>
              </w:rPr>
              <w:t>2.75</w:t>
            </w:r>
          </w:p>
        </w:tc>
      </w:tr>
      <w:tr>
        <w:trPr>
          <w:trHeight w:val="300"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50" w:lineRule="exact"/>
              <w:ind w:left="200" w:right="0"/>
              <w:jc w:val="left"/>
              <w:rPr>
                <w:rFonts w:ascii="宋体" w:hAnsi="宋体" w:cs="宋体" w:eastAsia="宋体" w:hint="default"/>
                <w:sz w:val="20"/>
                <w:szCs w:val="20"/>
              </w:rPr>
            </w:pPr>
            <w:r>
              <w:rPr>
                <w:rFonts w:ascii="宋体" w:hAnsi="宋体" w:cs="宋体" w:eastAsia="宋体" w:hint="default"/>
                <w:sz w:val="20"/>
                <w:szCs w:val="20"/>
              </w:rPr>
              <w:t>股份期权预计期限</w:t>
            </w:r>
            <w:r>
              <w:rPr>
                <w:rFonts w:ascii="宋体" w:hAnsi="宋体" w:cs="宋体" w:eastAsia="宋体" w:hint="default"/>
                <w:sz w:val="20"/>
                <w:szCs w:val="20"/>
              </w:rPr>
              <w:t>(</w:t>
            </w:r>
            <w:r>
              <w:rPr>
                <w:rFonts w:ascii="宋体" w:hAnsi="宋体" w:cs="宋体" w:eastAsia="宋体" w:hint="default"/>
                <w:sz w:val="20"/>
                <w:szCs w:val="20"/>
              </w:rPr>
              <w:t>年</w:t>
            </w:r>
            <w:r>
              <w:rPr>
                <w:rFonts w:ascii="宋体" w:hAnsi="宋体" w:cs="宋体" w:eastAsia="宋体" w:hint="default"/>
                <w:sz w:val="20"/>
                <w:szCs w:val="20"/>
              </w:rPr>
              <w:t>)</w:t>
            </w:r>
          </w:p>
        </w:tc>
        <w:tc>
          <w:tcPr>
            <w:tcW w:w="2260" w:type="dxa"/>
            <w:tcBorders>
              <w:top w:val="nil" w:sz="6" w:space="0" w:color="auto"/>
              <w:left w:val="nil" w:sz="6" w:space="0" w:color="auto"/>
              <w:bottom w:val="nil" w:sz="6" w:space="0" w:color="auto"/>
              <w:right w:val="nil" w:sz="6" w:space="0" w:color="auto"/>
            </w:tcBorders>
          </w:tcPr>
          <w:p>
            <w:pPr>
              <w:pStyle w:val="TableParagraph"/>
              <w:spacing w:line="250" w:lineRule="exact"/>
              <w:ind w:left="901"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z w:val="20"/>
                <w:szCs w:val="20"/>
              </w:rPr>
              <w:t>年</w:t>
            </w:r>
          </w:p>
        </w:tc>
        <w:tc>
          <w:tcPr>
            <w:tcW w:w="1588" w:type="dxa"/>
            <w:tcBorders>
              <w:top w:val="nil" w:sz="6" w:space="0" w:color="auto"/>
              <w:left w:val="nil" w:sz="6" w:space="0" w:color="auto"/>
              <w:bottom w:val="nil" w:sz="6" w:space="0" w:color="auto"/>
              <w:right w:val="nil" w:sz="6" w:space="0" w:color="auto"/>
            </w:tcBorders>
          </w:tcPr>
          <w:p>
            <w:pPr>
              <w:pStyle w:val="TableParagraph"/>
              <w:spacing w:line="250" w:lineRule="exact"/>
              <w:ind w:right="47"/>
              <w:jc w:val="center"/>
              <w:rPr>
                <w:rFonts w:ascii="宋体" w:hAnsi="宋体" w:cs="宋体" w:eastAsia="宋体" w:hint="default"/>
                <w:sz w:val="20"/>
                <w:szCs w:val="20"/>
              </w:rPr>
            </w:pPr>
            <w:r>
              <w:rPr>
                <w:rFonts w:ascii="宋体" w:hAnsi="宋体" w:cs="宋体" w:eastAsia="宋体" w:hint="default"/>
                <w:sz w:val="20"/>
                <w:szCs w:val="20"/>
              </w:rPr>
              <w:t>2</w:t>
            </w:r>
            <w:r>
              <w:rPr>
                <w:rFonts w:ascii="宋体" w:hAnsi="宋体" w:cs="宋体" w:eastAsia="宋体" w:hint="default"/>
                <w:sz w:val="20"/>
                <w:szCs w:val="20"/>
              </w:rPr>
              <w:t>年</w:t>
            </w:r>
          </w:p>
        </w:tc>
        <w:tc>
          <w:tcPr>
            <w:tcW w:w="1627" w:type="dxa"/>
            <w:tcBorders>
              <w:top w:val="nil" w:sz="6" w:space="0" w:color="auto"/>
              <w:left w:val="nil" w:sz="6" w:space="0" w:color="auto"/>
              <w:bottom w:val="nil" w:sz="6" w:space="0" w:color="auto"/>
              <w:right w:val="nil" w:sz="6" w:space="0" w:color="auto"/>
            </w:tcBorders>
          </w:tcPr>
          <w:p>
            <w:pPr>
              <w:pStyle w:val="TableParagraph"/>
              <w:spacing w:line="250" w:lineRule="exact"/>
              <w:ind w:left="229"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z w:val="20"/>
                <w:szCs w:val="20"/>
              </w:rPr>
              <w:t>年</w:t>
            </w:r>
          </w:p>
        </w:tc>
      </w:tr>
      <w:tr>
        <w:trPr>
          <w:trHeight w:val="250"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50" w:lineRule="exact"/>
              <w:ind w:left="200" w:right="0"/>
              <w:jc w:val="left"/>
              <w:rPr>
                <w:rFonts w:ascii="宋体" w:hAnsi="宋体" w:cs="宋体" w:eastAsia="宋体" w:hint="default"/>
                <w:sz w:val="20"/>
                <w:szCs w:val="20"/>
              </w:rPr>
            </w:pPr>
            <w:r>
              <w:rPr>
                <w:rFonts w:ascii="宋体" w:hAnsi="宋体" w:cs="宋体" w:eastAsia="宋体" w:hint="default"/>
                <w:sz w:val="20"/>
                <w:szCs w:val="20"/>
              </w:rPr>
              <w:t>授予日股价</w:t>
            </w:r>
            <w:r>
              <w:rPr>
                <w:rFonts w:ascii="宋体" w:hAnsi="宋体" w:cs="宋体" w:eastAsia="宋体" w:hint="default"/>
                <w:sz w:val="20"/>
                <w:szCs w:val="20"/>
              </w:rPr>
              <w:t>(</w:t>
            </w:r>
            <w:r>
              <w:rPr>
                <w:rFonts w:ascii="宋体" w:hAnsi="宋体" w:cs="宋体" w:eastAsia="宋体" w:hint="default"/>
                <w:sz w:val="20"/>
                <w:szCs w:val="20"/>
              </w:rPr>
              <w:t>元</w:t>
            </w:r>
            <w:r>
              <w:rPr>
                <w:rFonts w:ascii="宋体" w:hAnsi="宋体" w:cs="宋体" w:eastAsia="宋体" w:hint="default"/>
                <w:sz w:val="20"/>
                <w:szCs w:val="20"/>
              </w:rPr>
              <w:t>)</w:t>
            </w:r>
          </w:p>
        </w:tc>
        <w:tc>
          <w:tcPr>
            <w:tcW w:w="2260" w:type="dxa"/>
            <w:tcBorders>
              <w:top w:val="nil" w:sz="6" w:space="0" w:color="auto"/>
              <w:left w:val="nil" w:sz="6" w:space="0" w:color="auto"/>
              <w:bottom w:val="nil" w:sz="6" w:space="0" w:color="auto"/>
              <w:right w:val="nil" w:sz="6" w:space="0" w:color="auto"/>
            </w:tcBorders>
          </w:tcPr>
          <w:p>
            <w:pPr>
              <w:pStyle w:val="TableParagraph"/>
              <w:spacing w:line="250" w:lineRule="exact"/>
              <w:ind w:left="901" w:right="0"/>
              <w:jc w:val="left"/>
              <w:rPr>
                <w:rFonts w:ascii="宋体" w:hAnsi="宋体" w:cs="宋体" w:eastAsia="宋体" w:hint="default"/>
                <w:sz w:val="20"/>
                <w:szCs w:val="20"/>
              </w:rPr>
            </w:pPr>
            <w:r>
              <w:rPr>
                <w:rFonts w:ascii="宋体"/>
                <w:sz w:val="20"/>
              </w:rPr>
              <w:t>16.90</w:t>
            </w:r>
          </w:p>
        </w:tc>
        <w:tc>
          <w:tcPr>
            <w:tcW w:w="1588" w:type="dxa"/>
            <w:tcBorders>
              <w:top w:val="nil" w:sz="6" w:space="0" w:color="auto"/>
              <w:left w:val="nil" w:sz="6" w:space="0" w:color="auto"/>
              <w:bottom w:val="nil" w:sz="6" w:space="0" w:color="auto"/>
              <w:right w:val="nil" w:sz="6" w:space="0" w:color="auto"/>
            </w:tcBorders>
          </w:tcPr>
          <w:p>
            <w:pPr>
              <w:pStyle w:val="TableParagraph"/>
              <w:spacing w:line="250" w:lineRule="exact"/>
              <w:ind w:left="619" w:right="0"/>
              <w:jc w:val="left"/>
              <w:rPr>
                <w:rFonts w:ascii="宋体" w:hAnsi="宋体" w:cs="宋体" w:eastAsia="宋体" w:hint="default"/>
                <w:sz w:val="20"/>
                <w:szCs w:val="20"/>
              </w:rPr>
            </w:pPr>
            <w:r>
              <w:rPr>
                <w:rFonts w:ascii="宋体"/>
                <w:sz w:val="20"/>
              </w:rPr>
              <w:t>16.90</w:t>
            </w:r>
          </w:p>
        </w:tc>
        <w:tc>
          <w:tcPr>
            <w:tcW w:w="1627" w:type="dxa"/>
            <w:tcBorders>
              <w:top w:val="nil" w:sz="6" w:space="0" w:color="auto"/>
              <w:left w:val="nil" w:sz="6" w:space="0" w:color="auto"/>
              <w:bottom w:val="nil" w:sz="6" w:space="0" w:color="auto"/>
              <w:right w:val="nil" w:sz="6" w:space="0" w:color="auto"/>
            </w:tcBorders>
          </w:tcPr>
          <w:p>
            <w:pPr>
              <w:pStyle w:val="TableParagraph"/>
              <w:spacing w:line="250" w:lineRule="exact"/>
              <w:ind w:left="229" w:right="0"/>
              <w:jc w:val="left"/>
              <w:rPr>
                <w:rFonts w:ascii="宋体" w:hAnsi="宋体" w:cs="宋体" w:eastAsia="宋体" w:hint="default"/>
                <w:sz w:val="20"/>
                <w:szCs w:val="20"/>
              </w:rPr>
            </w:pPr>
            <w:r>
              <w:rPr>
                <w:rFonts w:ascii="宋体"/>
                <w:sz w:val="20"/>
              </w:rPr>
              <w:t>16.90</w:t>
            </w:r>
          </w:p>
        </w:tc>
      </w:tr>
    </w:tbl>
    <w:p>
      <w:pPr>
        <w:spacing w:line="240" w:lineRule="auto" w:before="4"/>
        <w:rPr>
          <w:rFonts w:ascii="宋体" w:hAnsi="宋体" w:cs="宋体" w:eastAsia="宋体" w:hint="default"/>
          <w:sz w:val="16"/>
          <w:szCs w:val="16"/>
        </w:rPr>
      </w:pPr>
    </w:p>
    <w:p>
      <w:pPr>
        <w:pStyle w:val="BodyText"/>
        <w:spacing w:line="237" w:lineRule="auto" w:before="38"/>
        <w:ind w:left="138" w:right="248"/>
        <w:jc w:val="both"/>
      </w:pPr>
      <w:r>
        <w:rPr>
          <w:spacing w:val="-1"/>
        </w:rPr>
        <w:t>股票期权的预计期限是根据对未来股票价格波动所可能引致的员工行权时间为基础确定的，其反</w:t>
      </w:r>
      <w:r>
        <w:rPr>
          <w:spacing w:val="-55"/>
        </w:rPr>
        <w:t> </w:t>
      </w:r>
      <w:r>
        <w:rPr>
          <w:spacing w:val="-55"/>
        </w:rPr>
      </w:r>
      <w:r>
        <w:rPr>
          <w:spacing w:val="-1"/>
        </w:rPr>
        <w:t>映的行权模式并不一定是未来可能出现的行权模式。预计波动率是基于历史波动率能反映出未来</w:t>
      </w:r>
      <w:r>
        <w:rPr>
          <w:spacing w:val="-55"/>
        </w:rPr>
        <w:t> </w:t>
      </w:r>
      <w:r>
        <w:rPr>
          <w:spacing w:val="-55"/>
        </w:rPr>
      </w:r>
      <w:r>
        <w:rPr/>
        <w:t>趋势的假设，但并不一定是实际的结果。公允价值未考虑所授予股票期权的其他特征。</w:t>
      </w:r>
    </w:p>
    <w:p>
      <w:pPr>
        <w:spacing w:line="240" w:lineRule="auto" w:before="9"/>
        <w:rPr>
          <w:rFonts w:ascii="宋体" w:hAnsi="宋体" w:cs="宋体" w:eastAsia="宋体" w:hint="default"/>
          <w:sz w:val="20"/>
          <w:szCs w:val="20"/>
        </w:rPr>
      </w:pPr>
    </w:p>
    <w:p>
      <w:pPr>
        <w:pStyle w:val="BodyText"/>
        <w:spacing w:line="240" w:lineRule="auto"/>
        <w:ind w:left="138" w:right="0"/>
        <w:jc w:val="both"/>
      </w:pPr>
      <w:r>
        <w:rPr/>
        <w:t>截至资产负债表日，发行在外的股票期权的行权价格和行权有效期如下：</w:t>
      </w:r>
    </w:p>
    <w:p>
      <w:pPr>
        <w:spacing w:line="240" w:lineRule="auto" w:before="8"/>
        <w:rPr>
          <w:rFonts w:ascii="宋体" w:hAnsi="宋体" w:cs="宋体" w:eastAsia="宋体" w:hint="default"/>
          <w:sz w:val="23"/>
          <w:szCs w:val="23"/>
        </w:rPr>
      </w:pPr>
    </w:p>
    <w:tbl>
      <w:tblPr>
        <w:tblW w:w="0" w:type="auto"/>
        <w:jc w:val="left"/>
        <w:tblInd w:w="514" w:type="dxa"/>
        <w:tblLayout w:type="fixed"/>
        <w:tblCellMar>
          <w:top w:w="0" w:type="dxa"/>
          <w:left w:w="0" w:type="dxa"/>
          <w:bottom w:w="0" w:type="dxa"/>
          <w:right w:w="0" w:type="dxa"/>
        </w:tblCellMar>
        <w:tblLook w:val="01E0"/>
      </w:tblPr>
      <w:tblGrid>
        <w:gridCol w:w="1536"/>
        <w:gridCol w:w="2177"/>
        <w:gridCol w:w="1382"/>
        <w:gridCol w:w="3039"/>
      </w:tblGrid>
      <w:tr>
        <w:trPr>
          <w:trHeight w:val="230" w:hRule="exact"/>
        </w:trPr>
        <w:tc>
          <w:tcPr>
            <w:tcW w:w="1536" w:type="dxa"/>
            <w:tcBorders>
              <w:top w:val="nil" w:sz="6" w:space="0" w:color="auto"/>
              <w:left w:val="nil" w:sz="6" w:space="0" w:color="auto"/>
              <w:bottom w:val="nil" w:sz="6" w:space="0" w:color="auto"/>
              <w:right w:val="nil" w:sz="6" w:space="0" w:color="auto"/>
            </w:tcBorders>
          </w:tcPr>
          <w:p>
            <w:pPr>
              <w:pStyle w:val="TableParagraph"/>
              <w:spacing w:line="199" w:lineRule="exact"/>
              <w:ind w:right="136"/>
              <w:jc w:val="right"/>
              <w:rPr>
                <w:rFonts w:ascii="宋体" w:hAnsi="宋体" w:cs="宋体" w:eastAsia="宋体" w:hint="default"/>
                <w:sz w:val="20"/>
                <w:szCs w:val="20"/>
              </w:rPr>
            </w:pPr>
            <w:r>
              <w:rPr>
                <w:rFonts w:ascii="宋体" w:hAnsi="宋体" w:cs="宋体" w:eastAsia="宋体" w:hint="default"/>
                <w:w w:val="95"/>
                <w:sz w:val="20"/>
                <w:szCs w:val="20"/>
              </w:rPr>
              <w:t>股票期权数量</w:t>
            </w:r>
            <w:r>
              <w:rPr>
                <w:rFonts w:ascii="宋体" w:hAnsi="宋体" w:cs="宋体" w:eastAsia="宋体" w:hint="default"/>
                <w:sz w:val="20"/>
                <w:szCs w:val="20"/>
              </w:rPr>
            </w:r>
          </w:p>
        </w:tc>
        <w:tc>
          <w:tcPr>
            <w:tcW w:w="2177" w:type="dxa"/>
            <w:tcBorders>
              <w:top w:val="nil" w:sz="6" w:space="0" w:color="auto"/>
              <w:left w:val="nil" w:sz="6" w:space="0" w:color="auto"/>
              <w:bottom w:val="nil" w:sz="6" w:space="0" w:color="auto"/>
              <w:right w:val="nil" w:sz="6" w:space="0" w:color="auto"/>
            </w:tcBorders>
          </w:tcPr>
          <w:p>
            <w:pPr>
              <w:pStyle w:val="TableParagraph"/>
              <w:spacing w:line="199" w:lineRule="exact"/>
              <w:ind w:left="133" w:right="0"/>
              <w:jc w:val="left"/>
              <w:rPr>
                <w:rFonts w:ascii="宋体" w:hAnsi="宋体" w:cs="宋体" w:eastAsia="宋体" w:hint="default"/>
                <w:sz w:val="20"/>
                <w:szCs w:val="20"/>
              </w:rPr>
            </w:pPr>
            <w:r>
              <w:rPr>
                <w:rFonts w:ascii="宋体" w:hAnsi="宋体" w:cs="宋体" w:eastAsia="宋体" w:hint="default"/>
                <w:sz w:val="20"/>
                <w:szCs w:val="20"/>
              </w:rPr>
              <w:t>预计</w:t>
            </w:r>
            <w:r>
              <w:rPr>
                <w:rFonts w:ascii="宋体" w:hAnsi="宋体" w:cs="宋体" w:eastAsia="宋体" w:hint="default"/>
                <w:sz w:val="20"/>
                <w:szCs w:val="20"/>
              </w:rPr>
              <w:t>2018</w:t>
            </w:r>
            <w:r>
              <w:rPr>
                <w:rFonts w:ascii="宋体" w:hAnsi="宋体" w:cs="宋体" w:eastAsia="宋体" w:hint="default"/>
                <w:sz w:val="20"/>
                <w:szCs w:val="20"/>
              </w:rPr>
              <w:t>年行权数量</w:t>
            </w:r>
          </w:p>
        </w:tc>
        <w:tc>
          <w:tcPr>
            <w:tcW w:w="1382" w:type="dxa"/>
            <w:tcBorders>
              <w:top w:val="nil" w:sz="6" w:space="0" w:color="auto"/>
              <w:left w:val="nil" w:sz="6" w:space="0" w:color="auto"/>
              <w:bottom w:val="nil" w:sz="6" w:space="0" w:color="auto"/>
              <w:right w:val="nil" w:sz="6" w:space="0" w:color="auto"/>
            </w:tcBorders>
          </w:tcPr>
          <w:p>
            <w:pPr>
              <w:pStyle w:val="TableParagraph"/>
              <w:spacing w:line="199" w:lineRule="exact"/>
              <w:ind w:left="245" w:right="0"/>
              <w:jc w:val="left"/>
              <w:rPr>
                <w:rFonts w:ascii="宋体" w:hAnsi="宋体" w:cs="宋体" w:eastAsia="宋体" w:hint="default"/>
                <w:sz w:val="20"/>
                <w:szCs w:val="20"/>
              </w:rPr>
            </w:pPr>
            <w:r>
              <w:rPr>
                <w:rFonts w:ascii="宋体" w:hAnsi="宋体" w:cs="宋体" w:eastAsia="宋体" w:hint="default"/>
                <w:sz w:val="20"/>
                <w:szCs w:val="20"/>
              </w:rPr>
              <w:t>行权价格</w:t>
            </w:r>
            <w:r>
              <w:rPr>
                <w:rFonts w:ascii="宋体" w:hAnsi="宋体" w:cs="宋体" w:eastAsia="宋体" w:hint="default"/>
                <w:sz w:val="20"/>
                <w:szCs w:val="20"/>
              </w:rPr>
              <w:t>*</w:t>
            </w:r>
          </w:p>
        </w:tc>
        <w:tc>
          <w:tcPr>
            <w:tcW w:w="3039" w:type="dxa"/>
            <w:tcBorders>
              <w:top w:val="nil" w:sz="6" w:space="0" w:color="auto"/>
              <w:left w:val="nil" w:sz="6" w:space="0" w:color="auto"/>
              <w:bottom w:val="nil" w:sz="6" w:space="0" w:color="auto"/>
              <w:right w:val="nil" w:sz="6" w:space="0" w:color="auto"/>
            </w:tcBorders>
          </w:tcPr>
          <w:p>
            <w:pPr>
              <w:pStyle w:val="TableParagraph"/>
              <w:spacing w:line="199" w:lineRule="exact"/>
              <w:ind w:left="239" w:right="0"/>
              <w:jc w:val="left"/>
              <w:rPr>
                <w:rFonts w:ascii="宋体" w:hAnsi="宋体" w:cs="宋体" w:eastAsia="宋体" w:hint="default"/>
                <w:sz w:val="20"/>
                <w:szCs w:val="20"/>
              </w:rPr>
            </w:pPr>
            <w:r>
              <w:rPr>
                <w:rFonts w:ascii="宋体" w:hAnsi="宋体" w:cs="宋体" w:eastAsia="宋体" w:hint="default"/>
                <w:sz w:val="20"/>
                <w:szCs w:val="20"/>
              </w:rPr>
              <w:t>行权有效期</w:t>
            </w:r>
          </w:p>
        </w:tc>
      </w:tr>
      <w:tr>
        <w:trPr>
          <w:trHeight w:val="390" w:hRule="exact"/>
        </w:trPr>
        <w:tc>
          <w:tcPr>
            <w:tcW w:w="1536" w:type="dxa"/>
            <w:tcBorders>
              <w:top w:val="nil" w:sz="6" w:space="0" w:color="auto"/>
              <w:left w:val="nil" w:sz="6" w:space="0" w:color="auto"/>
              <w:bottom w:val="nil" w:sz="6" w:space="0" w:color="auto"/>
              <w:right w:val="nil" w:sz="6" w:space="0" w:color="auto"/>
            </w:tcBorders>
          </w:tcPr>
          <w:p>
            <w:pPr>
              <w:pStyle w:val="TableParagraph"/>
              <w:spacing w:line="231" w:lineRule="exact"/>
              <w:ind w:right="131"/>
              <w:jc w:val="right"/>
              <w:rPr>
                <w:rFonts w:ascii="宋体" w:hAnsi="宋体" w:cs="宋体" w:eastAsia="宋体" w:hint="default"/>
                <w:sz w:val="20"/>
                <w:szCs w:val="20"/>
              </w:rPr>
            </w:pPr>
            <w:r>
              <w:rPr>
                <w:rFonts w:ascii="宋体" w:hAnsi="宋体" w:cs="宋体" w:eastAsia="宋体" w:hint="default"/>
                <w:w w:val="99"/>
                <w:sz w:val="20"/>
                <w:szCs w:val="20"/>
              </w:rPr>
              <w:t>份</w:t>
            </w:r>
            <w:r>
              <w:rPr>
                <w:rFonts w:ascii="宋体" w:hAnsi="宋体" w:cs="宋体" w:eastAsia="宋体" w:hint="default"/>
                <w:sz w:val="20"/>
                <w:szCs w:val="20"/>
              </w:rPr>
            </w:r>
          </w:p>
        </w:tc>
        <w:tc>
          <w:tcPr>
            <w:tcW w:w="2177" w:type="dxa"/>
            <w:tcBorders>
              <w:top w:val="nil" w:sz="6" w:space="0" w:color="auto"/>
              <w:left w:val="nil" w:sz="6" w:space="0" w:color="auto"/>
              <w:bottom w:val="nil" w:sz="6" w:space="0" w:color="auto"/>
              <w:right w:val="nil" w:sz="6" w:space="0" w:color="auto"/>
            </w:tcBorders>
          </w:tcPr>
          <w:p>
            <w:pPr>
              <w:pStyle w:val="TableParagraph"/>
              <w:spacing w:line="231" w:lineRule="exact"/>
              <w:ind w:left="243" w:right="0"/>
              <w:jc w:val="left"/>
              <w:rPr>
                <w:rFonts w:ascii="宋体" w:hAnsi="宋体" w:cs="宋体" w:eastAsia="宋体" w:hint="default"/>
                <w:sz w:val="20"/>
                <w:szCs w:val="20"/>
              </w:rPr>
            </w:pPr>
            <w:r>
              <w:rPr>
                <w:rFonts w:ascii="宋体" w:hAnsi="宋体" w:cs="宋体" w:eastAsia="宋体" w:hint="default"/>
                <w:w w:val="99"/>
                <w:sz w:val="20"/>
                <w:szCs w:val="20"/>
              </w:rPr>
              <w:t>份</w:t>
            </w:r>
            <w:r>
              <w:rPr>
                <w:rFonts w:ascii="宋体" w:hAnsi="宋体" w:cs="宋体" w:eastAsia="宋体" w:hint="default"/>
                <w:sz w:val="20"/>
                <w:szCs w:val="20"/>
              </w:rPr>
            </w:r>
          </w:p>
        </w:tc>
        <w:tc>
          <w:tcPr>
            <w:tcW w:w="1382" w:type="dxa"/>
            <w:tcBorders>
              <w:top w:val="nil" w:sz="6" w:space="0" w:color="auto"/>
              <w:left w:val="nil" w:sz="6" w:space="0" w:color="auto"/>
              <w:bottom w:val="nil" w:sz="6" w:space="0" w:color="auto"/>
              <w:right w:val="nil" w:sz="6" w:space="0" w:color="auto"/>
            </w:tcBorders>
          </w:tcPr>
          <w:p>
            <w:pPr>
              <w:pStyle w:val="TableParagraph"/>
              <w:spacing w:line="231" w:lineRule="exact"/>
              <w:ind w:left="245" w:right="0"/>
              <w:jc w:val="left"/>
              <w:rPr>
                <w:rFonts w:ascii="宋体" w:hAnsi="宋体" w:cs="宋体" w:eastAsia="宋体" w:hint="default"/>
                <w:sz w:val="20"/>
                <w:szCs w:val="20"/>
              </w:rPr>
            </w:pPr>
            <w:r>
              <w:rPr>
                <w:rFonts w:ascii="宋体" w:hAnsi="宋体" w:cs="宋体" w:eastAsia="宋体" w:hint="default"/>
                <w:sz w:val="20"/>
                <w:szCs w:val="20"/>
              </w:rPr>
              <w:t>人民币元</w:t>
            </w:r>
            <w:r>
              <w:rPr>
                <w:rFonts w:ascii="宋体" w:hAnsi="宋体" w:cs="宋体" w:eastAsia="宋体" w:hint="default"/>
                <w:sz w:val="20"/>
                <w:szCs w:val="20"/>
              </w:rPr>
              <w:t>/</w:t>
            </w:r>
            <w:r>
              <w:rPr>
                <w:rFonts w:ascii="宋体" w:hAnsi="宋体" w:cs="宋体" w:eastAsia="宋体" w:hint="default"/>
                <w:sz w:val="20"/>
                <w:szCs w:val="20"/>
              </w:rPr>
              <w:t>股</w:t>
            </w:r>
          </w:p>
        </w:tc>
        <w:tc>
          <w:tcPr>
            <w:tcW w:w="3039" w:type="dxa"/>
            <w:tcBorders>
              <w:top w:val="nil" w:sz="6" w:space="0" w:color="auto"/>
              <w:left w:val="nil" w:sz="6" w:space="0" w:color="auto"/>
              <w:bottom w:val="nil" w:sz="6" w:space="0" w:color="auto"/>
              <w:right w:val="nil" w:sz="6" w:space="0" w:color="auto"/>
            </w:tcBorders>
          </w:tcPr>
          <w:p>
            <w:pPr/>
          </w:p>
        </w:tc>
      </w:tr>
      <w:tr>
        <w:trPr>
          <w:trHeight w:val="359" w:hRule="exact"/>
        </w:trPr>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97"/>
              <w:ind w:left="293" w:right="0"/>
              <w:jc w:val="left"/>
              <w:rPr>
                <w:rFonts w:ascii="宋体" w:hAnsi="宋体" w:cs="宋体" w:eastAsia="宋体" w:hint="default"/>
                <w:sz w:val="20"/>
                <w:szCs w:val="20"/>
              </w:rPr>
            </w:pPr>
            <w:r>
              <w:rPr>
                <w:rFonts w:ascii="宋体"/>
                <w:sz w:val="20"/>
              </w:rPr>
              <w:t>38,465,610</w:t>
            </w:r>
          </w:p>
        </w:tc>
        <w:tc>
          <w:tcPr>
            <w:tcW w:w="2177" w:type="dxa"/>
            <w:tcBorders>
              <w:top w:val="nil" w:sz="6" w:space="0" w:color="auto"/>
              <w:left w:val="nil" w:sz="6" w:space="0" w:color="auto"/>
              <w:bottom w:val="nil" w:sz="6" w:space="0" w:color="auto"/>
              <w:right w:val="nil" w:sz="6" w:space="0" w:color="auto"/>
            </w:tcBorders>
          </w:tcPr>
          <w:p>
            <w:pPr>
              <w:pStyle w:val="TableParagraph"/>
              <w:spacing w:line="240" w:lineRule="auto" w:before="97"/>
              <w:ind w:left="243" w:right="0"/>
              <w:jc w:val="left"/>
              <w:rPr>
                <w:rFonts w:ascii="宋体" w:hAnsi="宋体" w:cs="宋体" w:eastAsia="宋体" w:hint="default"/>
                <w:sz w:val="20"/>
                <w:szCs w:val="20"/>
              </w:rPr>
            </w:pPr>
            <w:r>
              <w:rPr>
                <w:rFonts w:ascii="宋体"/>
                <w:sz w:val="20"/>
              </w:rPr>
              <w:t>15,386,244</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97"/>
              <w:ind w:left="245" w:right="0"/>
              <w:jc w:val="left"/>
              <w:rPr>
                <w:rFonts w:ascii="宋体" w:hAnsi="宋体" w:cs="宋体" w:eastAsia="宋体" w:hint="default"/>
                <w:sz w:val="20"/>
                <w:szCs w:val="20"/>
              </w:rPr>
            </w:pPr>
            <w:r>
              <w:rPr>
                <w:rFonts w:ascii="宋体"/>
                <w:sz w:val="20"/>
              </w:rPr>
              <w:t>15.88</w:t>
            </w:r>
          </w:p>
        </w:tc>
        <w:tc>
          <w:tcPr>
            <w:tcW w:w="3039" w:type="dxa"/>
            <w:tcBorders>
              <w:top w:val="nil" w:sz="6" w:space="0" w:color="auto"/>
              <w:left w:val="nil" w:sz="6" w:space="0" w:color="auto"/>
              <w:bottom w:val="nil" w:sz="6" w:space="0" w:color="auto"/>
              <w:right w:val="nil" w:sz="6" w:space="0" w:color="auto"/>
            </w:tcBorders>
          </w:tcPr>
          <w:p>
            <w:pPr>
              <w:pStyle w:val="TableParagraph"/>
              <w:spacing w:line="240" w:lineRule="auto" w:before="97"/>
              <w:ind w:left="239" w:right="0"/>
              <w:jc w:val="left"/>
              <w:rPr>
                <w:rFonts w:ascii="宋体" w:hAnsi="宋体" w:cs="宋体" w:eastAsia="宋体" w:hint="default"/>
                <w:sz w:val="20"/>
                <w:szCs w:val="20"/>
              </w:rPr>
            </w:pPr>
            <w:r>
              <w:rPr>
                <w:rFonts w:ascii="宋体" w:hAnsi="宋体" w:cs="宋体" w:eastAsia="宋体" w:hint="default"/>
                <w:sz w:val="20"/>
                <w:szCs w:val="20"/>
              </w:rPr>
              <w:t>2018</w:t>
            </w:r>
            <w:r>
              <w:rPr>
                <w:rFonts w:ascii="宋体" w:hAnsi="宋体" w:cs="宋体" w:eastAsia="宋体" w:hint="default"/>
                <w:sz w:val="20"/>
                <w:szCs w:val="20"/>
              </w:rPr>
              <w:t>年</w:t>
            </w:r>
            <w:r>
              <w:rPr>
                <w:rFonts w:ascii="宋体" w:hAnsi="宋体" w:cs="宋体" w:eastAsia="宋体" w:hint="default"/>
                <w:sz w:val="20"/>
                <w:szCs w:val="20"/>
              </w:rPr>
              <w:t>8</w:t>
            </w:r>
            <w:r>
              <w:rPr>
                <w:rFonts w:ascii="宋体" w:hAnsi="宋体" w:cs="宋体" w:eastAsia="宋体" w:hint="default"/>
                <w:sz w:val="20"/>
                <w:szCs w:val="20"/>
              </w:rPr>
              <w:t>月</w:t>
            </w:r>
            <w:r>
              <w:rPr>
                <w:rFonts w:ascii="宋体" w:hAnsi="宋体" w:cs="宋体" w:eastAsia="宋体" w:hint="default"/>
                <w:sz w:val="20"/>
                <w:szCs w:val="20"/>
              </w:rPr>
              <w:t>5</w:t>
            </w:r>
            <w:r>
              <w:rPr>
                <w:rFonts w:ascii="宋体" w:hAnsi="宋体" w:cs="宋体" w:eastAsia="宋体" w:hint="default"/>
                <w:sz w:val="20"/>
                <w:szCs w:val="20"/>
              </w:rPr>
              <w:t>日至</w:t>
            </w:r>
            <w:r>
              <w:rPr>
                <w:rFonts w:ascii="宋体" w:hAnsi="宋体" w:cs="宋体" w:eastAsia="宋体" w:hint="default"/>
                <w:sz w:val="20"/>
                <w:szCs w:val="20"/>
              </w:rPr>
              <w:t>2021</w:t>
            </w:r>
            <w:r>
              <w:rPr>
                <w:rFonts w:ascii="宋体" w:hAnsi="宋体" w:cs="宋体" w:eastAsia="宋体" w:hint="default"/>
                <w:sz w:val="20"/>
                <w:szCs w:val="20"/>
              </w:rPr>
              <w:t>年</w:t>
            </w:r>
            <w:r>
              <w:rPr>
                <w:rFonts w:ascii="宋体" w:hAnsi="宋体" w:cs="宋体" w:eastAsia="宋体" w:hint="default"/>
                <w:sz w:val="20"/>
                <w:szCs w:val="20"/>
              </w:rPr>
              <w:t>8</w:t>
            </w:r>
            <w:r>
              <w:rPr>
                <w:rFonts w:ascii="宋体" w:hAnsi="宋体" w:cs="宋体" w:eastAsia="宋体" w:hint="default"/>
                <w:sz w:val="20"/>
                <w:szCs w:val="20"/>
              </w:rPr>
              <w:t>月</w:t>
            </w:r>
            <w:r>
              <w:rPr>
                <w:rFonts w:ascii="宋体" w:hAnsi="宋体" w:cs="宋体" w:eastAsia="宋体" w:hint="default"/>
                <w:sz w:val="20"/>
                <w:szCs w:val="20"/>
              </w:rPr>
              <w:t>4</w:t>
            </w:r>
            <w:r>
              <w:rPr>
                <w:rFonts w:ascii="宋体" w:hAnsi="宋体" w:cs="宋体" w:eastAsia="宋体" w:hint="default"/>
                <w:sz w:val="20"/>
                <w:szCs w:val="20"/>
              </w:rPr>
              <w:t>日</w:t>
            </w:r>
          </w:p>
        </w:tc>
      </w:tr>
    </w:tbl>
    <w:p>
      <w:pPr>
        <w:spacing w:line="240" w:lineRule="auto" w:before="11"/>
        <w:rPr>
          <w:rFonts w:ascii="宋体" w:hAnsi="宋体" w:cs="宋体" w:eastAsia="宋体" w:hint="default"/>
          <w:sz w:val="14"/>
          <w:szCs w:val="14"/>
        </w:rPr>
      </w:pPr>
    </w:p>
    <w:p>
      <w:pPr>
        <w:pStyle w:val="BodyText"/>
        <w:tabs>
          <w:tab w:pos="557" w:val="left" w:leader="none"/>
        </w:tabs>
        <w:spacing w:line="240" w:lineRule="auto" w:before="36"/>
        <w:ind w:left="138" w:right="244"/>
        <w:jc w:val="left"/>
      </w:pPr>
      <w:r>
        <w:rPr>
          <w:rFonts w:ascii="宋体" w:hAnsi="宋体" w:cs="宋体" w:eastAsia="宋体" w:hint="default"/>
        </w:rPr>
        <w:t>*</w:t>
        <w:tab/>
      </w:r>
      <w:r>
        <w:rPr/>
        <w:t>股票期权的行权价格可根据配股、派发股票股利或本公司股本的其他类似变化予以调整。</w:t>
      </w:r>
    </w:p>
    <w:p>
      <w:pPr>
        <w:spacing w:line="240" w:lineRule="auto" w:before="8"/>
        <w:rPr>
          <w:rFonts w:ascii="宋体" w:hAnsi="宋体" w:cs="宋体" w:eastAsia="宋体" w:hint="default"/>
          <w:sz w:val="20"/>
          <w:szCs w:val="20"/>
        </w:rPr>
      </w:pPr>
    </w:p>
    <w:p>
      <w:pPr>
        <w:pStyle w:val="BodyText"/>
        <w:spacing w:line="273" w:lineRule="exact"/>
        <w:ind w:left="138" w:right="0"/>
        <w:jc w:val="left"/>
      </w:pPr>
      <w:r>
        <w:rPr/>
        <w:t>于</w:t>
      </w:r>
      <w:r>
        <w:rPr>
          <w:spacing w:val="-50"/>
        </w:rPr>
        <w:t> </w:t>
      </w:r>
      <w:r>
        <w:rPr>
          <w:rFonts w:ascii="宋体" w:hAnsi="宋体" w:cs="宋体" w:eastAsia="宋体" w:hint="default"/>
        </w:rPr>
        <w:t>2017</w:t>
      </w:r>
      <w:r>
        <w:rPr>
          <w:rFonts w:ascii="宋体" w:hAnsi="宋体" w:cs="宋体" w:eastAsia="宋体" w:hint="default"/>
          <w:spacing w:val="-50"/>
        </w:rPr>
        <w:t> </w:t>
      </w:r>
      <w:r>
        <w:rPr/>
        <w:t>年</w:t>
      </w:r>
      <w:r>
        <w:rPr>
          <w:spacing w:val="-52"/>
        </w:rPr>
        <w:t> </w:t>
      </w:r>
      <w:r>
        <w:rPr>
          <w:rFonts w:ascii="宋体" w:hAnsi="宋体" w:cs="宋体" w:eastAsia="宋体" w:hint="default"/>
        </w:rPr>
        <w:t>12</w:t>
      </w:r>
      <w:r>
        <w:rPr>
          <w:rFonts w:ascii="宋体" w:hAnsi="宋体" w:cs="宋体" w:eastAsia="宋体" w:hint="default"/>
          <w:spacing w:val="-52"/>
        </w:rPr>
        <w:t> </w:t>
      </w:r>
      <w:r>
        <w:rPr/>
        <w:t>月</w:t>
      </w:r>
      <w:r>
        <w:rPr>
          <w:spacing w:val="-50"/>
        </w:rPr>
        <w:t> </w:t>
      </w:r>
      <w:r>
        <w:rPr>
          <w:rFonts w:ascii="宋体" w:hAnsi="宋体" w:cs="宋体" w:eastAsia="宋体" w:hint="default"/>
        </w:rPr>
        <w:t>31</w:t>
      </w:r>
      <w:r>
        <w:rPr>
          <w:rFonts w:ascii="宋体" w:hAnsi="宋体" w:cs="宋体" w:eastAsia="宋体" w:hint="default"/>
          <w:spacing w:val="-52"/>
        </w:rPr>
        <w:t> </w:t>
      </w:r>
      <w:r>
        <w:rPr>
          <w:spacing w:val="-4"/>
        </w:rPr>
        <w:t>日，本公司在本计划下发行在外的股票期权为</w:t>
      </w:r>
      <w:r>
        <w:rPr>
          <w:spacing w:val="-49"/>
        </w:rPr>
        <w:t> </w:t>
      </w:r>
      <w:r>
        <w:rPr>
          <w:rFonts w:ascii="宋体" w:hAnsi="宋体" w:cs="宋体" w:eastAsia="宋体" w:hint="default"/>
        </w:rPr>
        <w:t>38,465,610</w:t>
      </w:r>
      <w:r>
        <w:rPr>
          <w:rFonts w:ascii="宋体" w:hAnsi="宋体" w:cs="宋体" w:eastAsia="宋体" w:hint="default"/>
          <w:spacing w:val="-52"/>
        </w:rPr>
        <w:t> </w:t>
      </w:r>
      <w:r>
        <w:rPr>
          <w:spacing w:val="-16"/>
        </w:rPr>
        <w:t>份，因</w:t>
      </w:r>
      <w:r>
        <w:rPr>
          <w:spacing w:val="-50"/>
        </w:rPr>
        <w:t> </w:t>
      </w:r>
      <w:r>
        <w:rPr>
          <w:rFonts w:ascii="宋体" w:hAnsi="宋体" w:cs="宋体" w:eastAsia="宋体" w:hint="default"/>
        </w:rPr>
        <w:t>2017</w:t>
      </w:r>
      <w:r>
        <w:rPr>
          <w:rFonts w:ascii="宋体" w:hAnsi="宋体" w:cs="宋体" w:eastAsia="宋体" w:hint="default"/>
          <w:spacing w:val="-50"/>
        </w:rPr>
        <w:t> </w:t>
      </w:r>
      <w:r>
        <w:rPr/>
        <w:t>年公司</w:t>
      </w:r>
    </w:p>
    <w:p>
      <w:pPr>
        <w:pStyle w:val="BodyText"/>
        <w:spacing w:line="240" w:lineRule="auto"/>
        <w:ind w:left="138" w:right="242"/>
        <w:jc w:val="left"/>
      </w:pPr>
      <w:r>
        <w:rPr/>
        <w:t>业绩已达到</w:t>
      </w:r>
      <w:r>
        <w:rPr>
          <w:spacing w:val="-21"/>
        </w:rPr>
        <w:t> </w:t>
      </w:r>
      <w:r>
        <w:rPr>
          <w:rFonts w:ascii="宋体" w:hAnsi="宋体" w:cs="宋体" w:eastAsia="宋体" w:hint="default"/>
        </w:rPr>
        <w:t>2017</w:t>
      </w:r>
      <w:r>
        <w:rPr>
          <w:rFonts w:ascii="宋体" w:hAnsi="宋体" w:cs="宋体" w:eastAsia="宋体" w:hint="default"/>
          <w:spacing w:val="-20"/>
        </w:rPr>
        <w:t> </w:t>
      </w:r>
      <w:r>
        <w:rPr/>
        <w:t>年股票期权激励计划的行权条件，预计</w:t>
      </w:r>
      <w:r>
        <w:rPr>
          <w:spacing w:val="-20"/>
        </w:rPr>
        <w:t> </w:t>
      </w:r>
      <w:r>
        <w:rPr>
          <w:rFonts w:ascii="宋体" w:hAnsi="宋体" w:cs="宋体" w:eastAsia="宋体" w:hint="default"/>
        </w:rPr>
        <w:t>2018</w:t>
      </w:r>
      <w:r>
        <w:rPr>
          <w:rFonts w:ascii="宋体" w:hAnsi="宋体" w:cs="宋体" w:eastAsia="宋体" w:hint="default"/>
          <w:spacing w:val="-20"/>
        </w:rPr>
        <w:t> </w:t>
      </w:r>
      <w:r>
        <w:rPr/>
        <w:t>年可行权期权份数为</w:t>
      </w:r>
      <w:r>
        <w:rPr>
          <w:spacing w:val="-18"/>
        </w:rPr>
        <w:t> </w:t>
      </w:r>
      <w:r>
        <w:rPr>
          <w:rFonts w:ascii="宋体" w:hAnsi="宋体" w:cs="宋体" w:eastAsia="宋体" w:hint="default"/>
        </w:rPr>
        <w:t>15,386,244</w:t>
      </w:r>
      <w:r>
        <w:rPr>
          <w:rFonts w:ascii="宋体" w:hAnsi="宋体" w:cs="宋体" w:eastAsia="宋体" w:hint="default"/>
          <w:w w:val="100"/>
        </w:rPr>
        <w:t> </w:t>
      </w:r>
      <w:r>
        <w:rPr/>
        <w:t>份。</w:t>
      </w:r>
    </w:p>
    <w:p>
      <w:pPr>
        <w:spacing w:line="240" w:lineRule="auto" w:before="5"/>
        <w:rPr>
          <w:rFonts w:ascii="宋体" w:hAnsi="宋体" w:cs="宋体" w:eastAsia="宋体" w:hint="default"/>
          <w:sz w:val="19"/>
          <w:szCs w:val="19"/>
        </w:rPr>
      </w:pPr>
    </w:p>
    <w:p>
      <w:pPr>
        <w:pStyle w:val="BodyText"/>
        <w:spacing w:line="460" w:lineRule="auto"/>
        <w:ind w:left="138" w:right="2854"/>
        <w:jc w:val="left"/>
      </w:pPr>
      <w:r>
        <w:rPr/>
        <w:t>股份支付计划二</w:t>
      </w:r>
      <w:r>
        <w:rPr>
          <w:spacing w:val="-103"/>
        </w:rPr>
        <w:t> </w:t>
      </w:r>
      <w:r>
        <w:rPr>
          <w:spacing w:val="-103"/>
        </w:rPr>
      </w:r>
      <w:r>
        <w:rPr>
          <w:spacing w:val="-2"/>
        </w:rPr>
        <w:t>该计划为本公司子公司畅捷通实行的股权激励计划。</w:t>
      </w:r>
    </w:p>
    <w:p>
      <w:pPr>
        <w:spacing w:after="0" w:line="460" w:lineRule="auto"/>
        <w:jc w:val="left"/>
        <w:sectPr>
          <w:pgSz w:w="11910" w:h="16840"/>
          <w:pgMar w:header="857" w:footer="1195" w:top="1280" w:bottom="1380" w:left="1660" w:right="1020"/>
        </w:sectPr>
      </w:pPr>
    </w:p>
    <w:p>
      <w:pPr>
        <w:spacing w:line="240" w:lineRule="auto" w:before="0"/>
        <w:rPr>
          <w:rFonts w:ascii="宋体" w:hAnsi="宋体" w:cs="宋体" w:eastAsia="宋体" w:hint="default"/>
          <w:sz w:val="20"/>
          <w:szCs w:val="20"/>
        </w:rPr>
      </w:pPr>
    </w:p>
    <w:p>
      <w:pPr>
        <w:pStyle w:val="BodyText"/>
        <w:spacing w:line="240" w:lineRule="auto" w:before="175"/>
        <w:ind w:left="138" w:right="0"/>
        <w:jc w:val="left"/>
      </w:pPr>
      <w:r>
        <w:rPr>
          <w:rFonts w:ascii="宋体" w:hAnsi="宋体" w:cs="宋体" w:eastAsia="宋体" w:hint="default"/>
        </w:rPr>
        <w:t>1.</w:t>
      </w:r>
      <w:r>
        <w:rPr/>
        <w:t>概况</w:t>
      </w:r>
    </w:p>
    <w:p>
      <w:pPr>
        <w:spacing w:line="240" w:lineRule="auto" w:before="6"/>
        <w:rPr>
          <w:rFonts w:ascii="宋体" w:hAnsi="宋体" w:cs="宋体" w:eastAsia="宋体" w:hint="default"/>
          <w:sz w:val="22"/>
          <w:szCs w:val="22"/>
        </w:rPr>
      </w:pPr>
    </w:p>
    <w:tbl>
      <w:tblPr>
        <w:tblW w:w="0" w:type="auto"/>
        <w:jc w:val="left"/>
        <w:tblInd w:w="494" w:type="dxa"/>
        <w:tblLayout w:type="fixed"/>
        <w:tblCellMar>
          <w:top w:w="0" w:type="dxa"/>
          <w:left w:w="0" w:type="dxa"/>
          <w:bottom w:w="0" w:type="dxa"/>
          <w:right w:w="0" w:type="dxa"/>
        </w:tblCellMar>
        <w:tblLook w:val="01E0"/>
      </w:tblPr>
      <w:tblGrid>
        <w:gridCol w:w="3078"/>
        <w:gridCol w:w="2449"/>
        <w:gridCol w:w="2269"/>
      </w:tblGrid>
      <w:tr>
        <w:trPr>
          <w:trHeight w:val="356" w:hRule="exact"/>
        </w:trPr>
        <w:tc>
          <w:tcPr>
            <w:tcW w:w="3078" w:type="dxa"/>
            <w:tcBorders>
              <w:top w:val="nil" w:sz="6" w:space="0" w:color="auto"/>
              <w:left w:val="nil" w:sz="6" w:space="0" w:color="auto"/>
              <w:bottom w:val="nil" w:sz="6" w:space="0" w:color="auto"/>
              <w:right w:val="nil" w:sz="6" w:space="0" w:color="auto"/>
            </w:tcBorders>
          </w:tcPr>
          <w:p>
            <w:pPr/>
          </w:p>
        </w:tc>
        <w:tc>
          <w:tcPr>
            <w:tcW w:w="2449" w:type="dxa"/>
            <w:tcBorders>
              <w:top w:val="nil" w:sz="6" w:space="0" w:color="auto"/>
              <w:left w:val="nil" w:sz="6" w:space="0" w:color="auto"/>
              <w:bottom w:val="nil" w:sz="6" w:space="0" w:color="auto"/>
              <w:right w:val="nil" w:sz="6" w:space="0" w:color="auto"/>
            </w:tcBorders>
          </w:tcPr>
          <w:p>
            <w:pPr>
              <w:pStyle w:val="TableParagraph"/>
              <w:spacing w:line="199" w:lineRule="exact"/>
              <w:ind w:left="482" w:right="0"/>
              <w:jc w:val="left"/>
              <w:rPr>
                <w:rFonts w:ascii="宋体" w:hAnsi="宋体" w:cs="宋体" w:eastAsia="宋体" w:hint="default"/>
                <w:sz w:val="20"/>
                <w:szCs w:val="20"/>
              </w:rPr>
            </w:pPr>
            <w:r>
              <w:rPr>
                <w:rFonts w:ascii="宋体" w:hAnsi="宋体" w:cs="宋体" w:eastAsia="宋体" w:hint="default"/>
                <w:sz w:val="20"/>
                <w:szCs w:val="20"/>
              </w:rPr>
              <w:t>2017</w:t>
            </w:r>
            <w:r>
              <w:rPr>
                <w:rFonts w:ascii="宋体" w:hAnsi="宋体" w:cs="宋体" w:eastAsia="宋体" w:hint="default"/>
                <w:sz w:val="20"/>
                <w:szCs w:val="20"/>
              </w:rPr>
              <w:t>年</w:t>
            </w:r>
          </w:p>
        </w:tc>
        <w:tc>
          <w:tcPr>
            <w:tcW w:w="2269" w:type="dxa"/>
            <w:tcBorders>
              <w:top w:val="nil" w:sz="6" w:space="0" w:color="auto"/>
              <w:left w:val="nil" w:sz="6" w:space="0" w:color="auto"/>
              <w:bottom w:val="nil" w:sz="6" w:space="0" w:color="auto"/>
              <w:right w:val="nil" w:sz="6" w:space="0" w:color="auto"/>
            </w:tcBorders>
          </w:tcPr>
          <w:p>
            <w:pPr>
              <w:pStyle w:val="TableParagraph"/>
              <w:spacing w:line="199" w:lineRule="exact"/>
              <w:ind w:left="1171" w:right="0"/>
              <w:jc w:val="left"/>
              <w:rPr>
                <w:rFonts w:ascii="宋体" w:hAnsi="宋体" w:cs="宋体" w:eastAsia="宋体" w:hint="default"/>
                <w:sz w:val="20"/>
                <w:szCs w:val="20"/>
              </w:rPr>
            </w:pPr>
            <w:r>
              <w:rPr>
                <w:rFonts w:ascii="宋体" w:hAnsi="宋体" w:cs="宋体" w:eastAsia="宋体" w:hint="default"/>
                <w:sz w:val="20"/>
                <w:szCs w:val="20"/>
              </w:rPr>
              <w:t>2016</w:t>
            </w:r>
            <w:r>
              <w:rPr>
                <w:rFonts w:ascii="宋体" w:hAnsi="宋体" w:cs="宋体" w:eastAsia="宋体" w:hint="default"/>
                <w:sz w:val="20"/>
                <w:szCs w:val="20"/>
              </w:rPr>
              <w:t>年</w:t>
            </w:r>
          </w:p>
        </w:tc>
      </w:tr>
      <w:tr>
        <w:trPr>
          <w:trHeight w:val="391" w:hRule="exact"/>
        </w:trPr>
        <w:tc>
          <w:tcPr>
            <w:tcW w:w="3078"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200" w:right="0"/>
              <w:jc w:val="left"/>
              <w:rPr>
                <w:rFonts w:ascii="宋体" w:hAnsi="宋体" w:cs="宋体" w:eastAsia="宋体" w:hint="default"/>
                <w:sz w:val="20"/>
                <w:szCs w:val="20"/>
              </w:rPr>
            </w:pPr>
            <w:r>
              <w:rPr>
                <w:rFonts w:ascii="宋体" w:hAnsi="宋体" w:cs="宋体" w:eastAsia="宋体" w:hint="default"/>
                <w:sz w:val="20"/>
                <w:szCs w:val="20"/>
              </w:rPr>
              <w:t>授予的权益工具总额</w:t>
            </w:r>
            <w:r>
              <w:rPr>
                <w:rFonts w:ascii="宋体" w:hAnsi="宋体" w:cs="宋体" w:eastAsia="宋体" w:hint="default"/>
                <w:sz w:val="20"/>
                <w:szCs w:val="20"/>
              </w:rPr>
              <w:t>(</w:t>
            </w:r>
            <w:r>
              <w:rPr>
                <w:rFonts w:ascii="宋体" w:hAnsi="宋体" w:cs="宋体" w:eastAsia="宋体" w:hint="default"/>
                <w:sz w:val="20"/>
                <w:szCs w:val="20"/>
              </w:rPr>
              <w:t>股数</w:t>
            </w:r>
            <w:r>
              <w:rPr>
                <w:rFonts w:ascii="宋体" w:hAnsi="宋体" w:cs="宋体" w:eastAsia="宋体" w:hint="default"/>
                <w:sz w:val="20"/>
                <w:szCs w:val="20"/>
              </w:rPr>
              <w:t>)</w:t>
            </w:r>
          </w:p>
        </w:tc>
        <w:tc>
          <w:tcPr>
            <w:tcW w:w="2449" w:type="dxa"/>
            <w:tcBorders>
              <w:top w:val="nil" w:sz="6" w:space="0" w:color="auto"/>
              <w:left w:val="nil" w:sz="6" w:space="0" w:color="auto"/>
              <w:bottom w:val="nil" w:sz="6" w:space="0" w:color="auto"/>
              <w:right w:val="nil" w:sz="6" w:space="0" w:color="auto"/>
            </w:tcBorders>
          </w:tcPr>
          <w:p>
            <w:pPr>
              <w:pStyle w:val="TableParagraph"/>
              <w:spacing w:line="240" w:lineRule="auto" w:before="94"/>
              <w:ind w:left="480" w:right="0"/>
              <w:jc w:val="left"/>
              <w:rPr>
                <w:rFonts w:ascii="宋体" w:hAnsi="宋体" w:cs="宋体" w:eastAsia="宋体" w:hint="default"/>
                <w:sz w:val="20"/>
                <w:szCs w:val="20"/>
              </w:rPr>
            </w:pPr>
            <w:r>
              <w:rPr>
                <w:rFonts w:ascii="宋体"/>
                <w:sz w:val="20"/>
              </w:rPr>
              <w:t>4,071,000</w:t>
            </w:r>
          </w:p>
        </w:tc>
        <w:tc>
          <w:tcPr>
            <w:tcW w:w="2269"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298"/>
              <w:jc w:val="right"/>
              <w:rPr>
                <w:rFonts w:ascii="宋体" w:hAnsi="宋体" w:cs="宋体" w:eastAsia="宋体" w:hint="default"/>
                <w:sz w:val="20"/>
                <w:szCs w:val="20"/>
              </w:rPr>
            </w:pPr>
            <w:r>
              <w:rPr>
                <w:rFonts w:ascii="宋体"/>
                <w:w w:val="95"/>
                <w:sz w:val="20"/>
              </w:rPr>
              <w:t>4,205,000</w:t>
            </w:r>
            <w:r>
              <w:rPr>
                <w:rFonts w:ascii="宋体"/>
                <w:sz w:val="20"/>
              </w:rPr>
            </w:r>
          </w:p>
        </w:tc>
      </w:tr>
      <w:tr>
        <w:trPr>
          <w:trHeight w:val="252" w:hRule="exact"/>
        </w:trPr>
        <w:tc>
          <w:tcPr>
            <w:tcW w:w="3078" w:type="dxa"/>
            <w:tcBorders>
              <w:top w:val="nil" w:sz="6" w:space="0" w:color="auto"/>
              <w:left w:val="nil" w:sz="6" w:space="0" w:color="auto"/>
              <w:bottom w:val="nil" w:sz="6" w:space="0" w:color="auto"/>
              <w:right w:val="nil" w:sz="6" w:space="0" w:color="auto"/>
            </w:tcBorders>
          </w:tcPr>
          <w:p>
            <w:pPr>
              <w:pStyle w:val="TableParagraph"/>
              <w:spacing w:line="234" w:lineRule="exact"/>
              <w:ind w:left="200" w:right="0"/>
              <w:jc w:val="left"/>
              <w:rPr>
                <w:rFonts w:ascii="宋体" w:hAnsi="宋体" w:cs="宋体" w:eastAsia="宋体" w:hint="default"/>
                <w:sz w:val="20"/>
                <w:szCs w:val="20"/>
              </w:rPr>
            </w:pPr>
            <w:r>
              <w:rPr>
                <w:rFonts w:ascii="宋体" w:hAnsi="宋体" w:cs="宋体" w:eastAsia="宋体" w:hint="default"/>
                <w:sz w:val="20"/>
                <w:szCs w:val="20"/>
              </w:rPr>
              <w:t>解锁的权益工具总额</w:t>
            </w:r>
            <w:r>
              <w:rPr>
                <w:rFonts w:ascii="宋体" w:hAnsi="宋体" w:cs="宋体" w:eastAsia="宋体" w:hint="default"/>
                <w:sz w:val="20"/>
                <w:szCs w:val="20"/>
              </w:rPr>
              <w:t>(</w:t>
            </w:r>
            <w:r>
              <w:rPr>
                <w:rFonts w:ascii="宋体" w:hAnsi="宋体" w:cs="宋体" w:eastAsia="宋体" w:hint="default"/>
                <w:sz w:val="20"/>
                <w:szCs w:val="20"/>
              </w:rPr>
              <w:t>股数</w:t>
            </w:r>
            <w:r>
              <w:rPr>
                <w:rFonts w:ascii="宋体" w:hAnsi="宋体" w:cs="宋体" w:eastAsia="宋体" w:hint="default"/>
                <w:sz w:val="20"/>
                <w:szCs w:val="20"/>
              </w:rPr>
              <w:t>)</w:t>
            </w:r>
          </w:p>
        </w:tc>
        <w:tc>
          <w:tcPr>
            <w:tcW w:w="2449" w:type="dxa"/>
            <w:tcBorders>
              <w:top w:val="nil" w:sz="6" w:space="0" w:color="auto"/>
              <w:left w:val="nil" w:sz="6" w:space="0" w:color="auto"/>
              <w:bottom w:val="nil" w:sz="6" w:space="0" w:color="auto"/>
              <w:right w:val="nil" w:sz="6" w:space="0" w:color="auto"/>
            </w:tcBorders>
          </w:tcPr>
          <w:p>
            <w:pPr>
              <w:pStyle w:val="TableParagraph"/>
              <w:spacing w:line="217" w:lineRule="exact"/>
              <w:ind w:left="480" w:right="0"/>
              <w:jc w:val="left"/>
              <w:rPr>
                <w:rFonts w:ascii="宋体" w:hAnsi="宋体" w:cs="宋体" w:eastAsia="宋体" w:hint="default"/>
                <w:sz w:val="20"/>
                <w:szCs w:val="20"/>
              </w:rPr>
            </w:pPr>
            <w:r>
              <w:rPr>
                <w:rFonts w:ascii="宋体"/>
                <w:sz w:val="20"/>
              </w:rPr>
              <w:t>4,288,500</w:t>
            </w:r>
          </w:p>
        </w:tc>
        <w:tc>
          <w:tcPr>
            <w:tcW w:w="2269" w:type="dxa"/>
            <w:tcBorders>
              <w:top w:val="nil" w:sz="6" w:space="0" w:color="auto"/>
              <w:left w:val="nil" w:sz="6" w:space="0" w:color="auto"/>
              <w:bottom w:val="nil" w:sz="6" w:space="0" w:color="auto"/>
              <w:right w:val="nil" w:sz="6" w:space="0" w:color="auto"/>
            </w:tcBorders>
          </w:tcPr>
          <w:p>
            <w:pPr>
              <w:pStyle w:val="TableParagraph"/>
              <w:spacing w:line="217" w:lineRule="exact"/>
              <w:ind w:right="198"/>
              <w:jc w:val="right"/>
              <w:rPr>
                <w:rFonts w:ascii="宋体" w:hAnsi="宋体" w:cs="宋体" w:eastAsia="宋体" w:hint="default"/>
                <w:sz w:val="20"/>
                <w:szCs w:val="20"/>
              </w:rPr>
            </w:pPr>
            <w:r>
              <w:rPr>
                <w:rFonts w:ascii="宋体"/>
                <w:w w:val="95"/>
                <w:sz w:val="20"/>
              </w:rPr>
              <w:t>5,011,500</w:t>
            </w:r>
            <w:r>
              <w:rPr>
                <w:rFonts w:ascii="宋体"/>
                <w:sz w:val="20"/>
              </w:rPr>
            </w:r>
          </w:p>
        </w:tc>
      </w:tr>
      <w:tr>
        <w:trPr>
          <w:trHeight w:val="234" w:hRule="exact"/>
        </w:trPr>
        <w:tc>
          <w:tcPr>
            <w:tcW w:w="3078" w:type="dxa"/>
            <w:tcBorders>
              <w:top w:val="nil" w:sz="6" w:space="0" w:color="auto"/>
              <w:left w:val="nil" w:sz="6" w:space="0" w:color="auto"/>
              <w:bottom w:val="nil" w:sz="6" w:space="0" w:color="auto"/>
              <w:right w:val="nil" w:sz="6" w:space="0" w:color="auto"/>
            </w:tcBorders>
          </w:tcPr>
          <w:p>
            <w:pPr>
              <w:pStyle w:val="TableParagraph"/>
              <w:spacing w:line="234" w:lineRule="exact"/>
              <w:ind w:left="200" w:right="0"/>
              <w:jc w:val="left"/>
              <w:rPr>
                <w:rFonts w:ascii="宋体" w:hAnsi="宋体" w:cs="宋体" w:eastAsia="宋体" w:hint="default"/>
                <w:sz w:val="20"/>
                <w:szCs w:val="20"/>
              </w:rPr>
            </w:pPr>
            <w:r>
              <w:rPr>
                <w:rFonts w:ascii="宋体" w:hAnsi="宋体" w:cs="宋体" w:eastAsia="宋体" w:hint="default"/>
                <w:sz w:val="20"/>
                <w:szCs w:val="20"/>
              </w:rPr>
              <w:t>失效的权益工具总额</w:t>
            </w:r>
            <w:r>
              <w:rPr>
                <w:rFonts w:ascii="宋体" w:hAnsi="宋体" w:cs="宋体" w:eastAsia="宋体" w:hint="default"/>
                <w:sz w:val="20"/>
                <w:szCs w:val="20"/>
              </w:rPr>
              <w:t>(</w:t>
            </w:r>
            <w:r>
              <w:rPr>
                <w:rFonts w:ascii="宋体" w:hAnsi="宋体" w:cs="宋体" w:eastAsia="宋体" w:hint="default"/>
                <w:sz w:val="20"/>
                <w:szCs w:val="20"/>
              </w:rPr>
              <w:t>股数</w:t>
            </w:r>
            <w:r>
              <w:rPr>
                <w:rFonts w:ascii="宋体" w:hAnsi="宋体" w:cs="宋体" w:eastAsia="宋体" w:hint="default"/>
                <w:sz w:val="20"/>
                <w:szCs w:val="20"/>
              </w:rPr>
              <w:t>)</w:t>
            </w:r>
          </w:p>
        </w:tc>
        <w:tc>
          <w:tcPr>
            <w:tcW w:w="2449" w:type="dxa"/>
            <w:tcBorders>
              <w:top w:val="nil" w:sz="6" w:space="0" w:color="auto"/>
              <w:left w:val="nil" w:sz="6" w:space="0" w:color="auto"/>
              <w:bottom w:val="nil" w:sz="6" w:space="0" w:color="auto"/>
              <w:right w:val="nil" w:sz="6" w:space="0" w:color="auto"/>
            </w:tcBorders>
          </w:tcPr>
          <w:p>
            <w:pPr>
              <w:pStyle w:val="TableParagraph"/>
              <w:spacing w:line="217" w:lineRule="exact"/>
              <w:ind w:left="480" w:right="0"/>
              <w:jc w:val="left"/>
              <w:rPr>
                <w:rFonts w:ascii="宋体" w:hAnsi="宋体" w:cs="宋体" w:eastAsia="宋体" w:hint="default"/>
                <w:sz w:val="20"/>
                <w:szCs w:val="20"/>
              </w:rPr>
            </w:pPr>
            <w:r>
              <w:rPr>
                <w:rFonts w:ascii="宋体"/>
                <w:sz w:val="20"/>
              </w:rPr>
              <w:t>4,215,000</w:t>
            </w:r>
          </w:p>
        </w:tc>
        <w:tc>
          <w:tcPr>
            <w:tcW w:w="2269" w:type="dxa"/>
            <w:tcBorders>
              <w:top w:val="nil" w:sz="6" w:space="0" w:color="auto"/>
              <w:left w:val="nil" w:sz="6" w:space="0" w:color="auto"/>
              <w:bottom w:val="nil" w:sz="6" w:space="0" w:color="auto"/>
              <w:right w:val="nil" w:sz="6" w:space="0" w:color="auto"/>
            </w:tcBorders>
          </w:tcPr>
          <w:p>
            <w:pPr>
              <w:pStyle w:val="TableParagraph"/>
              <w:spacing w:line="217" w:lineRule="exact"/>
              <w:ind w:right="298"/>
              <w:jc w:val="right"/>
              <w:rPr>
                <w:rFonts w:ascii="宋体" w:hAnsi="宋体" w:cs="宋体" w:eastAsia="宋体" w:hint="default"/>
                <w:sz w:val="20"/>
                <w:szCs w:val="20"/>
              </w:rPr>
            </w:pPr>
            <w:r>
              <w:rPr>
                <w:rFonts w:ascii="宋体"/>
                <w:w w:val="95"/>
                <w:sz w:val="20"/>
              </w:rPr>
              <w:t>1,649,000</w:t>
            </w:r>
            <w:r>
              <w:rPr>
                <w:rFonts w:ascii="宋体"/>
                <w:sz w:val="20"/>
              </w:rPr>
            </w:r>
          </w:p>
        </w:tc>
      </w:tr>
    </w:tbl>
    <w:p>
      <w:pPr>
        <w:spacing w:line="240" w:lineRule="auto" w:before="1"/>
        <w:rPr>
          <w:rFonts w:ascii="宋体" w:hAnsi="宋体" w:cs="宋体" w:eastAsia="宋体" w:hint="default"/>
          <w:sz w:val="23"/>
          <w:szCs w:val="23"/>
        </w:rPr>
      </w:pPr>
    </w:p>
    <w:tbl>
      <w:tblPr>
        <w:tblW w:w="0" w:type="auto"/>
        <w:jc w:val="left"/>
        <w:tblInd w:w="494" w:type="dxa"/>
        <w:tblLayout w:type="fixed"/>
        <w:tblCellMar>
          <w:top w:w="0" w:type="dxa"/>
          <w:left w:w="0" w:type="dxa"/>
          <w:bottom w:w="0" w:type="dxa"/>
          <w:right w:w="0" w:type="dxa"/>
        </w:tblCellMar>
        <w:tblLook w:val="01E0"/>
      </w:tblPr>
      <w:tblGrid>
        <w:gridCol w:w="3301"/>
        <w:gridCol w:w="2299"/>
        <w:gridCol w:w="2294"/>
      </w:tblGrid>
      <w:tr>
        <w:trPr>
          <w:trHeight w:val="343" w:hRule="exact"/>
        </w:trPr>
        <w:tc>
          <w:tcPr>
            <w:tcW w:w="3301" w:type="dxa"/>
            <w:tcBorders>
              <w:top w:val="nil" w:sz="6" w:space="0" w:color="auto"/>
              <w:left w:val="nil" w:sz="6" w:space="0" w:color="auto"/>
              <w:bottom w:val="nil" w:sz="6" w:space="0" w:color="auto"/>
              <w:right w:val="nil" w:sz="6" w:space="0" w:color="auto"/>
            </w:tcBorders>
          </w:tcPr>
          <w:p>
            <w:pPr/>
          </w:p>
        </w:tc>
        <w:tc>
          <w:tcPr>
            <w:tcW w:w="2299" w:type="dxa"/>
            <w:tcBorders>
              <w:top w:val="nil" w:sz="6" w:space="0" w:color="auto"/>
              <w:left w:val="nil" w:sz="6" w:space="0" w:color="auto"/>
              <w:bottom w:val="nil" w:sz="6" w:space="0" w:color="auto"/>
              <w:right w:val="nil" w:sz="6" w:space="0" w:color="auto"/>
            </w:tcBorders>
          </w:tcPr>
          <w:p>
            <w:pPr>
              <w:pStyle w:val="TableParagraph"/>
              <w:spacing w:line="199" w:lineRule="exact"/>
              <w:ind w:left="303" w:right="0"/>
              <w:jc w:val="left"/>
              <w:rPr>
                <w:rFonts w:ascii="宋体" w:hAnsi="宋体" w:cs="宋体" w:eastAsia="宋体" w:hint="default"/>
                <w:sz w:val="20"/>
                <w:szCs w:val="20"/>
              </w:rPr>
            </w:pPr>
            <w:r>
              <w:rPr>
                <w:rFonts w:ascii="宋体" w:hAnsi="宋体" w:cs="宋体" w:eastAsia="宋体" w:hint="default"/>
                <w:sz w:val="20"/>
                <w:szCs w:val="20"/>
              </w:rPr>
              <w:t>2017</w:t>
            </w:r>
            <w:r>
              <w:rPr>
                <w:rFonts w:ascii="宋体" w:hAnsi="宋体" w:cs="宋体" w:eastAsia="宋体" w:hint="default"/>
                <w:spacing w:val="-49"/>
                <w:sz w:val="20"/>
                <w:szCs w:val="20"/>
              </w:rPr>
              <w:t> </w:t>
            </w:r>
            <w:r>
              <w:rPr>
                <w:rFonts w:ascii="宋体" w:hAnsi="宋体" w:cs="宋体" w:eastAsia="宋体" w:hint="default"/>
                <w:sz w:val="20"/>
                <w:szCs w:val="20"/>
              </w:rPr>
              <w:t>年</w:t>
            </w:r>
          </w:p>
        </w:tc>
        <w:tc>
          <w:tcPr>
            <w:tcW w:w="2294" w:type="dxa"/>
            <w:tcBorders>
              <w:top w:val="nil" w:sz="6" w:space="0" w:color="auto"/>
              <w:left w:val="nil" w:sz="6" w:space="0" w:color="auto"/>
              <w:bottom w:val="nil" w:sz="6" w:space="0" w:color="auto"/>
              <w:right w:val="nil" w:sz="6" w:space="0" w:color="auto"/>
            </w:tcBorders>
          </w:tcPr>
          <w:p>
            <w:pPr>
              <w:pStyle w:val="TableParagraph"/>
              <w:spacing w:line="199" w:lineRule="exact"/>
              <w:ind w:left="1095" w:right="0"/>
              <w:jc w:val="left"/>
              <w:rPr>
                <w:rFonts w:ascii="宋体" w:hAnsi="宋体" w:cs="宋体" w:eastAsia="宋体" w:hint="default"/>
                <w:sz w:val="20"/>
                <w:szCs w:val="20"/>
              </w:rPr>
            </w:pPr>
            <w:r>
              <w:rPr>
                <w:rFonts w:ascii="宋体" w:hAnsi="宋体" w:cs="宋体" w:eastAsia="宋体" w:hint="default"/>
                <w:sz w:val="20"/>
                <w:szCs w:val="20"/>
              </w:rPr>
              <w:t>2016</w:t>
            </w:r>
            <w:r>
              <w:rPr>
                <w:rFonts w:ascii="宋体" w:hAnsi="宋体" w:cs="宋体" w:eastAsia="宋体" w:hint="default"/>
                <w:spacing w:val="-51"/>
                <w:sz w:val="20"/>
                <w:szCs w:val="20"/>
              </w:rPr>
              <w:t> </w:t>
            </w:r>
            <w:r>
              <w:rPr>
                <w:rFonts w:ascii="宋体" w:hAnsi="宋体" w:cs="宋体" w:eastAsia="宋体" w:hint="default"/>
                <w:sz w:val="20"/>
                <w:szCs w:val="20"/>
              </w:rPr>
              <w:t>年</w:t>
            </w:r>
          </w:p>
        </w:tc>
      </w:tr>
      <w:tr>
        <w:trPr>
          <w:trHeight w:val="360" w:hRule="exact"/>
        </w:trPr>
        <w:tc>
          <w:tcPr>
            <w:tcW w:w="3301" w:type="dxa"/>
            <w:tcBorders>
              <w:top w:val="nil" w:sz="6" w:space="0" w:color="auto"/>
              <w:left w:val="nil" w:sz="6" w:space="0" w:color="auto"/>
              <w:bottom w:val="nil" w:sz="6" w:space="0" w:color="auto"/>
              <w:right w:val="nil" w:sz="6" w:space="0" w:color="auto"/>
            </w:tcBorders>
          </w:tcPr>
          <w:p>
            <w:pPr>
              <w:pStyle w:val="TableParagraph"/>
              <w:spacing w:line="240" w:lineRule="auto" w:before="98"/>
              <w:ind w:left="200" w:right="0"/>
              <w:jc w:val="left"/>
              <w:rPr>
                <w:rFonts w:ascii="宋体" w:hAnsi="宋体" w:cs="宋体" w:eastAsia="宋体" w:hint="default"/>
                <w:sz w:val="20"/>
                <w:szCs w:val="20"/>
              </w:rPr>
            </w:pPr>
            <w:r>
              <w:rPr>
                <w:rFonts w:ascii="宋体" w:hAnsi="宋体" w:cs="宋体" w:eastAsia="宋体" w:hint="default"/>
                <w:sz w:val="20"/>
                <w:szCs w:val="20"/>
              </w:rPr>
              <w:t>以股份支付换取的职工服务总额</w:t>
            </w: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03" w:right="0"/>
              <w:jc w:val="left"/>
              <w:rPr>
                <w:rFonts w:ascii="宋体" w:hAnsi="宋体" w:cs="宋体" w:eastAsia="宋体" w:hint="default"/>
                <w:sz w:val="20"/>
                <w:szCs w:val="20"/>
              </w:rPr>
            </w:pPr>
            <w:r>
              <w:rPr>
                <w:rFonts w:ascii="宋体"/>
                <w:w w:val="99"/>
                <w:sz w:val="20"/>
              </w:rPr>
            </w:r>
            <w:r>
              <w:rPr>
                <w:rFonts w:ascii="宋体"/>
                <w:sz w:val="20"/>
                <w:u w:val="thick" w:color="000000"/>
              </w:rPr>
              <w:t>62,443,886</w:t>
            </w:r>
            <w:r>
              <w:rPr>
                <w:rFonts w:ascii="宋体"/>
                <w:sz w:val="20"/>
              </w:rPr>
            </w:r>
          </w:p>
        </w:tc>
        <w:tc>
          <w:tcPr>
            <w:tcW w:w="2294" w:type="dxa"/>
            <w:tcBorders>
              <w:top w:val="nil" w:sz="6" w:space="0" w:color="auto"/>
              <w:left w:val="nil" w:sz="6" w:space="0" w:color="auto"/>
              <w:bottom w:val="nil" w:sz="6" w:space="0" w:color="auto"/>
              <w:right w:val="nil" w:sz="6" w:space="0" w:color="auto"/>
            </w:tcBorders>
          </w:tcPr>
          <w:p>
            <w:pPr>
              <w:pStyle w:val="TableParagraph"/>
              <w:spacing w:line="240" w:lineRule="auto" w:before="81"/>
              <w:ind w:left="995" w:right="0"/>
              <w:jc w:val="left"/>
              <w:rPr>
                <w:rFonts w:ascii="宋体" w:hAnsi="宋体" w:cs="宋体" w:eastAsia="宋体" w:hint="default"/>
                <w:sz w:val="20"/>
                <w:szCs w:val="20"/>
              </w:rPr>
            </w:pPr>
            <w:r>
              <w:rPr>
                <w:rFonts w:ascii="宋体"/>
                <w:w w:val="99"/>
                <w:sz w:val="20"/>
              </w:rPr>
            </w:r>
            <w:r>
              <w:rPr>
                <w:rFonts w:ascii="宋体"/>
                <w:sz w:val="20"/>
                <w:u w:val="thick" w:color="000000"/>
              </w:rPr>
              <w:t>132,556,585</w:t>
            </w:r>
            <w:r>
              <w:rPr>
                <w:rFonts w:ascii="宋体"/>
                <w:sz w:val="20"/>
              </w:rPr>
            </w:r>
          </w:p>
        </w:tc>
      </w:tr>
    </w:tbl>
    <w:p>
      <w:pPr>
        <w:spacing w:line="240" w:lineRule="auto" w:before="6"/>
        <w:rPr>
          <w:rFonts w:ascii="宋体" w:hAnsi="宋体" w:cs="宋体" w:eastAsia="宋体" w:hint="default"/>
          <w:sz w:val="15"/>
          <w:szCs w:val="15"/>
        </w:rPr>
      </w:pPr>
    </w:p>
    <w:p>
      <w:pPr>
        <w:pStyle w:val="BodyText"/>
        <w:spacing w:line="240" w:lineRule="auto" w:before="36"/>
        <w:ind w:left="138" w:right="0"/>
        <w:jc w:val="left"/>
      </w:pPr>
      <w:r>
        <w:rPr/>
        <w:t>其中，以权益结算的股份支付如下：</w:t>
      </w:r>
    </w:p>
    <w:p>
      <w:pPr>
        <w:spacing w:line="240" w:lineRule="auto" w:before="3"/>
        <w:rPr>
          <w:rFonts w:ascii="宋体" w:hAnsi="宋体" w:cs="宋体" w:eastAsia="宋体" w:hint="default"/>
          <w:sz w:val="25"/>
          <w:szCs w:val="25"/>
        </w:rPr>
      </w:pPr>
    </w:p>
    <w:tbl>
      <w:tblPr>
        <w:tblW w:w="0" w:type="auto"/>
        <w:jc w:val="left"/>
        <w:tblInd w:w="533" w:type="dxa"/>
        <w:tblLayout w:type="fixed"/>
        <w:tblCellMar>
          <w:top w:w="0" w:type="dxa"/>
          <w:left w:w="0" w:type="dxa"/>
          <w:bottom w:w="0" w:type="dxa"/>
          <w:right w:w="0" w:type="dxa"/>
        </w:tblCellMar>
        <w:tblLook w:val="01E0"/>
      </w:tblPr>
      <w:tblGrid>
        <w:gridCol w:w="4690"/>
        <w:gridCol w:w="1630"/>
        <w:gridCol w:w="1535"/>
      </w:tblGrid>
      <w:tr>
        <w:trPr>
          <w:trHeight w:val="352" w:hRule="exact"/>
        </w:trPr>
        <w:tc>
          <w:tcPr>
            <w:tcW w:w="4690"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Style w:val="TableParagraph"/>
              <w:spacing w:line="199" w:lineRule="exact"/>
              <w:ind w:left="293" w:right="0"/>
              <w:jc w:val="left"/>
              <w:rPr>
                <w:rFonts w:ascii="宋体" w:hAnsi="宋体" w:cs="宋体" w:eastAsia="宋体" w:hint="default"/>
                <w:sz w:val="20"/>
                <w:szCs w:val="20"/>
              </w:rPr>
            </w:pPr>
            <w:r>
              <w:rPr>
                <w:rFonts w:ascii="宋体" w:hAnsi="宋体" w:cs="宋体" w:eastAsia="宋体" w:hint="default"/>
                <w:sz w:val="20"/>
                <w:szCs w:val="20"/>
              </w:rPr>
              <w:t>2017</w:t>
            </w:r>
            <w:r>
              <w:rPr>
                <w:rFonts w:ascii="宋体" w:hAnsi="宋体" w:cs="宋体" w:eastAsia="宋体" w:hint="default"/>
                <w:spacing w:val="-49"/>
                <w:sz w:val="20"/>
                <w:szCs w:val="20"/>
              </w:rPr>
              <w:t> </w:t>
            </w:r>
            <w:r>
              <w:rPr>
                <w:rFonts w:ascii="宋体" w:hAnsi="宋体" w:cs="宋体" w:eastAsia="宋体" w:hint="default"/>
                <w:sz w:val="20"/>
                <w:szCs w:val="20"/>
              </w:rPr>
              <w:t>年</w:t>
            </w:r>
          </w:p>
        </w:tc>
        <w:tc>
          <w:tcPr>
            <w:tcW w:w="1535" w:type="dxa"/>
            <w:tcBorders>
              <w:top w:val="nil" w:sz="6" w:space="0" w:color="auto"/>
              <w:left w:val="nil" w:sz="6" w:space="0" w:color="auto"/>
              <w:bottom w:val="nil" w:sz="6" w:space="0" w:color="auto"/>
              <w:right w:val="nil" w:sz="6" w:space="0" w:color="auto"/>
            </w:tcBorders>
          </w:tcPr>
          <w:p>
            <w:pPr>
              <w:pStyle w:val="TableParagraph"/>
              <w:spacing w:line="199" w:lineRule="exact"/>
              <w:ind w:left="337" w:right="0"/>
              <w:jc w:val="left"/>
              <w:rPr>
                <w:rFonts w:ascii="宋体" w:hAnsi="宋体" w:cs="宋体" w:eastAsia="宋体" w:hint="default"/>
                <w:sz w:val="20"/>
                <w:szCs w:val="20"/>
              </w:rPr>
            </w:pPr>
            <w:r>
              <w:rPr>
                <w:rFonts w:ascii="宋体" w:hAnsi="宋体" w:cs="宋体" w:eastAsia="宋体" w:hint="default"/>
                <w:sz w:val="20"/>
                <w:szCs w:val="20"/>
              </w:rPr>
              <w:t>2016</w:t>
            </w:r>
            <w:r>
              <w:rPr>
                <w:rFonts w:ascii="宋体" w:hAnsi="宋体" w:cs="宋体" w:eastAsia="宋体" w:hint="default"/>
                <w:spacing w:val="-51"/>
                <w:sz w:val="20"/>
                <w:szCs w:val="20"/>
              </w:rPr>
              <w:t> </w:t>
            </w:r>
            <w:r>
              <w:rPr>
                <w:rFonts w:ascii="宋体" w:hAnsi="宋体" w:cs="宋体" w:eastAsia="宋体" w:hint="default"/>
                <w:sz w:val="20"/>
                <w:szCs w:val="20"/>
              </w:rPr>
              <w:t>年</w:t>
            </w:r>
          </w:p>
        </w:tc>
      </w:tr>
      <w:tr>
        <w:trPr>
          <w:trHeight w:val="378" w:hRule="exact"/>
        </w:trPr>
        <w:tc>
          <w:tcPr>
            <w:tcW w:w="4690" w:type="dxa"/>
            <w:tcBorders>
              <w:top w:val="nil" w:sz="6" w:space="0" w:color="auto"/>
              <w:left w:val="nil" w:sz="6" w:space="0" w:color="auto"/>
              <w:bottom w:val="nil" w:sz="6" w:space="0" w:color="auto"/>
              <w:right w:val="nil" w:sz="6" w:space="0" w:color="auto"/>
            </w:tcBorders>
          </w:tcPr>
          <w:p>
            <w:pPr>
              <w:pStyle w:val="TableParagraph"/>
              <w:spacing w:line="240" w:lineRule="auto" w:before="90"/>
              <w:ind w:left="200" w:right="0"/>
              <w:jc w:val="left"/>
              <w:rPr>
                <w:rFonts w:ascii="宋体" w:hAnsi="宋体" w:cs="宋体" w:eastAsia="宋体" w:hint="default"/>
                <w:sz w:val="20"/>
                <w:szCs w:val="20"/>
              </w:rPr>
            </w:pPr>
            <w:r>
              <w:rPr>
                <w:rFonts w:ascii="宋体" w:hAnsi="宋体" w:cs="宋体" w:eastAsia="宋体" w:hint="default"/>
                <w:sz w:val="20"/>
                <w:szCs w:val="20"/>
              </w:rPr>
              <w:t>以权益结算的股份支付计入资本公积的累积金额</w:t>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234"/>
              <w:jc w:val="right"/>
              <w:rPr>
                <w:rFonts w:ascii="宋体" w:hAnsi="宋体" w:cs="宋体" w:eastAsia="宋体" w:hint="default"/>
                <w:sz w:val="20"/>
                <w:szCs w:val="20"/>
              </w:rPr>
            </w:pPr>
            <w:r>
              <w:rPr>
                <w:rFonts w:ascii="宋体"/>
                <w:w w:val="95"/>
                <w:sz w:val="20"/>
              </w:rPr>
              <w:t>321,985,134</w:t>
            </w:r>
            <w:r>
              <w:rPr>
                <w:rFonts w:ascii="宋体"/>
                <w:sz w:val="20"/>
              </w:rPr>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0"/>
              <w:ind w:left="236" w:right="0"/>
              <w:jc w:val="left"/>
              <w:rPr>
                <w:rFonts w:ascii="宋体" w:hAnsi="宋体" w:cs="宋体" w:eastAsia="宋体" w:hint="default"/>
                <w:sz w:val="20"/>
                <w:szCs w:val="20"/>
              </w:rPr>
            </w:pPr>
            <w:r>
              <w:rPr>
                <w:rFonts w:ascii="宋体"/>
                <w:sz w:val="20"/>
              </w:rPr>
              <w:t>259,541,248</w:t>
            </w:r>
          </w:p>
        </w:tc>
      </w:tr>
      <w:tr>
        <w:trPr>
          <w:trHeight w:val="226" w:hRule="exact"/>
        </w:trPr>
        <w:tc>
          <w:tcPr>
            <w:tcW w:w="4690" w:type="dxa"/>
            <w:tcBorders>
              <w:top w:val="nil" w:sz="6" w:space="0" w:color="auto"/>
              <w:left w:val="nil" w:sz="6" w:space="0" w:color="auto"/>
              <w:bottom w:val="nil" w:sz="6" w:space="0" w:color="auto"/>
              <w:right w:val="nil" w:sz="6" w:space="0" w:color="auto"/>
            </w:tcBorders>
          </w:tcPr>
          <w:p>
            <w:pPr>
              <w:pStyle w:val="TableParagraph"/>
              <w:spacing w:line="226" w:lineRule="exact"/>
              <w:ind w:left="202" w:right="0"/>
              <w:jc w:val="left"/>
              <w:rPr>
                <w:rFonts w:ascii="宋体" w:hAnsi="宋体" w:cs="宋体" w:eastAsia="宋体" w:hint="default"/>
                <w:sz w:val="20"/>
                <w:szCs w:val="20"/>
              </w:rPr>
            </w:pPr>
            <w:r>
              <w:rPr>
                <w:rFonts w:ascii="宋体" w:hAnsi="宋体" w:cs="宋体" w:eastAsia="宋体" w:hint="default"/>
                <w:sz w:val="20"/>
                <w:szCs w:val="20"/>
              </w:rPr>
              <w:t>以权益结算的股份支付确认的费用总额</w:t>
            </w:r>
          </w:p>
        </w:tc>
        <w:tc>
          <w:tcPr>
            <w:tcW w:w="1630" w:type="dxa"/>
            <w:tcBorders>
              <w:top w:val="nil" w:sz="6" w:space="0" w:color="auto"/>
              <w:left w:val="nil" w:sz="6" w:space="0" w:color="auto"/>
              <w:bottom w:val="nil" w:sz="6" w:space="0" w:color="auto"/>
              <w:right w:val="nil" w:sz="6" w:space="0" w:color="auto"/>
            </w:tcBorders>
          </w:tcPr>
          <w:p>
            <w:pPr>
              <w:pStyle w:val="TableParagraph"/>
              <w:spacing w:line="226" w:lineRule="exact"/>
              <w:ind w:right="234"/>
              <w:jc w:val="right"/>
              <w:rPr>
                <w:rFonts w:ascii="宋体" w:hAnsi="宋体" w:cs="宋体" w:eastAsia="宋体" w:hint="default"/>
                <w:sz w:val="20"/>
                <w:szCs w:val="20"/>
              </w:rPr>
            </w:pPr>
            <w:r>
              <w:rPr>
                <w:rFonts w:ascii="宋体"/>
                <w:w w:val="95"/>
                <w:sz w:val="20"/>
              </w:rPr>
              <w:t>58,176,232</w:t>
            </w:r>
            <w:r>
              <w:rPr>
                <w:rFonts w:ascii="宋体"/>
                <w:sz w:val="20"/>
              </w:rPr>
            </w:r>
          </w:p>
        </w:tc>
        <w:tc>
          <w:tcPr>
            <w:tcW w:w="1535" w:type="dxa"/>
            <w:tcBorders>
              <w:top w:val="nil" w:sz="6" w:space="0" w:color="auto"/>
              <w:left w:val="nil" w:sz="6" w:space="0" w:color="auto"/>
              <w:bottom w:val="nil" w:sz="6" w:space="0" w:color="auto"/>
              <w:right w:val="nil" w:sz="6" w:space="0" w:color="auto"/>
            </w:tcBorders>
          </w:tcPr>
          <w:p>
            <w:pPr>
              <w:pStyle w:val="TableParagraph"/>
              <w:spacing w:line="226" w:lineRule="exact"/>
              <w:ind w:left="236" w:right="0"/>
              <w:jc w:val="left"/>
              <w:rPr>
                <w:rFonts w:ascii="宋体" w:hAnsi="宋体" w:cs="宋体" w:eastAsia="宋体" w:hint="default"/>
                <w:sz w:val="20"/>
                <w:szCs w:val="20"/>
              </w:rPr>
            </w:pPr>
            <w:r>
              <w:rPr>
                <w:rFonts w:ascii="宋体"/>
                <w:sz w:val="20"/>
              </w:rPr>
              <w:t>131,237,629</w:t>
            </w:r>
          </w:p>
        </w:tc>
      </w:tr>
    </w:tbl>
    <w:p>
      <w:pPr>
        <w:spacing w:line="240" w:lineRule="auto" w:before="5"/>
        <w:rPr>
          <w:rFonts w:ascii="宋体" w:hAnsi="宋体" w:cs="宋体" w:eastAsia="宋体" w:hint="default"/>
          <w:sz w:val="15"/>
          <w:szCs w:val="15"/>
        </w:rPr>
      </w:pPr>
    </w:p>
    <w:p>
      <w:pPr>
        <w:pStyle w:val="BodyText"/>
        <w:spacing w:line="240" w:lineRule="auto" w:before="36"/>
        <w:ind w:left="138" w:right="0"/>
        <w:jc w:val="both"/>
      </w:pPr>
      <w:r>
        <w:rPr>
          <w:rFonts w:ascii="宋体" w:hAnsi="宋体" w:cs="宋体" w:eastAsia="宋体" w:hint="default"/>
        </w:rPr>
        <w:t>2.</w:t>
      </w:r>
      <w:r>
        <w:rPr/>
        <w:t>股份支付计划</w:t>
      </w:r>
    </w:p>
    <w:p>
      <w:pPr>
        <w:spacing w:line="240" w:lineRule="auto" w:before="9"/>
        <w:rPr>
          <w:rFonts w:ascii="宋体" w:hAnsi="宋体" w:cs="宋体" w:eastAsia="宋体" w:hint="default"/>
          <w:sz w:val="20"/>
          <w:szCs w:val="20"/>
        </w:rPr>
      </w:pPr>
    </w:p>
    <w:p>
      <w:pPr>
        <w:pStyle w:val="BodyText"/>
        <w:spacing w:line="223" w:lineRule="auto"/>
        <w:ind w:left="138" w:right="148"/>
        <w:jc w:val="both"/>
      </w:pPr>
      <w:r>
        <w:rPr>
          <w:spacing w:val="-1"/>
        </w:rPr>
        <w:t>畅捷通建立了员工信托受益权计划，旨在激励及奖励对畅捷通成功营运有贡献的合资格员工。本</w:t>
      </w:r>
      <w:r>
        <w:rPr>
          <w:spacing w:val="-55"/>
        </w:rPr>
        <w:t> </w:t>
      </w:r>
      <w:r>
        <w:rPr>
          <w:spacing w:val="-55"/>
        </w:rPr>
      </w:r>
      <w:r>
        <w:rPr/>
        <w:t>计划的激励对象</w:t>
      </w:r>
      <w:r>
        <w:rPr>
          <w:rFonts w:ascii="Calibri" w:hAnsi="Calibri" w:cs="Calibri" w:eastAsia="Calibri" w:hint="default"/>
        </w:rPr>
        <w:t>(</w:t>
      </w:r>
      <w:r>
        <w:rPr/>
        <w:t>包括若干董事及监事</w:t>
      </w:r>
      <w:r>
        <w:rPr>
          <w:rFonts w:ascii="Calibri" w:hAnsi="Calibri" w:cs="Calibri" w:eastAsia="Calibri" w:hint="default"/>
        </w:rPr>
        <w:t>)</w:t>
      </w:r>
      <w:r>
        <w:rPr/>
        <w:t>为对实现畅捷通战略目标至关重要的畅捷通员工，包括若</w:t>
      </w:r>
      <w:r>
        <w:rPr>
          <w:spacing w:val="-9"/>
        </w:rPr>
        <w:t> </w:t>
      </w:r>
      <w:r>
        <w:rPr>
          <w:spacing w:val="-9"/>
        </w:rPr>
      </w:r>
      <w:r>
        <w:rPr>
          <w:spacing w:val="-5"/>
        </w:rPr>
        <w:t>干董事及监事、中高层管理人员、专家和核心骨干。本计划自</w:t>
      </w:r>
      <w:r>
        <w:rPr>
          <w:spacing w:val="-46"/>
        </w:rPr>
        <w:t> </w:t>
      </w:r>
      <w:r>
        <w:rPr>
          <w:rFonts w:ascii="Calibri" w:hAnsi="Calibri" w:cs="Calibri" w:eastAsia="Calibri" w:hint="default"/>
        </w:rPr>
        <w:t>2015</w:t>
      </w:r>
      <w:r>
        <w:rPr>
          <w:rFonts w:ascii="Calibri" w:hAnsi="Calibri" w:cs="Calibri" w:eastAsia="Calibri" w:hint="default"/>
          <w:spacing w:val="16"/>
        </w:rPr>
        <w:t> </w:t>
      </w:r>
      <w:r>
        <w:rPr/>
        <w:t>年</w:t>
      </w:r>
      <w:r>
        <w:rPr>
          <w:spacing w:val="-46"/>
        </w:rPr>
        <w:t> </w:t>
      </w:r>
      <w:r>
        <w:rPr>
          <w:rFonts w:ascii="Calibri" w:hAnsi="Calibri" w:cs="Calibri" w:eastAsia="Calibri" w:hint="default"/>
        </w:rPr>
        <w:t>6</w:t>
      </w:r>
      <w:r>
        <w:rPr>
          <w:rFonts w:ascii="Calibri" w:hAnsi="Calibri" w:cs="Calibri" w:eastAsia="Calibri" w:hint="default"/>
          <w:spacing w:val="12"/>
        </w:rPr>
        <w:t> </w:t>
      </w:r>
      <w:r>
        <w:rPr/>
        <w:t>月</w:t>
      </w:r>
      <w:r>
        <w:rPr>
          <w:spacing w:val="-46"/>
        </w:rPr>
        <w:t> </w:t>
      </w:r>
      <w:r>
        <w:rPr>
          <w:rFonts w:ascii="Calibri" w:hAnsi="Calibri" w:cs="Calibri" w:eastAsia="Calibri" w:hint="default"/>
        </w:rPr>
        <w:t>8</w:t>
      </w:r>
      <w:r>
        <w:rPr>
          <w:rFonts w:ascii="Calibri" w:hAnsi="Calibri" w:cs="Calibri" w:eastAsia="Calibri" w:hint="default"/>
          <w:spacing w:val="12"/>
        </w:rPr>
        <w:t> </w:t>
      </w:r>
      <w:r>
        <w:rPr>
          <w:spacing w:val="-4"/>
        </w:rPr>
        <w:t>日生效，而除非有其</w:t>
      </w:r>
      <w:r>
        <w:rPr>
          <w:spacing w:val="-100"/>
        </w:rPr>
        <w:t> </w:t>
      </w:r>
      <w:r>
        <w:rPr>
          <w:spacing w:val="-100"/>
        </w:rPr>
      </w:r>
      <w:r>
        <w:rPr/>
        <w:t>他原因导致取消或修改，否则将在该日期起六年内有效。</w:t>
      </w:r>
    </w:p>
    <w:p>
      <w:pPr>
        <w:spacing w:line="240" w:lineRule="auto" w:before="3"/>
        <w:rPr>
          <w:rFonts w:ascii="宋体" w:hAnsi="宋体" w:cs="宋体" w:eastAsia="宋体" w:hint="default"/>
          <w:sz w:val="20"/>
          <w:szCs w:val="20"/>
        </w:rPr>
      </w:pPr>
    </w:p>
    <w:p>
      <w:pPr>
        <w:pStyle w:val="BodyText"/>
        <w:spacing w:line="230" w:lineRule="auto"/>
        <w:ind w:left="138" w:right="147"/>
        <w:jc w:val="both"/>
      </w:pPr>
      <w:r>
        <w:rPr>
          <w:spacing w:val="-1"/>
        </w:rPr>
        <w:t>畅捷通委托及透过畅捷通美国委托三家合资格且相互独立的代理机构作为本计划的信托机构设立</w:t>
      </w:r>
      <w:r>
        <w:rPr>
          <w:spacing w:val="-55"/>
        </w:rPr>
        <w:t> </w:t>
      </w:r>
      <w:r>
        <w:rPr>
          <w:spacing w:val="-55"/>
        </w:rPr>
      </w:r>
      <w:r>
        <w:rPr>
          <w:spacing w:val="-1"/>
        </w:rPr>
        <w:t>三项信托，一家信托是为畅捷通关连人士的激励对象设立仅持有内资股的关连信托，其余两家信</w:t>
      </w:r>
      <w:r>
        <w:rPr>
          <w:spacing w:val="-55"/>
        </w:rPr>
        <w:t> </w:t>
      </w:r>
      <w:r>
        <w:rPr>
          <w:spacing w:val="-55"/>
        </w:rPr>
      </w:r>
      <w:r>
        <w:rPr/>
        <w:t>托是为畅捷通非关连人士的激励对象设立持有内资股及／或 </w:t>
      </w:r>
      <w:r>
        <w:rPr>
          <w:rFonts w:ascii="Calibri" w:hAnsi="Calibri" w:cs="Calibri" w:eastAsia="Calibri" w:hint="default"/>
        </w:rPr>
        <w:t>H</w:t>
      </w:r>
      <w:r>
        <w:rPr>
          <w:rFonts w:ascii="Calibri" w:hAnsi="Calibri" w:cs="Calibri" w:eastAsia="Calibri" w:hint="default"/>
          <w:spacing w:val="35"/>
        </w:rPr>
        <w:t> </w:t>
      </w:r>
      <w:r>
        <w:rPr/>
        <w:t>股的非关连信托</w:t>
      </w:r>
      <w:r>
        <w:rPr>
          <w:rFonts w:ascii="Calibri" w:hAnsi="Calibri" w:cs="Calibri" w:eastAsia="Calibri" w:hint="default"/>
        </w:rPr>
        <w:t>(</w:t>
      </w:r>
      <w:r>
        <w:rPr/>
        <w:t>其中一家信托为</w:t>
      </w:r>
      <w:r>
        <w:rPr>
          <w:w w:val="100"/>
        </w:rPr>
        <w:t> </w:t>
      </w:r>
      <w:r>
        <w:rPr/>
        <w:t>境内激励对象设立，另一家为境外激励对象设立</w:t>
      </w:r>
      <w:r>
        <w:rPr>
          <w:rFonts w:ascii="Calibri" w:hAnsi="Calibri" w:cs="Calibri" w:eastAsia="Calibri" w:hint="default"/>
        </w:rPr>
        <w:t>)</w:t>
      </w:r>
      <w:r>
        <w:rPr/>
        <w:t>。</w:t>
      </w:r>
    </w:p>
    <w:p>
      <w:pPr>
        <w:spacing w:line="240" w:lineRule="auto" w:before="8"/>
        <w:rPr>
          <w:rFonts w:ascii="宋体" w:hAnsi="宋体" w:cs="宋体" w:eastAsia="宋体" w:hint="default"/>
          <w:sz w:val="19"/>
          <w:szCs w:val="19"/>
        </w:rPr>
      </w:pPr>
    </w:p>
    <w:p>
      <w:pPr>
        <w:pStyle w:val="BodyText"/>
        <w:spacing w:line="272" w:lineRule="exact"/>
        <w:ind w:left="138" w:right="148"/>
        <w:jc w:val="both"/>
      </w:pPr>
      <w:r>
        <w:rPr>
          <w:spacing w:val="-1"/>
        </w:rPr>
        <w:t>畅捷通及透过畅捷通美国向信托机构支付以设立关连信托及非关连信托的激励计划资金来自于畅</w:t>
      </w:r>
      <w:r>
        <w:rPr>
          <w:spacing w:val="-55"/>
        </w:rPr>
        <w:t> </w:t>
      </w:r>
      <w:r>
        <w:rPr>
          <w:spacing w:val="-55"/>
        </w:rPr>
      </w:r>
      <w:r>
        <w:rPr/>
        <w:t>捷通的自有资金及可用于此等用途的首次公开发行募集资金。</w:t>
      </w:r>
    </w:p>
    <w:p>
      <w:pPr>
        <w:spacing w:line="240" w:lineRule="auto" w:before="8"/>
        <w:rPr>
          <w:rFonts w:ascii="宋体" w:hAnsi="宋体" w:cs="宋体" w:eastAsia="宋体" w:hint="default"/>
          <w:sz w:val="17"/>
          <w:szCs w:val="17"/>
        </w:rPr>
      </w:pPr>
    </w:p>
    <w:p>
      <w:pPr>
        <w:pStyle w:val="BodyText"/>
        <w:spacing w:line="286" w:lineRule="exact"/>
        <w:ind w:left="138" w:right="0"/>
        <w:jc w:val="both"/>
      </w:pPr>
      <w:r>
        <w:rPr/>
        <w:t>信托机构根据本计划拟购入的目标股票总数为本计划于 </w:t>
      </w:r>
      <w:r>
        <w:rPr>
          <w:rFonts w:ascii="Calibri" w:hAnsi="Calibri" w:cs="Calibri" w:eastAsia="Calibri" w:hint="default"/>
        </w:rPr>
        <w:t>2014 </w:t>
      </w:r>
      <w:r>
        <w:rPr>
          <w:rFonts w:ascii="Calibri" w:hAnsi="Calibri" w:cs="Calibri" w:eastAsia="Calibri" w:hint="default"/>
          <w:spacing w:val="6"/>
        </w:rPr>
        <w:t> </w:t>
      </w:r>
      <w:r>
        <w:rPr/>
        <w:t>年度股东周年大会获批准之日畅捷</w:t>
      </w:r>
    </w:p>
    <w:p>
      <w:pPr>
        <w:pStyle w:val="BodyText"/>
        <w:spacing w:line="272" w:lineRule="exact"/>
        <w:ind w:left="138" w:right="0"/>
        <w:jc w:val="both"/>
      </w:pPr>
      <w:r>
        <w:rPr/>
        <w:t>通已发行股本总额的</w:t>
      </w:r>
      <w:r>
        <w:rPr>
          <w:spacing w:val="-39"/>
        </w:rPr>
        <w:t> </w:t>
      </w:r>
      <w:r>
        <w:rPr>
          <w:rFonts w:ascii="Calibri" w:hAnsi="Calibri" w:cs="Calibri" w:eastAsia="Calibri" w:hint="default"/>
        </w:rPr>
        <w:t>10%</w:t>
      </w:r>
      <w:r>
        <w:rPr/>
        <w:t>，即</w:t>
      </w:r>
      <w:r>
        <w:rPr>
          <w:spacing w:val="-39"/>
        </w:rPr>
        <w:t> </w:t>
      </w:r>
      <w:r>
        <w:rPr>
          <w:rFonts w:ascii="Calibri" w:hAnsi="Calibri" w:cs="Calibri" w:eastAsia="Calibri" w:hint="default"/>
        </w:rPr>
        <w:t>217,181,666</w:t>
      </w:r>
      <w:r>
        <w:rPr>
          <w:rFonts w:ascii="Calibri" w:hAnsi="Calibri" w:cs="Calibri" w:eastAsia="Calibri" w:hint="default"/>
          <w:spacing w:val="24"/>
        </w:rPr>
        <w:t> </w:t>
      </w:r>
      <w:r>
        <w:rPr/>
        <w:t>股股份中的</w:t>
      </w:r>
      <w:r>
        <w:rPr>
          <w:spacing w:val="-39"/>
        </w:rPr>
        <w:t> </w:t>
      </w:r>
      <w:r>
        <w:rPr>
          <w:rFonts w:ascii="Calibri" w:hAnsi="Calibri" w:cs="Calibri" w:eastAsia="Calibri" w:hint="default"/>
        </w:rPr>
        <w:t>21,718,166</w:t>
      </w:r>
      <w:r>
        <w:rPr>
          <w:rFonts w:ascii="Calibri" w:hAnsi="Calibri" w:cs="Calibri" w:eastAsia="Calibri" w:hint="default"/>
          <w:spacing w:val="21"/>
        </w:rPr>
        <w:t> </w:t>
      </w:r>
      <w:r>
        <w:rPr/>
        <w:t>股股份。附生效条件的信托受</w:t>
      </w:r>
    </w:p>
    <w:p>
      <w:pPr>
        <w:pStyle w:val="BodyText"/>
        <w:spacing w:line="273" w:lineRule="exact"/>
        <w:ind w:left="138" w:right="0"/>
        <w:jc w:val="both"/>
      </w:pPr>
      <w:r>
        <w:rPr/>
        <w:t>益权份额将通过首次授予、后续授予及再次授予给激励对象。首次授予及后续授予需于 </w:t>
      </w:r>
      <w:r>
        <w:rPr>
          <w:rFonts w:ascii="Calibri" w:hAnsi="Calibri" w:cs="Calibri" w:eastAsia="Calibri" w:hint="default"/>
        </w:rPr>
        <w:t>2016 </w:t>
      </w:r>
      <w:r>
        <w:rPr>
          <w:rFonts w:ascii="Calibri" w:hAnsi="Calibri" w:cs="Calibri" w:eastAsia="Calibri" w:hint="default"/>
          <w:spacing w:val="4"/>
        </w:rPr>
        <w:t> </w:t>
      </w:r>
      <w:r>
        <w:rPr/>
        <w:t>年</w:t>
      </w:r>
    </w:p>
    <w:p>
      <w:pPr>
        <w:pStyle w:val="BodyText"/>
        <w:spacing w:line="287" w:lineRule="exact"/>
        <w:ind w:left="138" w:right="0"/>
        <w:jc w:val="both"/>
      </w:pPr>
      <w:r>
        <w:rPr>
          <w:rFonts w:ascii="Calibri" w:hAnsi="Calibri" w:cs="Calibri" w:eastAsia="Calibri" w:hint="default"/>
        </w:rPr>
        <w:t>12</w:t>
      </w:r>
      <w:r>
        <w:rPr>
          <w:rFonts w:ascii="Calibri" w:hAnsi="Calibri" w:cs="Calibri" w:eastAsia="Calibri" w:hint="default"/>
          <w:spacing w:val="2"/>
        </w:rPr>
        <w:t> </w:t>
      </w:r>
      <w:r>
        <w:rPr/>
        <w:t>月</w:t>
      </w:r>
      <w:r>
        <w:rPr>
          <w:spacing w:val="-56"/>
        </w:rPr>
        <w:t> </w:t>
      </w:r>
      <w:r>
        <w:rPr>
          <w:rFonts w:ascii="Calibri" w:hAnsi="Calibri" w:cs="Calibri" w:eastAsia="Calibri" w:hint="default"/>
        </w:rPr>
        <w:t>31</w:t>
      </w:r>
      <w:r>
        <w:rPr>
          <w:rFonts w:ascii="Calibri" w:hAnsi="Calibri" w:cs="Calibri" w:eastAsia="Calibri" w:hint="default"/>
          <w:spacing w:val="2"/>
        </w:rPr>
        <w:t> </w:t>
      </w:r>
      <w:r>
        <w:rPr/>
        <w:t>日前完成，再次授予需于本计划于股东周年大会获批准之日起两年内完成。</w:t>
      </w:r>
    </w:p>
    <w:p>
      <w:pPr>
        <w:spacing w:line="240" w:lineRule="auto" w:before="6"/>
        <w:rPr>
          <w:rFonts w:ascii="宋体" w:hAnsi="宋体" w:cs="宋体" w:eastAsia="宋体" w:hint="default"/>
          <w:sz w:val="17"/>
          <w:szCs w:val="17"/>
        </w:rPr>
      </w:pPr>
    </w:p>
    <w:p>
      <w:pPr>
        <w:pStyle w:val="BodyText"/>
        <w:spacing w:line="237" w:lineRule="auto"/>
        <w:ind w:left="138" w:right="148"/>
        <w:jc w:val="both"/>
      </w:pPr>
      <w:r>
        <w:rPr>
          <w:spacing w:val="-1"/>
        </w:rPr>
        <w:t>信托机构从内资股股东或于公开市场购买的目标股票，以信托形式代相关激励对象持有，直至该</w:t>
      </w:r>
      <w:r>
        <w:rPr>
          <w:spacing w:val="-55"/>
        </w:rPr>
        <w:t> </w:t>
      </w:r>
      <w:r>
        <w:rPr>
          <w:spacing w:val="-55"/>
        </w:rPr>
      </w:r>
      <w:r>
        <w:rPr>
          <w:spacing w:val="-1"/>
        </w:rPr>
        <w:t>等股份根据该计划的条文归属于相关激励对象为止。已授予并由信托机构持有直至解锁的畅捷通</w:t>
      </w:r>
      <w:r>
        <w:rPr>
          <w:spacing w:val="-55"/>
        </w:rPr>
        <w:t> </w:t>
      </w:r>
      <w:r>
        <w:rPr>
          <w:spacing w:val="-55"/>
        </w:rPr>
      </w:r>
      <w:r>
        <w:rPr/>
        <w:t>股份称为库存股份，而各库存股份应指畅捷通一股普通股。</w:t>
      </w:r>
    </w:p>
    <w:p>
      <w:pPr>
        <w:spacing w:line="240" w:lineRule="auto" w:before="10"/>
        <w:rPr>
          <w:rFonts w:ascii="宋体" w:hAnsi="宋体" w:cs="宋体" w:eastAsia="宋体" w:hint="default"/>
          <w:sz w:val="19"/>
          <w:szCs w:val="19"/>
        </w:rPr>
      </w:pPr>
    </w:p>
    <w:p>
      <w:pPr>
        <w:pStyle w:val="BodyText"/>
        <w:spacing w:line="237" w:lineRule="auto"/>
        <w:ind w:left="138" w:right="148"/>
        <w:jc w:val="both"/>
      </w:pPr>
      <w:r>
        <w:rPr>
          <w:spacing w:val="-1"/>
        </w:rPr>
        <w:t>在该计划有效期内，若畅捷通发生资本公积转增股份、派送股票红利、股票拆细、缩股等事项，</w:t>
      </w:r>
      <w:r>
        <w:rPr>
          <w:spacing w:val="-55"/>
        </w:rPr>
        <w:t> </w:t>
      </w:r>
      <w:r>
        <w:rPr>
          <w:spacing w:val="-55"/>
        </w:rPr>
      </w:r>
      <w:r>
        <w:rPr>
          <w:spacing w:val="-1"/>
        </w:rPr>
        <w:t>应按照该计划规则的调整机制对涉及的目标股票总数进行相应的调整。若进行供股，则由股东大</w:t>
      </w:r>
      <w:r>
        <w:rPr>
          <w:spacing w:val="-55"/>
        </w:rPr>
        <w:t> </w:t>
      </w:r>
      <w:r>
        <w:rPr>
          <w:spacing w:val="-55"/>
        </w:rPr>
      </w:r>
      <w:r>
        <w:rPr>
          <w:spacing w:val="-1"/>
        </w:rPr>
        <w:t>会授权董事会审议决定畅捷通是否采取任何行动将目标股票总数调整为经扩大后畅捷通股本总额</w:t>
      </w:r>
      <w:r>
        <w:rPr>
          <w:spacing w:val="-55"/>
        </w:rPr>
        <w:t> </w:t>
      </w:r>
      <w:r>
        <w:rPr>
          <w:spacing w:val="-55"/>
        </w:rPr>
      </w:r>
      <w:r>
        <w:rPr/>
        <w:t>的</w:t>
      </w:r>
      <w:r>
        <w:rPr>
          <w:spacing w:val="6"/>
        </w:rPr>
        <w:t> </w:t>
      </w:r>
      <w:r>
        <w:rPr>
          <w:rFonts w:ascii="Calibri" w:hAnsi="Calibri" w:cs="Calibri" w:eastAsia="Calibri" w:hint="default"/>
          <w:spacing w:val="-2"/>
        </w:rPr>
        <w:t>10%</w:t>
      </w:r>
      <w:r>
        <w:rPr>
          <w:spacing w:val="-2"/>
        </w:rPr>
        <w:t>，以使该计划下目标股票总数占畅捷通股本总额的比例保持不变。</w:t>
      </w:r>
    </w:p>
    <w:p>
      <w:pPr>
        <w:spacing w:line="240" w:lineRule="auto" w:before="4"/>
        <w:rPr>
          <w:rFonts w:ascii="宋体" w:hAnsi="宋体" w:cs="宋体" w:eastAsia="宋体" w:hint="default"/>
          <w:sz w:val="18"/>
          <w:szCs w:val="18"/>
        </w:rPr>
      </w:pPr>
    </w:p>
    <w:p>
      <w:pPr>
        <w:pStyle w:val="BodyText"/>
        <w:spacing w:line="228" w:lineRule="auto"/>
        <w:ind w:left="138" w:right="148"/>
        <w:jc w:val="both"/>
      </w:pPr>
      <w:r>
        <w:rPr>
          <w:spacing w:val="-1"/>
        </w:rPr>
        <w:t>每次授予均设三个解锁日，依次为该次授予日后的第一个、第二个和第三个周年届满之日。如解</w:t>
      </w:r>
      <w:r>
        <w:rPr>
          <w:spacing w:val="-55"/>
        </w:rPr>
        <w:t> </w:t>
      </w:r>
      <w:r>
        <w:rPr>
          <w:spacing w:val="-55"/>
        </w:rPr>
      </w:r>
      <w:r>
        <w:rPr/>
        <w:t>锁条件达成及于前述解锁日届满时，激励对象个人获授信托受益权份额的 </w:t>
      </w:r>
      <w:r>
        <w:rPr>
          <w:rFonts w:ascii="Calibri" w:hAnsi="Calibri" w:cs="Calibri" w:eastAsia="Calibri" w:hint="default"/>
        </w:rPr>
        <w:t>30%</w:t>
      </w:r>
      <w:r>
        <w:rPr/>
        <w:t>、</w:t>
      </w:r>
      <w:r>
        <w:rPr>
          <w:rFonts w:ascii="Calibri" w:hAnsi="Calibri" w:cs="Calibri" w:eastAsia="Calibri" w:hint="default"/>
        </w:rPr>
        <w:t>30%</w:t>
      </w:r>
      <w:r>
        <w:rPr/>
        <w:t>和</w:t>
      </w:r>
      <w:r>
        <w:rPr>
          <w:spacing w:val="-38"/>
        </w:rPr>
        <w:t> </w:t>
      </w:r>
      <w:r>
        <w:rPr>
          <w:rFonts w:ascii="Calibri" w:hAnsi="Calibri" w:cs="Calibri" w:eastAsia="Calibri" w:hint="default"/>
        </w:rPr>
        <w:t>40%</w:t>
      </w:r>
      <w:r>
        <w:rPr/>
        <w:t>须分</w:t>
      </w:r>
      <w:r>
        <w:rPr>
          <w:spacing w:val="-3"/>
          <w:w w:val="100"/>
        </w:rPr>
        <w:t> </w:t>
      </w:r>
      <w:r>
        <w:rPr/>
        <w:t>别予以解锁。授予日至上述各个解锁日的期间为锁定期，期间不得处置信托受益权份额。</w:t>
      </w:r>
    </w:p>
    <w:p>
      <w:pPr>
        <w:spacing w:after="0" w:line="228" w:lineRule="auto"/>
        <w:jc w:val="both"/>
        <w:sectPr>
          <w:pgSz w:w="11910" w:h="16840"/>
          <w:pgMar w:header="857" w:footer="1195" w:top="1280" w:bottom="1380" w:left="1660" w:right="112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p>
      <w:pPr>
        <w:pStyle w:val="BodyText"/>
        <w:spacing w:line="274" w:lineRule="exact"/>
        <w:ind w:left="138" w:right="0"/>
        <w:jc w:val="left"/>
      </w:pPr>
      <w:r>
        <w:rPr/>
        <w:t>于</w:t>
      </w:r>
      <w:r>
        <w:rPr>
          <w:spacing w:val="-42"/>
        </w:rPr>
        <w:t> </w:t>
      </w:r>
      <w:r>
        <w:rPr>
          <w:rFonts w:ascii="Calibri" w:hAnsi="Calibri" w:cs="Calibri" w:eastAsia="Calibri" w:hint="default"/>
        </w:rPr>
        <w:t>2016</w:t>
      </w:r>
      <w:r>
        <w:rPr>
          <w:rFonts w:ascii="Calibri" w:hAnsi="Calibri" w:cs="Calibri" w:eastAsia="Calibri" w:hint="default"/>
          <w:spacing w:val="17"/>
        </w:rPr>
        <w:t> </w:t>
      </w:r>
      <w:r>
        <w:rPr/>
        <w:t>年</w:t>
      </w:r>
      <w:r>
        <w:rPr>
          <w:spacing w:val="-42"/>
        </w:rPr>
        <w:t> </w:t>
      </w:r>
      <w:r>
        <w:rPr>
          <w:rFonts w:ascii="Calibri" w:hAnsi="Calibri" w:cs="Calibri" w:eastAsia="Calibri" w:hint="default"/>
        </w:rPr>
        <w:t>5</w:t>
      </w:r>
      <w:r>
        <w:rPr>
          <w:rFonts w:ascii="Calibri" w:hAnsi="Calibri" w:cs="Calibri" w:eastAsia="Calibri" w:hint="default"/>
          <w:spacing w:val="14"/>
        </w:rPr>
        <w:t> </w:t>
      </w:r>
      <w:r>
        <w:rPr/>
        <w:t>月</w:t>
      </w:r>
      <w:r>
        <w:rPr>
          <w:spacing w:val="-42"/>
        </w:rPr>
        <w:t> </w:t>
      </w:r>
      <w:r>
        <w:rPr>
          <w:rFonts w:ascii="Calibri" w:hAnsi="Calibri" w:cs="Calibri" w:eastAsia="Calibri" w:hint="default"/>
        </w:rPr>
        <w:t>18</w:t>
      </w:r>
      <w:r>
        <w:rPr>
          <w:rFonts w:ascii="Calibri" w:hAnsi="Calibri" w:cs="Calibri" w:eastAsia="Calibri" w:hint="default"/>
          <w:spacing w:val="17"/>
        </w:rPr>
        <w:t> </w:t>
      </w:r>
      <w:r>
        <w:rPr/>
        <w:t>日，为更充分的发挥计划的长期激励作用，经</w:t>
      </w:r>
      <w:r>
        <w:rPr>
          <w:spacing w:val="-41"/>
        </w:rPr>
        <w:t> </w:t>
      </w:r>
      <w:r>
        <w:rPr>
          <w:rFonts w:ascii="Calibri" w:hAnsi="Calibri" w:cs="Calibri" w:eastAsia="Calibri" w:hint="default"/>
        </w:rPr>
        <w:t>2015</w:t>
      </w:r>
      <w:r>
        <w:rPr>
          <w:rFonts w:ascii="Calibri" w:hAnsi="Calibri" w:cs="Calibri" w:eastAsia="Calibri" w:hint="default"/>
          <w:spacing w:val="15"/>
        </w:rPr>
        <w:t> </w:t>
      </w:r>
      <w:r>
        <w:rPr/>
        <w:t>年年度股东大会批准，公</w:t>
      </w:r>
      <w:r>
        <w:rPr>
          <w:w w:val="100"/>
        </w:rPr>
        <w:t> </w:t>
      </w:r>
      <w:r>
        <w:rPr/>
        <w:t>司对计划的行权有效期及计划有效期进行了修改</w:t>
      </w:r>
      <w:r>
        <w:rPr>
          <w:rFonts w:ascii="Calibri" w:hAnsi="Calibri" w:cs="Calibri" w:eastAsia="Calibri" w:hint="default"/>
        </w:rPr>
        <w:t>(“</w:t>
      </w:r>
      <w:r>
        <w:rPr/>
        <w:t>修订</w:t>
      </w:r>
      <w:r>
        <w:rPr>
          <w:rFonts w:ascii="Calibri" w:hAnsi="Calibri" w:cs="Calibri" w:eastAsia="Calibri" w:hint="default"/>
        </w:rPr>
        <w:t>”)</w:t>
      </w:r>
      <w:r>
        <w:rPr/>
        <w:t>。</w:t>
      </w:r>
    </w:p>
    <w:p>
      <w:pPr>
        <w:spacing w:line="240" w:lineRule="auto" w:before="5"/>
        <w:rPr>
          <w:rFonts w:ascii="宋体" w:hAnsi="宋体" w:cs="宋体" w:eastAsia="宋体" w:hint="default"/>
          <w:sz w:val="17"/>
          <w:szCs w:val="17"/>
        </w:rPr>
      </w:pPr>
    </w:p>
    <w:p>
      <w:pPr>
        <w:pStyle w:val="BodyText"/>
        <w:spacing w:line="286" w:lineRule="exact"/>
        <w:ind w:left="138" w:right="0"/>
        <w:jc w:val="left"/>
      </w:pPr>
      <w:r>
        <w:rPr/>
        <w:t>将激励对象</w:t>
      </w:r>
      <w:r>
        <w:rPr>
          <w:rFonts w:ascii="Calibri" w:hAnsi="Calibri" w:cs="Calibri" w:eastAsia="Calibri" w:hint="default"/>
        </w:rPr>
        <w:t>(</w:t>
      </w:r>
      <w:r>
        <w:rPr/>
        <w:t>除董事、监事及畅捷通高级管理人员外</w:t>
      </w:r>
      <w:r>
        <w:rPr>
          <w:rFonts w:ascii="Calibri" w:hAnsi="Calibri" w:cs="Calibri" w:eastAsia="Calibri" w:hint="default"/>
        </w:rPr>
        <w:t>)</w:t>
      </w:r>
      <w:r>
        <w:rPr/>
        <w:t>的行权有效期从解锁日后的 </w:t>
      </w:r>
      <w:r>
        <w:rPr>
          <w:rFonts w:ascii="Calibri" w:hAnsi="Calibri" w:cs="Calibri" w:eastAsia="Calibri" w:hint="default"/>
        </w:rPr>
        <w:t>1</w:t>
      </w:r>
      <w:r>
        <w:rPr>
          <w:rFonts w:ascii="Calibri" w:hAnsi="Calibri" w:cs="Calibri" w:eastAsia="Calibri" w:hint="default"/>
          <w:spacing w:val="39"/>
        </w:rPr>
        <w:t> </w:t>
      </w:r>
      <w:r>
        <w:rPr/>
        <w:t>年内延长至解</w:t>
      </w:r>
    </w:p>
    <w:p>
      <w:pPr>
        <w:pStyle w:val="BodyText"/>
        <w:spacing w:line="286" w:lineRule="exact"/>
        <w:ind w:left="138" w:right="0"/>
        <w:jc w:val="left"/>
      </w:pPr>
      <w:r>
        <w:rPr/>
        <w:t>锁日后的</w:t>
      </w:r>
      <w:r>
        <w:rPr>
          <w:spacing w:val="-57"/>
        </w:rPr>
        <w:t> </w:t>
      </w:r>
      <w:r>
        <w:rPr>
          <w:rFonts w:ascii="Calibri" w:hAnsi="Calibri" w:cs="Calibri" w:eastAsia="Calibri" w:hint="default"/>
        </w:rPr>
        <w:t>3</w:t>
      </w:r>
      <w:r>
        <w:rPr>
          <w:rFonts w:ascii="Calibri" w:hAnsi="Calibri" w:cs="Calibri" w:eastAsia="Calibri" w:hint="default"/>
          <w:spacing w:val="4"/>
        </w:rPr>
        <w:t> </w:t>
      </w:r>
      <w:r>
        <w:rPr/>
        <w:t>年内。董事、监事及畅捷通高级管理人员的激励对象的行权有效期维持不变。</w:t>
      </w:r>
    </w:p>
    <w:p>
      <w:pPr>
        <w:spacing w:line="240" w:lineRule="auto" w:before="6"/>
        <w:rPr>
          <w:rFonts w:ascii="宋体" w:hAnsi="宋体" w:cs="宋体" w:eastAsia="宋体" w:hint="default"/>
          <w:sz w:val="17"/>
          <w:szCs w:val="17"/>
        </w:rPr>
      </w:pPr>
    </w:p>
    <w:p>
      <w:pPr>
        <w:pStyle w:val="BodyText"/>
        <w:spacing w:line="420" w:lineRule="auto"/>
        <w:ind w:left="138" w:right="0"/>
        <w:jc w:val="left"/>
      </w:pPr>
      <w:r>
        <w:rPr/>
        <w:t>该计划的有效期由自</w:t>
      </w:r>
      <w:r>
        <w:rPr>
          <w:spacing w:val="-44"/>
        </w:rPr>
        <w:t> </w:t>
      </w:r>
      <w:r>
        <w:rPr>
          <w:rFonts w:ascii="Calibri" w:hAnsi="Calibri" w:cs="Calibri" w:eastAsia="Calibri" w:hint="default"/>
        </w:rPr>
        <w:t>2014</w:t>
      </w:r>
      <w:r>
        <w:rPr>
          <w:rFonts w:ascii="Calibri" w:hAnsi="Calibri" w:cs="Calibri" w:eastAsia="Calibri" w:hint="default"/>
          <w:spacing w:val="13"/>
        </w:rPr>
        <w:t> </w:t>
      </w:r>
      <w:r>
        <w:rPr/>
        <w:t>年股东周年大会批准之日，即</w:t>
      </w:r>
      <w:r>
        <w:rPr>
          <w:spacing w:val="-44"/>
        </w:rPr>
        <w:t> </w:t>
      </w:r>
      <w:r>
        <w:rPr>
          <w:rFonts w:ascii="Calibri" w:hAnsi="Calibri" w:cs="Calibri" w:eastAsia="Calibri" w:hint="default"/>
        </w:rPr>
        <w:t>2015</w:t>
      </w:r>
      <w:r>
        <w:rPr>
          <w:rFonts w:ascii="Calibri" w:hAnsi="Calibri" w:cs="Calibri" w:eastAsia="Calibri" w:hint="default"/>
          <w:spacing w:val="15"/>
        </w:rPr>
        <w:t> </w:t>
      </w:r>
      <w:r>
        <w:rPr/>
        <w:t>年</w:t>
      </w:r>
      <w:r>
        <w:rPr>
          <w:spacing w:val="-48"/>
        </w:rPr>
        <w:t> </w:t>
      </w:r>
      <w:r>
        <w:rPr>
          <w:rFonts w:ascii="Calibri" w:hAnsi="Calibri" w:cs="Calibri" w:eastAsia="Calibri" w:hint="default"/>
        </w:rPr>
        <w:t>6</w:t>
      </w:r>
      <w:r>
        <w:rPr>
          <w:rFonts w:ascii="Calibri" w:hAnsi="Calibri" w:cs="Calibri" w:eastAsia="Calibri" w:hint="default"/>
          <w:spacing w:val="11"/>
        </w:rPr>
        <w:t> </w:t>
      </w:r>
      <w:r>
        <w:rPr/>
        <w:t>月</w:t>
      </w:r>
      <w:r>
        <w:rPr>
          <w:spacing w:val="-48"/>
        </w:rPr>
        <w:t> </w:t>
      </w:r>
      <w:r>
        <w:rPr>
          <w:rFonts w:ascii="Calibri" w:hAnsi="Calibri" w:cs="Calibri" w:eastAsia="Calibri" w:hint="default"/>
        </w:rPr>
        <w:t>8</w:t>
      </w:r>
      <w:r>
        <w:rPr>
          <w:rFonts w:ascii="Calibri" w:hAnsi="Calibri" w:cs="Calibri" w:eastAsia="Calibri" w:hint="default"/>
          <w:spacing w:val="14"/>
        </w:rPr>
        <w:t> </w:t>
      </w:r>
      <w:r>
        <w:rPr/>
        <w:t>日，起</w:t>
      </w:r>
      <w:r>
        <w:rPr>
          <w:spacing w:val="-44"/>
        </w:rPr>
        <w:t> </w:t>
      </w:r>
      <w:r>
        <w:rPr>
          <w:rFonts w:ascii="Calibri" w:hAnsi="Calibri" w:cs="Calibri" w:eastAsia="Calibri" w:hint="default"/>
        </w:rPr>
        <w:t>6</w:t>
      </w:r>
      <w:r>
        <w:rPr>
          <w:rFonts w:ascii="Calibri" w:hAnsi="Calibri" w:cs="Calibri" w:eastAsia="Calibri" w:hint="default"/>
          <w:spacing w:val="11"/>
        </w:rPr>
        <w:t> </w:t>
      </w:r>
      <w:r>
        <w:rPr/>
        <w:t>年延长至</w:t>
      </w:r>
      <w:r>
        <w:rPr>
          <w:spacing w:val="-47"/>
        </w:rPr>
        <w:t> </w:t>
      </w:r>
      <w:r>
        <w:rPr>
          <w:rFonts w:ascii="Calibri" w:hAnsi="Calibri" w:cs="Calibri" w:eastAsia="Calibri" w:hint="default"/>
        </w:rPr>
        <w:t>8</w:t>
      </w:r>
      <w:r>
        <w:rPr>
          <w:rFonts w:ascii="Calibri" w:hAnsi="Calibri" w:cs="Calibri" w:eastAsia="Calibri" w:hint="default"/>
          <w:spacing w:val="11"/>
        </w:rPr>
        <w:t> </w:t>
      </w:r>
      <w:r>
        <w:rPr/>
        <w:t>年。</w:t>
      </w:r>
      <w:r>
        <w:rPr>
          <w:spacing w:val="-103"/>
        </w:rPr>
        <w:t> </w:t>
      </w:r>
      <w:r>
        <w:rPr/>
        <w:t>激励对象享有目标股票的分红收益。</w:t>
      </w:r>
    </w:p>
    <w:p>
      <w:pPr>
        <w:pStyle w:val="BodyText"/>
        <w:spacing w:line="240" w:lineRule="auto" w:before="95"/>
        <w:ind w:left="138" w:right="0"/>
        <w:jc w:val="left"/>
      </w:pPr>
      <w:r>
        <w:rPr>
          <w:rFonts w:ascii="宋体" w:hAnsi="宋体" w:cs="宋体" w:eastAsia="宋体" w:hint="default"/>
        </w:rPr>
        <w:t>3</w:t>
      </w:r>
      <w:r>
        <w:rPr/>
        <w:t>．该计划项下目标股票的详情及变动</w:t>
      </w:r>
    </w:p>
    <w:p>
      <w:pPr>
        <w:spacing w:line="240" w:lineRule="auto" w:before="8"/>
        <w:rPr>
          <w:rFonts w:ascii="宋体" w:hAnsi="宋体" w:cs="宋体" w:eastAsia="宋体" w:hint="default"/>
          <w:sz w:val="19"/>
          <w:szCs w:val="19"/>
        </w:rPr>
      </w:pPr>
    </w:p>
    <w:p>
      <w:pPr>
        <w:pStyle w:val="BodyText"/>
        <w:spacing w:line="240" w:lineRule="auto"/>
        <w:ind w:left="138" w:right="0"/>
        <w:jc w:val="left"/>
      </w:pPr>
      <w:r>
        <w:rPr>
          <w:rFonts w:ascii="宋体" w:hAnsi="宋体" w:cs="宋体" w:eastAsia="宋体" w:hint="default"/>
        </w:rPr>
        <w:t>2017</w:t>
      </w:r>
      <w:r>
        <w:rPr>
          <w:rFonts w:ascii="宋体" w:hAnsi="宋体" w:cs="宋体" w:eastAsia="宋体" w:hint="default"/>
          <w:spacing w:val="-52"/>
        </w:rPr>
        <w:t> </w:t>
      </w:r>
      <w:r>
        <w:rPr/>
        <w:t>年</w:t>
      </w:r>
    </w:p>
    <w:p>
      <w:pPr>
        <w:spacing w:line="240" w:lineRule="auto" w:before="1"/>
        <w:rPr>
          <w:rFonts w:ascii="宋体" w:hAnsi="宋体" w:cs="宋体" w:eastAsia="宋体" w:hint="default"/>
          <w:sz w:val="24"/>
          <w:szCs w:val="24"/>
        </w:rPr>
      </w:pPr>
    </w:p>
    <w:tbl>
      <w:tblPr>
        <w:tblW w:w="0" w:type="auto"/>
        <w:jc w:val="left"/>
        <w:tblInd w:w="221" w:type="dxa"/>
        <w:tblLayout w:type="fixed"/>
        <w:tblCellMar>
          <w:top w:w="0" w:type="dxa"/>
          <w:left w:w="0" w:type="dxa"/>
          <w:bottom w:w="0" w:type="dxa"/>
          <w:right w:w="0" w:type="dxa"/>
        </w:tblCellMar>
        <w:tblLook w:val="01E0"/>
      </w:tblPr>
      <w:tblGrid>
        <w:gridCol w:w="1894"/>
        <w:gridCol w:w="612"/>
        <w:gridCol w:w="1307"/>
        <w:gridCol w:w="1112"/>
        <w:gridCol w:w="976"/>
        <w:gridCol w:w="1136"/>
        <w:gridCol w:w="1140"/>
        <w:gridCol w:w="1239"/>
      </w:tblGrid>
      <w:tr>
        <w:trPr>
          <w:trHeight w:val="241" w:hRule="exact"/>
        </w:trPr>
        <w:tc>
          <w:tcPr>
            <w:tcW w:w="1894" w:type="dxa"/>
            <w:tcBorders>
              <w:top w:val="nil" w:sz="6" w:space="0" w:color="auto"/>
              <w:left w:val="nil" w:sz="6" w:space="0" w:color="auto"/>
              <w:bottom w:val="nil" w:sz="6" w:space="0" w:color="auto"/>
              <w:right w:val="nil" w:sz="6" w:space="0" w:color="auto"/>
            </w:tcBorders>
          </w:tcPr>
          <w:p>
            <w:pPr>
              <w:pStyle w:val="TableParagraph"/>
              <w:spacing w:line="199" w:lineRule="exact"/>
              <w:ind w:left="200" w:right="0"/>
              <w:jc w:val="left"/>
              <w:rPr>
                <w:rFonts w:ascii="宋体" w:hAnsi="宋体" w:cs="宋体" w:eastAsia="宋体" w:hint="default"/>
                <w:sz w:val="20"/>
                <w:szCs w:val="20"/>
              </w:rPr>
            </w:pPr>
            <w:r>
              <w:rPr>
                <w:rFonts w:ascii="宋体" w:hAnsi="宋体" w:cs="宋体" w:eastAsia="宋体" w:hint="default"/>
                <w:sz w:val="20"/>
                <w:szCs w:val="20"/>
              </w:rPr>
              <w:t>授予日期</w:t>
            </w:r>
          </w:p>
        </w:tc>
        <w:tc>
          <w:tcPr>
            <w:tcW w:w="612" w:type="dxa"/>
            <w:tcBorders>
              <w:top w:val="nil" w:sz="6" w:space="0" w:color="auto"/>
              <w:left w:val="nil" w:sz="6" w:space="0" w:color="auto"/>
              <w:bottom w:val="nil" w:sz="6" w:space="0" w:color="auto"/>
              <w:right w:val="nil" w:sz="6" w:space="0" w:color="auto"/>
            </w:tcBorders>
          </w:tcPr>
          <w:p>
            <w:pPr>
              <w:pStyle w:val="TableParagraph"/>
              <w:spacing w:line="199" w:lineRule="exact"/>
              <w:ind w:left="174" w:right="0"/>
              <w:jc w:val="left"/>
              <w:rPr>
                <w:rFonts w:ascii="宋体" w:hAnsi="宋体" w:cs="宋体" w:eastAsia="宋体" w:hint="default"/>
                <w:sz w:val="20"/>
                <w:szCs w:val="20"/>
              </w:rPr>
            </w:pPr>
            <w:r>
              <w:rPr>
                <w:rFonts w:ascii="宋体" w:hAnsi="宋体" w:cs="宋体" w:eastAsia="宋体" w:hint="default"/>
                <w:sz w:val="20"/>
                <w:szCs w:val="20"/>
              </w:rPr>
              <w:t>附注</w:t>
            </w:r>
          </w:p>
        </w:tc>
        <w:tc>
          <w:tcPr>
            <w:tcW w:w="1307" w:type="dxa"/>
            <w:tcBorders>
              <w:top w:val="nil" w:sz="6" w:space="0" w:color="auto"/>
              <w:left w:val="nil" w:sz="6" w:space="0" w:color="auto"/>
              <w:bottom w:val="nil" w:sz="6" w:space="0" w:color="auto"/>
              <w:right w:val="nil" w:sz="6" w:space="0" w:color="auto"/>
            </w:tcBorders>
          </w:tcPr>
          <w:p>
            <w:pPr>
              <w:pStyle w:val="TableParagraph"/>
              <w:spacing w:line="199" w:lineRule="exact"/>
              <w:ind w:right="67"/>
              <w:jc w:val="right"/>
              <w:rPr>
                <w:rFonts w:ascii="宋体" w:hAnsi="宋体" w:cs="宋体" w:eastAsia="宋体" w:hint="default"/>
                <w:sz w:val="20"/>
                <w:szCs w:val="20"/>
              </w:rPr>
            </w:pPr>
            <w:r>
              <w:rPr>
                <w:rFonts w:ascii="宋体" w:hAnsi="宋体" w:cs="宋体" w:eastAsia="宋体" w:hint="default"/>
                <w:w w:val="95"/>
                <w:sz w:val="20"/>
                <w:szCs w:val="20"/>
              </w:rPr>
              <w:t>每股公允价值</w:t>
            </w:r>
            <w:r>
              <w:rPr>
                <w:rFonts w:ascii="宋体" w:hAnsi="宋体" w:cs="宋体" w:eastAsia="宋体" w:hint="default"/>
                <w:sz w:val="20"/>
                <w:szCs w:val="20"/>
              </w:rPr>
            </w:r>
          </w:p>
        </w:tc>
        <w:tc>
          <w:tcPr>
            <w:tcW w:w="1112" w:type="dxa"/>
            <w:tcBorders>
              <w:top w:val="nil" w:sz="6" w:space="0" w:color="auto"/>
              <w:left w:val="nil" w:sz="6" w:space="0" w:color="auto"/>
              <w:bottom w:val="nil" w:sz="6" w:space="0" w:color="auto"/>
              <w:right w:val="nil" w:sz="6" w:space="0" w:color="auto"/>
            </w:tcBorders>
          </w:tcPr>
          <w:p>
            <w:pPr>
              <w:pStyle w:val="TableParagraph"/>
              <w:spacing w:line="199" w:lineRule="exact"/>
              <w:ind w:right="68"/>
              <w:jc w:val="right"/>
              <w:rPr>
                <w:rFonts w:ascii="宋体" w:hAnsi="宋体" w:cs="宋体" w:eastAsia="宋体" w:hint="default"/>
                <w:sz w:val="20"/>
                <w:szCs w:val="20"/>
              </w:rPr>
            </w:pPr>
            <w:r>
              <w:rPr>
                <w:rFonts w:ascii="宋体" w:hAnsi="宋体" w:cs="宋体" w:eastAsia="宋体" w:hint="default"/>
                <w:sz w:val="20"/>
                <w:szCs w:val="20"/>
              </w:rPr>
              <w:t>2017</w:t>
            </w:r>
            <w:r>
              <w:rPr>
                <w:rFonts w:ascii="宋体" w:hAnsi="宋体" w:cs="宋体" w:eastAsia="宋体" w:hint="default"/>
                <w:spacing w:val="-48"/>
                <w:sz w:val="20"/>
                <w:szCs w:val="20"/>
              </w:rPr>
              <w:t> </w:t>
            </w:r>
            <w:r>
              <w:rPr>
                <w:rFonts w:ascii="宋体" w:hAnsi="宋体" w:cs="宋体" w:eastAsia="宋体" w:hint="default"/>
                <w:sz w:val="20"/>
                <w:szCs w:val="20"/>
              </w:rPr>
              <w:t>年</w:t>
            </w:r>
          </w:p>
        </w:tc>
        <w:tc>
          <w:tcPr>
            <w:tcW w:w="976" w:type="dxa"/>
            <w:tcBorders>
              <w:top w:val="nil" w:sz="6" w:space="0" w:color="auto"/>
              <w:left w:val="nil" w:sz="6" w:space="0" w:color="auto"/>
              <w:bottom w:val="nil" w:sz="6" w:space="0" w:color="auto"/>
              <w:right w:val="nil" w:sz="6" w:space="0" w:color="auto"/>
            </w:tcBorders>
          </w:tcPr>
          <w:p>
            <w:pPr>
              <w:pStyle w:val="TableParagraph"/>
              <w:spacing w:line="199" w:lineRule="exact"/>
              <w:ind w:right="31"/>
              <w:jc w:val="right"/>
              <w:rPr>
                <w:rFonts w:ascii="宋体" w:hAnsi="宋体" w:cs="宋体" w:eastAsia="宋体" w:hint="default"/>
                <w:sz w:val="20"/>
                <w:szCs w:val="20"/>
              </w:rPr>
            </w:pPr>
            <w:r>
              <w:rPr>
                <w:rFonts w:ascii="宋体" w:hAnsi="宋体" w:cs="宋体" w:eastAsia="宋体" w:hint="default"/>
                <w:w w:val="95"/>
                <w:sz w:val="20"/>
                <w:szCs w:val="20"/>
              </w:rPr>
              <w:t>本年授予</w:t>
            </w:r>
            <w:r>
              <w:rPr>
                <w:rFonts w:ascii="宋体" w:hAnsi="宋体" w:cs="宋体" w:eastAsia="宋体" w:hint="default"/>
                <w:sz w:val="20"/>
                <w:szCs w:val="20"/>
              </w:rPr>
            </w:r>
          </w:p>
        </w:tc>
        <w:tc>
          <w:tcPr>
            <w:tcW w:w="1136" w:type="dxa"/>
            <w:tcBorders>
              <w:top w:val="nil" w:sz="6" w:space="0" w:color="auto"/>
              <w:left w:val="nil" w:sz="6" w:space="0" w:color="auto"/>
              <w:bottom w:val="nil" w:sz="6" w:space="0" w:color="auto"/>
              <w:right w:val="nil" w:sz="6" w:space="0" w:color="auto"/>
            </w:tcBorders>
          </w:tcPr>
          <w:p>
            <w:pPr>
              <w:pStyle w:val="TableParagraph"/>
              <w:spacing w:line="199" w:lineRule="exact"/>
              <w:ind w:right="6"/>
              <w:jc w:val="right"/>
              <w:rPr>
                <w:rFonts w:ascii="宋体" w:hAnsi="宋体" w:cs="宋体" w:eastAsia="宋体" w:hint="default"/>
                <w:sz w:val="20"/>
                <w:szCs w:val="20"/>
              </w:rPr>
            </w:pPr>
            <w:r>
              <w:rPr>
                <w:rFonts w:ascii="宋体" w:hAnsi="宋体" w:cs="宋体" w:eastAsia="宋体" w:hint="default"/>
                <w:w w:val="95"/>
                <w:sz w:val="20"/>
                <w:szCs w:val="20"/>
              </w:rPr>
              <w:t>本年失效</w:t>
            </w:r>
            <w:r>
              <w:rPr>
                <w:rFonts w:ascii="宋体" w:hAnsi="宋体" w:cs="宋体" w:eastAsia="宋体" w:hint="default"/>
                <w:sz w:val="20"/>
                <w:szCs w:val="20"/>
              </w:rPr>
            </w:r>
          </w:p>
        </w:tc>
        <w:tc>
          <w:tcPr>
            <w:tcW w:w="1140" w:type="dxa"/>
            <w:tcBorders>
              <w:top w:val="nil" w:sz="6" w:space="0" w:color="auto"/>
              <w:left w:val="nil" w:sz="6" w:space="0" w:color="auto"/>
              <w:bottom w:val="nil" w:sz="6" w:space="0" w:color="auto"/>
              <w:right w:val="nil" w:sz="6" w:space="0" w:color="auto"/>
            </w:tcBorders>
          </w:tcPr>
          <w:p>
            <w:pPr>
              <w:pStyle w:val="TableParagraph"/>
              <w:spacing w:line="199" w:lineRule="exact"/>
              <w:ind w:right="38"/>
              <w:jc w:val="right"/>
              <w:rPr>
                <w:rFonts w:ascii="宋体" w:hAnsi="宋体" w:cs="宋体" w:eastAsia="宋体" w:hint="default"/>
                <w:sz w:val="20"/>
                <w:szCs w:val="20"/>
              </w:rPr>
            </w:pPr>
            <w:r>
              <w:rPr>
                <w:rFonts w:ascii="宋体" w:hAnsi="宋体" w:cs="宋体" w:eastAsia="宋体" w:hint="default"/>
                <w:w w:val="95"/>
                <w:sz w:val="20"/>
                <w:szCs w:val="20"/>
              </w:rPr>
              <w:t>本年解锁</w:t>
            </w:r>
            <w:r>
              <w:rPr>
                <w:rFonts w:ascii="宋体" w:hAnsi="宋体" w:cs="宋体" w:eastAsia="宋体" w:hint="default"/>
                <w:sz w:val="20"/>
                <w:szCs w:val="20"/>
              </w:rPr>
            </w:r>
          </w:p>
        </w:tc>
        <w:tc>
          <w:tcPr>
            <w:tcW w:w="1239" w:type="dxa"/>
            <w:tcBorders>
              <w:top w:val="nil" w:sz="6" w:space="0" w:color="auto"/>
              <w:left w:val="nil" w:sz="6" w:space="0" w:color="auto"/>
              <w:bottom w:val="nil" w:sz="6" w:space="0" w:color="auto"/>
              <w:right w:val="nil" w:sz="6" w:space="0" w:color="auto"/>
            </w:tcBorders>
          </w:tcPr>
          <w:p>
            <w:pPr>
              <w:pStyle w:val="TableParagraph"/>
              <w:spacing w:line="199" w:lineRule="exact"/>
              <w:ind w:right="198"/>
              <w:jc w:val="right"/>
              <w:rPr>
                <w:rFonts w:ascii="宋体" w:hAnsi="宋体" w:cs="宋体" w:eastAsia="宋体" w:hint="default"/>
                <w:sz w:val="20"/>
                <w:szCs w:val="20"/>
              </w:rPr>
            </w:pPr>
            <w:r>
              <w:rPr>
                <w:rFonts w:ascii="宋体" w:hAnsi="宋体" w:cs="宋体" w:eastAsia="宋体" w:hint="default"/>
                <w:sz w:val="20"/>
                <w:szCs w:val="20"/>
              </w:rPr>
              <w:t>2017</w:t>
            </w:r>
            <w:r>
              <w:rPr>
                <w:rFonts w:ascii="宋体" w:hAnsi="宋体" w:cs="宋体" w:eastAsia="宋体" w:hint="default"/>
                <w:spacing w:val="-49"/>
                <w:sz w:val="20"/>
                <w:szCs w:val="20"/>
              </w:rPr>
              <w:t> </w:t>
            </w:r>
            <w:r>
              <w:rPr>
                <w:rFonts w:ascii="宋体" w:hAnsi="宋体" w:cs="宋体" w:eastAsia="宋体" w:hint="default"/>
                <w:sz w:val="20"/>
                <w:szCs w:val="20"/>
              </w:rPr>
              <w:t>年</w:t>
            </w:r>
          </w:p>
        </w:tc>
      </w:tr>
      <w:tr>
        <w:trPr>
          <w:trHeight w:val="426" w:hRule="exact"/>
        </w:trPr>
        <w:tc>
          <w:tcPr>
            <w:tcW w:w="1894" w:type="dxa"/>
            <w:tcBorders>
              <w:top w:val="nil" w:sz="6" w:space="0" w:color="auto"/>
              <w:left w:val="nil" w:sz="6" w:space="0" w:color="auto"/>
              <w:bottom w:val="nil" w:sz="6" w:space="0" w:color="auto"/>
              <w:right w:val="nil" w:sz="6" w:space="0" w:color="auto"/>
            </w:tcBorders>
          </w:tcPr>
          <w:p>
            <w:pPr/>
          </w:p>
        </w:tc>
        <w:tc>
          <w:tcPr>
            <w:tcW w:w="612" w:type="dxa"/>
            <w:tcBorders>
              <w:top w:val="nil" w:sz="6" w:space="0" w:color="auto"/>
              <w:left w:val="nil" w:sz="6" w:space="0" w:color="auto"/>
              <w:bottom w:val="nil" w:sz="6" w:space="0" w:color="auto"/>
              <w:right w:val="nil" w:sz="6" w:space="0" w:color="auto"/>
            </w:tcBorders>
          </w:tcPr>
          <w:p>
            <w:pPr/>
          </w:p>
        </w:tc>
        <w:tc>
          <w:tcPr>
            <w:tcW w:w="1307" w:type="dxa"/>
            <w:tcBorders>
              <w:top w:val="nil" w:sz="6" w:space="0" w:color="auto"/>
              <w:left w:val="nil" w:sz="6" w:space="0" w:color="auto"/>
              <w:bottom w:val="nil" w:sz="6" w:space="0" w:color="auto"/>
              <w:right w:val="nil" w:sz="6" w:space="0" w:color="auto"/>
            </w:tcBorders>
          </w:tcPr>
          <w:p>
            <w:pPr>
              <w:pStyle w:val="TableParagraph"/>
              <w:spacing w:line="241" w:lineRule="exact"/>
              <w:ind w:right="67"/>
              <w:jc w:val="right"/>
              <w:rPr>
                <w:rFonts w:ascii="宋体" w:hAnsi="宋体" w:cs="宋体" w:eastAsia="宋体" w:hint="default"/>
                <w:sz w:val="20"/>
                <w:szCs w:val="20"/>
              </w:rPr>
            </w:pPr>
            <w:r>
              <w:rPr>
                <w:rFonts w:ascii="宋体" w:hAnsi="宋体" w:cs="宋体" w:eastAsia="宋体" w:hint="default"/>
                <w:w w:val="95"/>
                <w:sz w:val="20"/>
                <w:szCs w:val="20"/>
              </w:rPr>
              <w:t>人民币元</w:t>
            </w:r>
            <w:r>
              <w:rPr>
                <w:rFonts w:ascii="宋体" w:hAnsi="宋体" w:cs="宋体" w:eastAsia="宋体" w:hint="default"/>
                <w:sz w:val="20"/>
                <w:szCs w:val="20"/>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righ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w:t>
            </w:r>
          </w:p>
        </w:tc>
        <w:tc>
          <w:tcPr>
            <w:tcW w:w="976"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
        </w:tc>
        <w:tc>
          <w:tcPr>
            <w:tcW w:w="1140" w:type="dxa"/>
            <w:tcBorders>
              <w:top w:val="nil" w:sz="6" w:space="0" w:color="auto"/>
              <w:left w:val="nil" w:sz="6" w:space="0" w:color="auto"/>
              <w:bottom w:val="nil" w:sz="6" w:space="0" w:color="auto"/>
              <w:right w:val="nil" w:sz="6" w:space="0" w:color="auto"/>
            </w:tcBorders>
          </w:tcPr>
          <w:p>
            <w:pPr/>
          </w:p>
        </w:tc>
        <w:tc>
          <w:tcPr>
            <w:tcW w:w="1239" w:type="dxa"/>
            <w:tcBorders>
              <w:top w:val="nil" w:sz="6" w:space="0" w:color="auto"/>
              <w:left w:val="nil" w:sz="6" w:space="0" w:color="auto"/>
              <w:bottom w:val="nil" w:sz="6" w:space="0" w:color="auto"/>
              <w:right w:val="nil" w:sz="6" w:space="0" w:color="auto"/>
            </w:tcBorders>
          </w:tcPr>
          <w:p>
            <w:pPr>
              <w:pStyle w:val="TableParagraph"/>
              <w:spacing w:line="241" w:lineRule="exact"/>
              <w:ind w:right="198"/>
              <w:jc w:val="righ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tc>
      </w:tr>
      <w:tr>
        <w:trPr>
          <w:trHeight w:val="443" w:hRule="exact"/>
        </w:trPr>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200" w:right="0"/>
              <w:jc w:val="left"/>
              <w:rPr>
                <w:rFonts w:ascii="宋体" w:hAnsi="宋体" w:cs="宋体" w:eastAsia="宋体" w:hint="default"/>
                <w:sz w:val="20"/>
                <w:szCs w:val="20"/>
              </w:rPr>
            </w:pPr>
            <w:r>
              <w:rPr>
                <w:rFonts w:ascii="宋体" w:hAnsi="宋体" w:cs="宋体" w:eastAsia="宋体" w:hint="default"/>
                <w:sz w:val="20"/>
                <w:szCs w:val="20"/>
              </w:rPr>
              <w:t>2015</w:t>
            </w:r>
            <w:r>
              <w:rPr>
                <w:rFonts w:ascii="宋体" w:hAnsi="宋体" w:cs="宋体" w:eastAsia="宋体" w:hint="default"/>
                <w:spacing w:val="-50"/>
                <w:sz w:val="20"/>
                <w:szCs w:val="20"/>
              </w:rPr>
              <w:t> </w:t>
            </w:r>
            <w:r>
              <w:rPr>
                <w:rFonts w:ascii="宋体" w:hAnsi="宋体" w:cs="宋体" w:eastAsia="宋体" w:hint="default"/>
                <w:sz w:val="20"/>
                <w:szCs w:val="20"/>
              </w:rPr>
              <w:t>年</w:t>
            </w:r>
            <w:r>
              <w:rPr>
                <w:rFonts w:ascii="宋体" w:hAnsi="宋体" w:cs="宋体" w:eastAsia="宋体" w:hint="default"/>
                <w:spacing w:val="-53"/>
                <w:sz w:val="20"/>
                <w:szCs w:val="20"/>
              </w:rPr>
              <w:t> </w:t>
            </w:r>
            <w:r>
              <w:rPr>
                <w:rFonts w:ascii="宋体" w:hAnsi="宋体" w:cs="宋体" w:eastAsia="宋体" w:hint="default"/>
                <w:sz w:val="20"/>
                <w:szCs w:val="20"/>
              </w:rPr>
              <w:t>6</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宋体" w:hAnsi="宋体" w:cs="宋体" w:eastAsia="宋体" w:hint="default"/>
                <w:sz w:val="20"/>
                <w:szCs w:val="20"/>
              </w:rPr>
              <w:t>16</w:t>
            </w:r>
            <w:r>
              <w:rPr>
                <w:rFonts w:ascii="宋体" w:hAnsi="宋体" w:cs="宋体" w:eastAsia="宋体" w:hint="default"/>
                <w:spacing w:val="-50"/>
                <w:sz w:val="20"/>
                <w:szCs w:val="20"/>
              </w:rPr>
              <w:t> </w:t>
            </w:r>
            <w:r>
              <w:rPr>
                <w:rFonts w:ascii="宋体" w:hAnsi="宋体" w:cs="宋体" w:eastAsia="宋体" w:hint="default"/>
                <w:sz w:val="20"/>
                <w:szCs w:val="20"/>
              </w:rPr>
              <w:t>日</w:t>
            </w:r>
          </w:p>
        </w:tc>
        <w:tc>
          <w:tcPr>
            <w:tcW w:w="612"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40" w:right="0"/>
              <w:jc w:val="left"/>
              <w:rPr>
                <w:rFonts w:ascii="宋体" w:hAnsi="宋体" w:cs="宋体" w:eastAsia="宋体" w:hint="default"/>
                <w:sz w:val="20"/>
                <w:szCs w:val="20"/>
              </w:rPr>
            </w:pPr>
            <w:r>
              <w:rPr>
                <w:rFonts w:ascii="宋体"/>
                <w:sz w:val="20"/>
              </w:rPr>
              <w:t>(a)</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64"/>
              <w:jc w:val="right"/>
              <w:rPr>
                <w:rFonts w:ascii="宋体" w:hAnsi="宋体" w:cs="宋体" w:eastAsia="宋体" w:hint="default"/>
                <w:sz w:val="20"/>
                <w:szCs w:val="20"/>
              </w:rPr>
            </w:pPr>
            <w:r>
              <w:rPr>
                <w:rFonts w:ascii="宋体"/>
                <w:w w:val="95"/>
                <w:sz w:val="20"/>
              </w:rPr>
              <w:t>24.60</w:t>
            </w:r>
            <w:r>
              <w:rPr>
                <w:rFonts w:ascii="宋体"/>
                <w:sz w:val="20"/>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44"/>
              <w:jc w:val="right"/>
              <w:rPr>
                <w:rFonts w:ascii="宋体" w:hAnsi="宋体" w:cs="宋体" w:eastAsia="宋体" w:hint="default"/>
                <w:sz w:val="20"/>
                <w:szCs w:val="20"/>
              </w:rPr>
            </w:pPr>
            <w:r>
              <w:rPr>
                <w:rFonts w:ascii="宋体"/>
                <w:w w:val="95"/>
                <w:sz w:val="20"/>
              </w:rPr>
              <w:t>10,720,500</w:t>
            </w:r>
            <w:r>
              <w:rPr>
                <w:rFonts w:ascii="宋体"/>
                <w:sz w:val="20"/>
              </w:rPr>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0"/>
              <w:jc w:val="right"/>
              <w:rPr>
                <w:rFonts w:ascii="宋体" w:hAnsi="宋体" w:cs="宋体" w:eastAsia="宋体" w:hint="default"/>
                <w:sz w:val="20"/>
                <w:szCs w:val="20"/>
              </w:rPr>
            </w:pPr>
            <w:r>
              <w:rPr>
                <w:rFonts w:ascii="宋体"/>
                <w:w w:val="99"/>
                <w:sz w:val="20"/>
              </w:rPr>
              <w:t>-</w:t>
            </w:r>
            <w:r>
              <w:rPr>
                <w:rFonts w:ascii="宋体"/>
                <w:sz w:val="20"/>
              </w:rPr>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
              <w:jc w:val="right"/>
              <w:rPr>
                <w:rFonts w:ascii="宋体" w:hAnsi="宋体" w:cs="宋体" w:eastAsia="宋体" w:hint="default"/>
                <w:sz w:val="20"/>
                <w:szCs w:val="20"/>
              </w:rPr>
            </w:pPr>
            <w:r>
              <w:rPr>
                <w:rFonts w:ascii="宋体"/>
                <w:w w:val="95"/>
                <w:sz w:val="20"/>
              </w:rPr>
              <w:t>(2,546,000)</w:t>
            </w:r>
            <w:r>
              <w:rPr>
                <w:rFonts w:ascii="宋体"/>
                <w:sz w:val="20"/>
              </w:rPr>
            </w:r>
          </w:p>
        </w:tc>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4"/>
              <w:jc w:val="right"/>
              <w:rPr>
                <w:rFonts w:ascii="宋体" w:hAnsi="宋体" w:cs="宋体" w:eastAsia="宋体" w:hint="default"/>
                <w:sz w:val="20"/>
                <w:szCs w:val="20"/>
              </w:rPr>
            </w:pPr>
            <w:r>
              <w:rPr>
                <w:rFonts w:ascii="宋体"/>
                <w:w w:val="95"/>
                <w:sz w:val="20"/>
              </w:rPr>
              <w:t>(3,526,500)</w:t>
            </w:r>
            <w:r>
              <w:rPr>
                <w:rFonts w:ascii="宋体"/>
                <w:sz w:val="20"/>
              </w:rPr>
            </w:r>
          </w:p>
        </w:tc>
        <w:tc>
          <w:tcPr>
            <w:tcW w:w="123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00"/>
              <w:jc w:val="right"/>
              <w:rPr>
                <w:rFonts w:ascii="宋体" w:hAnsi="宋体" w:cs="宋体" w:eastAsia="宋体" w:hint="default"/>
                <w:sz w:val="20"/>
                <w:szCs w:val="20"/>
              </w:rPr>
            </w:pPr>
            <w:r>
              <w:rPr>
                <w:rFonts w:ascii="宋体"/>
                <w:w w:val="95"/>
                <w:sz w:val="20"/>
              </w:rPr>
              <w:t>4,648,000</w:t>
            </w:r>
            <w:r>
              <w:rPr>
                <w:rFonts w:ascii="宋体"/>
                <w:sz w:val="20"/>
              </w:rPr>
            </w:r>
          </w:p>
        </w:tc>
      </w:tr>
      <w:tr>
        <w:trPr>
          <w:trHeight w:val="278" w:hRule="exact"/>
        </w:trPr>
        <w:tc>
          <w:tcPr>
            <w:tcW w:w="1894" w:type="dxa"/>
            <w:tcBorders>
              <w:top w:val="nil" w:sz="6" w:space="0" w:color="auto"/>
              <w:left w:val="nil" w:sz="6" w:space="0" w:color="auto"/>
              <w:bottom w:val="nil" w:sz="6" w:space="0" w:color="auto"/>
              <w:right w:val="nil" w:sz="6" w:space="0" w:color="auto"/>
            </w:tcBorders>
          </w:tcPr>
          <w:p>
            <w:pPr>
              <w:pStyle w:val="TableParagraph"/>
              <w:spacing w:line="258" w:lineRule="exact"/>
              <w:ind w:left="200" w:right="0"/>
              <w:jc w:val="left"/>
              <w:rPr>
                <w:rFonts w:ascii="宋体" w:hAnsi="宋体" w:cs="宋体" w:eastAsia="宋体" w:hint="default"/>
                <w:sz w:val="20"/>
                <w:szCs w:val="20"/>
              </w:rPr>
            </w:pPr>
            <w:r>
              <w:rPr>
                <w:rFonts w:ascii="宋体" w:hAnsi="宋体" w:cs="宋体" w:eastAsia="宋体" w:hint="default"/>
                <w:sz w:val="20"/>
                <w:szCs w:val="20"/>
              </w:rPr>
              <w:t>2015</w:t>
            </w:r>
            <w:r>
              <w:rPr>
                <w:rFonts w:ascii="宋体" w:hAnsi="宋体" w:cs="宋体" w:eastAsia="宋体" w:hint="default"/>
                <w:spacing w:val="-50"/>
                <w:sz w:val="20"/>
                <w:szCs w:val="20"/>
              </w:rPr>
              <w:t> </w:t>
            </w:r>
            <w:r>
              <w:rPr>
                <w:rFonts w:ascii="宋体" w:hAnsi="宋体" w:cs="宋体" w:eastAsia="宋体" w:hint="default"/>
                <w:sz w:val="20"/>
                <w:szCs w:val="20"/>
              </w:rPr>
              <w:t>年</w:t>
            </w:r>
            <w:r>
              <w:rPr>
                <w:rFonts w:ascii="宋体" w:hAnsi="宋体" w:cs="宋体" w:eastAsia="宋体" w:hint="default"/>
                <w:spacing w:val="-53"/>
                <w:sz w:val="20"/>
                <w:szCs w:val="20"/>
              </w:rPr>
              <w:t> </w:t>
            </w:r>
            <w:r>
              <w:rPr>
                <w:rFonts w:ascii="宋体" w:hAnsi="宋体" w:cs="宋体" w:eastAsia="宋体" w:hint="default"/>
                <w:sz w:val="20"/>
                <w:szCs w:val="20"/>
              </w:rPr>
              <w:t>9</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宋体" w:hAnsi="宋体" w:cs="宋体" w:eastAsia="宋体" w:hint="default"/>
                <w:sz w:val="20"/>
                <w:szCs w:val="20"/>
              </w:rPr>
              <w:t>2</w:t>
            </w:r>
            <w:r>
              <w:rPr>
                <w:rFonts w:ascii="宋体" w:hAnsi="宋体" w:cs="宋体" w:eastAsia="宋体" w:hint="default"/>
                <w:spacing w:val="-50"/>
                <w:sz w:val="20"/>
                <w:szCs w:val="20"/>
              </w:rPr>
              <w:t> </w:t>
            </w:r>
            <w:r>
              <w:rPr>
                <w:rFonts w:ascii="宋体" w:hAnsi="宋体" w:cs="宋体" w:eastAsia="宋体" w:hint="default"/>
                <w:sz w:val="20"/>
                <w:szCs w:val="20"/>
              </w:rPr>
              <w:t>日</w:t>
            </w:r>
          </w:p>
        </w:tc>
        <w:tc>
          <w:tcPr>
            <w:tcW w:w="612" w:type="dxa"/>
            <w:tcBorders>
              <w:top w:val="nil" w:sz="6" w:space="0" w:color="auto"/>
              <w:left w:val="nil" w:sz="6" w:space="0" w:color="auto"/>
              <w:bottom w:val="nil" w:sz="6" w:space="0" w:color="auto"/>
              <w:right w:val="nil" w:sz="6" w:space="0" w:color="auto"/>
            </w:tcBorders>
          </w:tcPr>
          <w:p>
            <w:pPr>
              <w:pStyle w:val="TableParagraph"/>
              <w:spacing w:line="258" w:lineRule="exact"/>
              <w:ind w:left="140" w:right="0"/>
              <w:jc w:val="left"/>
              <w:rPr>
                <w:rFonts w:ascii="宋体" w:hAnsi="宋体" w:cs="宋体" w:eastAsia="宋体" w:hint="default"/>
                <w:sz w:val="20"/>
                <w:szCs w:val="20"/>
              </w:rPr>
            </w:pPr>
            <w:r>
              <w:rPr>
                <w:rFonts w:ascii="宋体"/>
                <w:sz w:val="20"/>
              </w:rPr>
              <w:t>(b)</w:t>
            </w:r>
          </w:p>
        </w:tc>
        <w:tc>
          <w:tcPr>
            <w:tcW w:w="1307" w:type="dxa"/>
            <w:tcBorders>
              <w:top w:val="nil" w:sz="6" w:space="0" w:color="auto"/>
              <w:left w:val="nil" w:sz="6" w:space="0" w:color="auto"/>
              <w:bottom w:val="nil" w:sz="6" w:space="0" w:color="auto"/>
              <w:right w:val="nil" w:sz="6" w:space="0" w:color="auto"/>
            </w:tcBorders>
          </w:tcPr>
          <w:p>
            <w:pPr>
              <w:pStyle w:val="TableParagraph"/>
              <w:spacing w:line="258" w:lineRule="exact"/>
              <w:ind w:right="64"/>
              <w:jc w:val="right"/>
              <w:rPr>
                <w:rFonts w:ascii="宋体" w:hAnsi="宋体" w:cs="宋体" w:eastAsia="宋体" w:hint="default"/>
                <w:sz w:val="20"/>
                <w:szCs w:val="20"/>
              </w:rPr>
            </w:pPr>
            <w:r>
              <w:rPr>
                <w:rFonts w:ascii="宋体"/>
                <w:w w:val="95"/>
                <w:sz w:val="20"/>
              </w:rPr>
              <w:t>10.43</w:t>
            </w:r>
            <w:r>
              <w:rPr>
                <w:rFonts w:ascii="宋体"/>
                <w:sz w:val="20"/>
              </w:rPr>
            </w:r>
          </w:p>
        </w:tc>
        <w:tc>
          <w:tcPr>
            <w:tcW w:w="1112" w:type="dxa"/>
            <w:tcBorders>
              <w:top w:val="nil" w:sz="6" w:space="0" w:color="auto"/>
              <w:left w:val="nil" w:sz="6" w:space="0" w:color="auto"/>
              <w:bottom w:val="nil" w:sz="6" w:space="0" w:color="auto"/>
              <w:right w:val="nil" w:sz="6" w:space="0" w:color="auto"/>
            </w:tcBorders>
          </w:tcPr>
          <w:p>
            <w:pPr>
              <w:pStyle w:val="TableParagraph"/>
              <w:spacing w:line="258" w:lineRule="exact"/>
              <w:ind w:right="44"/>
              <w:jc w:val="right"/>
              <w:rPr>
                <w:rFonts w:ascii="宋体" w:hAnsi="宋体" w:cs="宋体" w:eastAsia="宋体" w:hint="default"/>
                <w:sz w:val="20"/>
                <w:szCs w:val="20"/>
              </w:rPr>
            </w:pPr>
            <w:r>
              <w:rPr>
                <w:rFonts w:ascii="宋体"/>
                <w:w w:val="95"/>
                <w:sz w:val="20"/>
              </w:rPr>
              <w:t>84,000</w:t>
            </w:r>
            <w:r>
              <w:rPr>
                <w:rFonts w:ascii="宋体"/>
                <w:sz w:val="20"/>
              </w:rPr>
            </w:r>
          </w:p>
        </w:tc>
        <w:tc>
          <w:tcPr>
            <w:tcW w:w="976" w:type="dxa"/>
            <w:tcBorders>
              <w:top w:val="nil" w:sz="6" w:space="0" w:color="auto"/>
              <w:left w:val="nil" w:sz="6" w:space="0" w:color="auto"/>
              <w:bottom w:val="nil" w:sz="6" w:space="0" w:color="auto"/>
              <w:right w:val="nil" w:sz="6" w:space="0" w:color="auto"/>
            </w:tcBorders>
          </w:tcPr>
          <w:p>
            <w:pPr>
              <w:pStyle w:val="TableParagraph"/>
              <w:spacing w:line="258" w:lineRule="exact"/>
              <w:ind w:right="30"/>
              <w:jc w:val="right"/>
              <w:rPr>
                <w:rFonts w:ascii="宋体" w:hAnsi="宋体" w:cs="宋体" w:eastAsia="宋体" w:hint="default"/>
                <w:sz w:val="20"/>
                <w:szCs w:val="20"/>
              </w:rPr>
            </w:pPr>
            <w:r>
              <w:rPr>
                <w:rFonts w:ascii="宋体"/>
                <w:w w:val="99"/>
                <w:sz w:val="20"/>
              </w:rPr>
              <w:t>-</w:t>
            </w:r>
            <w:r>
              <w:rPr>
                <w:rFonts w:ascii="宋体"/>
                <w:sz w:val="20"/>
              </w:rPr>
            </w:r>
          </w:p>
        </w:tc>
        <w:tc>
          <w:tcPr>
            <w:tcW w:w="1136" w:type="dxa"/>
            <w:tcBorders>
              <w:top w:val="nil" w:sz="6" w:space="0" w:color="auto"/>
              <w:left w:val="nil" w:sz="6" w:space="0" w:color="auto"/>
              <w:bottom w:val="nil" w:sz="6" w:space="0" w:color="auto"/>
              <w:right w:val="nil" w:sz="6" w:space="0" w:color="auto"/>
            </w:tcBorders>
          </w:tcPr>
          <w:p>
            <w:pPr>
              <w:pStyle w:val="TableParagraph"/>
              <w:tabs>
                <w:tab w:pos="400" w:val="left" w:leader="none"/>
              </w:tabs>
              <w:spacing w:line="258" w:lineRule="exact"/>
              <w:ind w:right="3"/>
              <w:jc w:val="right"/>
              <w:rPr>
                <w:rFonts w:ascii="宋体" w:hAnsi="宋体" w:cs="宋体" w:eastAsia="宋体" w:hint="default"/>
                <w:sz w:val="20"/>
                <w:szCs w:val="20"/>
              </w:rPr>
            </w:pPr>
            <w:r>
              <w:rPr>
                <w:rFonts w:ascii="宋体"/>
                <w:w w:val="95"/>
                <w:sz w:val="20"/>
              </w:rPr>
              <w:t>(</w:t>
              <w:tab/>
              <w:t>84,000)</w:t>
            </w:r>
            <w:r>
              <w:rPr>
                <w:rFonts w:ascii="宋体"/>
                <w:sz w:val="20"/>
              </w:rPr>
            </w:r>
          </w:p>
        </w:tc>
        <w:tc>
          <w:tcPr>
            <w:tcW w:w="1140" w:type="dxa"/>
            <w:tcBorders>
              <w:top w:val="nil" w:sz="6" w:space="0" w:color="auto"/>
              <w:left w:val="nil" w:sz="6" w:space="0" w:color="auto"/>
              <w:bottom w:val="nil" w:sz="6" w:space="0" w:color="auto"/>
              <w:right w:val="nil" w:sz="6" w:space="0" w:color="auto"/>
            </w:tcBorders>
          </w:tcPr>
          <w:p>
            <w:pPr>
              <w:pStyle w:val="TableParagraph"/>
              <w:spacing w:line="258" w:lineRule="exact"/>
              <w:ind w:right="95"/>
              <w:jc w:val="right"/>
              <w:rPr>
                <w:rFonts w:ascii="宋体" w:hAnsi="宋体" w:cs="宋体" w:eastAsia="宋体" w:hint="default"/>
                <w:sz w:val="20"/>
                <w:szCs w:val="20"/>
              </w:rPr>
            </w:pPr>
            <w:r>
              <w:rPr>
                <w:rFonts w:ascii="宋体"/>
                <w:w w:val="99"/>
                <w:sz w:val="20"/>
              </w:rPr>
              <w:t>-</w:t>
            </w:r>
            <w:r>
              <w:rPr>
                <w:rFonts w:ascii="宋体"/>
                <w:sz w:val="20"/>
              </w:rPr>
            </w:r>
          </w:p>
        </w:tc>
        <w:tc>
          <w:tcPr>
            <w:tcW w:w="1239" w:type="dxa"/>
            <w:tcBorders>
              <w:top w:val="nil" w:sz="6" w:space="0" w:color="auto"/>
              <w:left w:val="nil" w:sz="6" w:space="0" w:color="auto"/>
              <w:bottom w:val="nil" w:sz="6" w:space="0" w:color="auto"/>
              <w:right w:val="nil" w:sz="6" w:space="0" w:color="auto"/>
            </w:tcBorders>
          </w:tcPr>
          <w:p>
            <w:pPr>
              <w:pStyle w:val="TableParagraph"/>
              <w:spacing w:line="258" w:lineRule="exact"/>
              <w:ind w:right="201"/>
              <w:jc w:val="right"/>
              <w:rPr>
                <w:rFonts w:ascii="宋体" w:hAnsi="宋体" w:cs="宋体" w:eastAsia="宋体" w:hint="default"/>
                <w:sz w:val="20"/>
                <w:szCs w:val="20"/>
              </w:rPr>
            </w:pPr>
            <w:r>
              <w:rPr>
                <w:rFonts w:ascii="宋体"/>
                <w:w w:val="99"/>
                <w:sz w:val="20"/>
              </w:rPr>
              <w:t>-</w:t>
            </w:r>
            <w:r>
              <w:rPr>
                <w:rFonts w:ascii="宋体"/>
                <w:sz w:val="20"/>
              </w:rPr>
            </w:r>
          </w:p>
        </w:tc>
      </w:tr>
      <w:tr>
        <w:trPr>
          <w:trHeight w:val="262" w:hRule="exact"/>
        </w:trPr>
        <w:tc>
          <w:tcPr>
            <w:tcW w:w="1894" w:type="dxa"/>
            <w:tcBorders>
              <w:top w:val="nil" w:sz="6" w:space="0" w:color="auto"/>
              <w:left w:val="nil" w:sz="6" w:space="0" w:color="auto"/>
              <w:bottom w:val="nil" w:sz="6" w:space="0" w:color="auto"/>
              <w:right w:val="nil" w:sz="6" w:space="0" w:color="auto"/>
            </w:tcBorders>
          </w:tcPr>
          <w:p>
            <w:pPr>
              <w:pStyle w:val="TableParagraph"/>
              <w:spacing w:line="220" w:lineRule="exact"/>
              <w:ind w:left="200" w:right="0"/>
              <w:jc w:val="left"/>
              <w:rPr>
                <w:rFonts w:ascii="宋体" w:hAnsi="宋体" w:cs="宋体" w:eastAsia="宋体" w:hint="default"/>
                <w:sz w:val="20"/>
                <w:szCs w:val="20"/>
              </w:rPr>
            </w:pPr>
            <w:r>
              <w:rPr>
                <w:rFonts w:ascii="宋体" w:hAnsi="宋体" w:cs="宋体" w:eastAsia="宋体" w:hint="default"/>
                <w:sz w:val="20"/>
                <w:szCs w:val="20"/>
              </w:rPr>
              <w:t>2016</w:t>
            </w:r>
            <w:r>
              <w:rPr>
                <w:rFonts w:ascii="宋体" w:hAnsi="宋体" w:cs="宋体" w:eastAsia="宋体" w:hint="default"/>
                <w:spacing w:val="-50"/>
                <w:sz w:val="20"/>
                <w:szCs w:val="20"/>
              </w:rPr>
              <w:t> </w:t>
            </w:r>
            <w:r>
              <w:rPr>
                <w:rFonts w:ascii="宋体" w:hAnsi="宋体" w:cs="宋体" w:eastAsia="宋体" w:hint="default"/>
                <w:sz w:val="20"/>
                <w:szCs w:val="20"/>
              </w:rPr>
              <w:t>年</w:t>
            </w:r>
            <w:r>
              <w:rPr>
                <w:rFonts w:ascii="宋体" w:hAnsi="宋体" w:cs="宋体" w:eastAsia="宋体" w:hint="default"/>
                <w:spacing w:val="-53"/>
                <w:sz w:val="20"/>
                <w:szCs w:val="20"/>
              </w:rPr>
              <w:t> </w:t>
            </w:r>
            <w:r>
              <w:rPr>
                <w:rFonts w:ascii="宋体" w:hAnsi="宋体" w:cs="宋体" w:eastAsia="宋体" w:hint="default"/>
                <w:sz w:val="20"/>
                <w:szCs w:val="20"/>
              </w:rPr>
              <w:t>3</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tc>
        <w:tc>
          <w:tcPr>
            <w:tcW w:w="612" w:type="dxa"/>
            <w:tcBorders>
              <w:top w:val="nil" w:sz="6" w:space="0" w:color="auto"/>
              <w:left w:val="nil" w:sz="6" w:space="0" w:color="auto"/>
              <w:bottom w:val="nil" w:sz="6" w:space="0" w:color="auto"/>
              <w:right w:val="nil" w:sz="6" w:space="0" w:color="auto"/>
            </w:tcBorders>
          </w:tcPr>
          <w:p>
            <w:pPr>
              <w:pStyle w:val="TableParagraph"/>
              <w:spacing w:line="220" w:lineRule="exact"/>
              <w:ind w:left="140" w:right="0"/>
              <w:jc w:val="left"/>
              <w:rPr>
                <w:rFonts w:ascii="宋体" w:hAnsi="宋体" w:cs="宋体" w:eastAsia="宋体" w:hint="default"/>
                <w:sz w:val="20"/>
                <w:szCs w:val="20"/>
              </w:rPr>
            </w:pPr>
            <w:r>
              <w:rPr>
                <w:rFonts w:ascii="宋体"/>
                <w:sz w:val="20"/>
              </w:rPr>
              <w:t>(c)</w:t>
            </w:r>
          </w:p>
        </w:tc>
        <w:tc>
          <w:tcPr>
            <w:tcW w:w="1307" w:type="dxa"/>
            <w:tcBorders>
              <w:top w:val="nil" w:sz="6" w:space="0" w:color="auto"/>
              <w:left w:val="nil" w:sz="6" w:space="0" w:color="auto"/>
              <w:bottom w:val="nil" w:sz="6" w:space="0" w:color="auto"/>
              <w:right w:val="nil" w:sz="6" w:space="0" w:color="auto"/>
            </w:tcBorders>
          </w:tcPr>
          <w:p>
            <w:pPr>
              <w:pStyle w:val="TableParagraph"/>
              <w:spacing w:line="220" w:lineRule="exact"/>
              <w:ind w:right="62"/>
              <w:jc w:val="right"/>
              <w:rPr>
                <w:rFonts w:ascii="宋体" w:hAnsi="宋体" w:cs="宋体" w:eastAsia="宋体" w:hint="default"/>
                <w:sz w:val="20"/>
                <w:szCs w:val="20"/>
              </w:rPr>
            </w:pPr>
            <w:r>
              <w:rPr>
                <w:rFonts w:ascii="宋体"/>
                <w:sz w:val="20"/>
              </w:rPr>
              <w:t>9.77</w:t>
            </w:r>
          </w:p>
        </w:tc>
        <w:tc>
          <w:tcPr>
            <w:tcW w:w="1112" w:type="dxa"/>
            <w:tcBorders>
              <w:top w:val="nil" w:sz="6" w:space="0" w:color="auto"/>
              <w:left w:val="nil" w:sz="6" w:space="0" w:color="auto"/>
              <w:bottom w:val="nil" w:sz="6" w:space="0" w:color="auto"/>
              <w:right w:val="nil" w:sz="6" w:space="0" w:color="auto"/>
            </w:tcBorders>
          </w:tcPr>
          <w:p>
            <w:pPr>
              <w:pStyle w:val="TableParagraph"/>
              <w:spacing w:line="220" w:lineRule="exact"/>
              <w:ind w:right="44"/>
              <w:jc w:val="right"/>
              <w:rPr>
                <w:rFonts w:ascii="宋体" w:hAnsi="宋体" w:cs="宋体" w:eastAsia="宋体" w:hint="default"/>
                <w:sz w:val="20"/>
                <w:szCs w:val="20"/>
              </w:rPr>
            </w:pPr>
            <w:r>
              <w:rPr>
                <w:rFonts w:ascii="宋体"/>
                <w:w w:val="95"/>
                <w:sz w:val="20"/>
              </w:rPr>
              <w:t>1,325,000</w:t>
            </w:r>
            <w:r>
              <w:rPr>
                <w:rFonts w:ascii="宋体"/>
                <w:sz w:val="20"/>
              </w:rPr>
            </w:r>
          </w:p>
        </w:tc>
        <w:tc>
          <w:tcPr>
            <w:tcW w:w="976" w:type="dxa"/>
            <w:tcBorders>
              <w:top w:val="nil" w:sz="6" w:space="0" w:color="auto"/>
              <w:left w:val="nil" w:sz="6" w:space="0" w:color="auto"/>
              <w:bottom w:val="nil" w:sz="6" w:space="0" w:color="auto"/>
              <w:right w:val="nil" w:sz="6" w:space="0" w:color="auto"/>
            </w:tcBorders>
          </w:tcPr>
          <w:p>
            <w:pPr>
              <w:pStyle w:val="TableParagraph"/>
              <w:spacing w:line="220" w:lineRule="exact"/>
              <w:ind w:right="30"/>
              <w:jc w:val="right"/>
              <w:rPr>
                <w:rFonts w:ascii="宋体" w:hAnsi="宋体" w:cs="宋体" w:eastAsia="宋体" w:hint="default"/>
                <w:sz w:val="20"/>
                <w:szCs w:val="20"/>
              </w:rPr>
            </w:pPr>
            <w:r>
              <w:rPr>
                <w:rFonts w:ascii="宋体"/>
                <w:w w:val="99"/>
                <w:sz w:val="20"/>
              </w:rPr>
              <w:t>-</w:t>
            </w:r>
            <w:r>
              <w:rPr>
                <w:rFonts w:ascii="宋体"/>
                <w:sz w:val="20"/>
              </w:rPr>
            </w:r>
          </w:p>
        </w:tc>
        <w:tc>
          <w:tcPr>
            <w:tcW w:w="1136" w:type="dxa"/>
            <w:tcBorders>
              <w:top w:val="nil" w:sz="6" w:space="0" w:color="auto"/>
              <w:left w:val="nil" w:sz="6" w:space="0" w:color="auto"/>
              <w:bottom w:val="nil" w:sz="6" w:space="0" w:color="auto"/>
              <w:right w:val="nil" w:sz="6" w:space="0" w:color="auto"/>
            </w:tcBorders>
          </w:tcPr>
          <w:p>
            <w:pPr>
              <w:pStyle w:val="TableParagraph"/>
              <w:tabs>
                <w:tab w:pos="400" w:val="left" w:leader="none"/>
              </w:tabs>
              <w:spacing w:line="220" w:lineRule="exact"/>
              <w:ind w:right="3"/>
              <w:jc w:val="right"/>
              <w:rPr>
                <w:rFonts w:ascii="宋体" w:hAnsi="宋体" w:cs="宋体" w:eastAsia="宋体" w:hint="default"/>
                <w:sz w:val="20"/>
                <w:szCs w:val="20"/>
              </w:rPr>
            </w:pPr>
            <w:r>
              <w:rPr>
                <w:rFonts w:ascii="宋体"/>
                <w:w w:val="95"/>
                <w:sz w:val="20"/>
              </w:rPr>
              <w:t>(</w:t>
              <w:tab/>
              <w:t>85,000)</w:t>
            </w:r>
            <w:r>
              <w:rPr>
                <w:rFonts w:ascii="宋体"/>
                <w:sz w:val="20"/>
              </w:rPr>
            </w:r>
          </w:p>
        </w:tc>
        <w:tc>
          <w:tcPr>
            <w:tcW w:w="1140" w:type="dxa"/>
            <w:tcBorders>
              <w:top w:val="nil" w:sz="6" w:space="0" w:color="auto"/>
              <w:left w:val="nil" w:sz="6" w:space="0" w:color="auto"/>
              <w:bottom w:val="nil" w:sz="6" w:space="0" w:color="auto"/>
              <w:right w:val="nil" w:sz="6" w:space="0" w:color="auto"/>
            </w:tcBorders>
          </w:tcPr>
          <w:p>
            <w:pPr>
              <w:pStyle w:val="TableParagraph"/>
              <w:tabs>
                <w:tab w:pos="301" w:val="left" w:leader="none"/>
              </w:tabs>
              <w:spacing w:line="220" w:lineRule="exact"/>
              <w:ind w:right="34"/>
              <w:jc w:val="right"/>
              <w:rPr>
                <w:rFonts w:ascii="宋体" w:hAnsi="宋体" w:cs="宋体" w:eastAsia="宋体" w:hint="default"/>
                <w:sz w:val="20"/>
                <w:szCs w:val="20"/>
              </w:rPr>
            </w:pPr>
            <w:r>
              <w:rPr>
                <w:rFonts w:ascii="宋体"/>
                <w:w w:val="95"/>
                <w:sz w:val="20"/>
              </w:rPr>
              <w:t>(</w:t>
              <w:tab/>
            </w:r>
            <w:r>
              <w:rPr>
                <w:rFonts w:ascii="宋体"/>
                <w:spacing w:val="-1"/>
                <w:sz w:val="20"/>
              </w:rPr>
              <w:t>382,500)</w:t>
            </w:r>
          </w:p>
        </w:tc>
        <w:tc>
          <w:tcPr>
            <w:tcW w:w="1239" w:type="dxa"/>
            <w:tcBorders>
              <w:top w:val="nil" w:sz="6" w:space="0" w:color="auto"/>
              <w:left w:val="nil" w:sz="6" w:space="0" w:color="auto"/>
              <w:bottom w:val="nil" w:sz="6" w:space="0" w:color="auto"/>
              <w:right w:val="nil" w:sz="6" w:space="0" w:color="auto"/>
            </w:tcBorders>
          </w:tcPr>
          <w:p>
            <w:pPr>
              <w:pStyle w:val="TableParagraph"/>
              <w:spacing w:line="220" w:lineRule="exact"/>
              <w:ind w:right="200"/>
              <w:jc w:val="right"/>
              <w:rPr>
                <w:rFonts w:ascii="宋体" w:hAnsi="宋体" w:cs="宋体" w:eastAsia="宋体" w:hint="default"/>
                <w:sz w:val="20"/>
                <w:szCs w:val="20"/>
              </w:rPr>
            </w:pPr>
            <w:r>
              <w:rPr>
                <w:rFonts w:ascii="宋体"/>
                <w:sz w:val="20"/>
              </w:rPr>
              <w:t>857,500</w:t>
            </w:r>
          </w:p>
        </w:tc>
      </w:tr>
      <w:tr>
        <w:trPr>
          <w:trHeight w:val="262" w:hRule="exact"/>
        </w:trPr>
        <w:tc>
          <w:tcPr>
            <w:tcW w:w="1894" w:type="dxa"/>
            <w:tcBorders>
              <w:top w:val="nil" w:sz="6" w:space="0" w:color="auto"/>
              <w:left w:val="nil" w:sz="6" w:space="0" w:color="auto"/>
              <w:bottom w:val="nil" w:sz="6" w:space="0" w:color="auto"/>
              <w:right w:val="nil" w:sz="6" w:space="0" w:color="auto"/>
            </w:tcBorders>
          </w:tcPr>
          <w:p>
            <w:pPr>
              <w:pStyle w:val="TableParagraph"/>
              <w:spacing w:line="241" w:lineRule="exact"/>
              <w:ind w:left="200" w:right="0"/>
              <w:jc w:val="left"/>
              <w:rPr>
                <w:rFonts w:ascii="宋体" w:hAnsi="宋体" w:cs="宋体" w:eastAsia="宋体" w:hint="default"/>
                <w:sz w:val="20"/>
                <w:szCs w:val="20"/>
              </w:rPr>
            </w:pPr>
            <w:r>
              <w:rPr>
                <w:rFonts w:ascii="宋体" w:hAnsi="宋体" w:cs="宋体" w:eastAsia="宋体" w:hint="default"/>
                <w:sz w:val="20"/>
                <w:szCs w:val="20"/>
              </w:rPr>
              <w:t>2016</w:t>
            </w:r>
            <w:r>
              <w:rPr>
                <w:rFonts w:ascii="宋体" w:hAnsi="宋体" w:cs="宋体" w:eastAsia="宋体" w:hint="default"/>
                <w:spacing w:val="-50"/>
                <w:sz w:val="20"/>
                <w:szCs w:val="20"/>
              </w:rPr>
              <w:t> </w:t>
            </w:r>
            <w:r>
              <w:rPr>
                <w:rFonts w:ascii="宋体" w:hAnsi="宋体" w:cs="宋体" w:eastAsia="宋体" w:hint="default"/>
                <w:sz w:val="20"/>
                <w:szCs w:val="20"/>
              </w:rPr>
              <w:t>年</w:t>
            </w:r>
            <w:r>
              <w:rPr>
                <w:rFonts w:ascii="宋体" w:hAnsi="宋体" w:cs="宋体" w:eastAsia="宋体" w:hint="default"/>
                <w:spacing w:val="-53"/>
                <w:sz w:val="20"/>
                <w:szCs w:val="20"/>
              </w:rPr>
              <w:t> </w:t>
            </w:r>
            <w:r>
              <w:rPr>
                <w:rFonts w:ascii="宋体" w:hAnsi="宋体" w:cs="宋体" w:eastAsia="宋体" w:hint="default"/>
                <w:sz w:val="20"/>
                <w:szCs w:val="20"/>
              </w:rPr>
              <w:t>12</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宋体" w:hAnsi="宋体" w:cs="宋体" w:eastAsia="宋体" w:hint="default"/>
                <w:sz w:val="20"/>
                <w:szCs w:val="20"/>
              </w:rPr>
              <w:t>6</w:t>
            </w:r>
            <w:r>
              <w:rPr>
                <w:rFonts w:ascii="宋体" w:hAnsi="宋体" w:cs="宋体" w:eastAsia="宋体" w:hint="default"/>
                <w:spacing w:val="-50"/>
                <w:sz w:val="20"/>
                <w:szCs w:val="20"/>
              </w:rPr>
              <w:t> </w:t>
            </w:r>
            <w:r>
              <w:rPr>
                <w:rFonts w:ascii="宋体" w:hAnsi="宋体" w:cs="宋体" w:eastAsia="宋体" w:hint="default"/>
                <w:sz w:val="20"/>
                <w:szCs w:val="20"/>
              </w:rPr>
              <w:t>日</w:t>
            </w:r>
          </w:p>
        </w:tc>
        <w:tc>
          <w:tcPr>
            <w:tcW w:w="612" w:type="dxa"/>
            <w:tcBorders>
              <w:top w:val="nil" w:sz="6" w:space="0" w:color="auto"/>
              <w:left w:val="nil" w:sz="6" w:space="0" w:color="auto"/>
              <w:bottom w:val="nil" w:sz="6" w:space="0" w:color="auto"/>
              <w:right w:val="nil" w:sz="6" w:space="0" w:color="auto"/>
            </w:tcBorders>
          </w:tcPr>
          <w:p>
            <w:pPr>
              <w:pStyle w:val="TableParagraph"/>
              <w:spacing w:line="241" w:lineRule="exact"/>
              <w:ind w:left="140" w:right="0"/>
              <w:jc w:val="left"/>
              <w:rPr>
                <w:rFonts w:ascii="宋体" w:hAnsi="宋体" w:cs="宋体" w:eastAsia="宋体" w:hint="default"/>
                <w:sz w:val="20"/>
                <w:szCs w:val="20"/>
              </w:rPr>
            </w:pPr>
            <w:r>
              <w:rPr>
                <w:rFonts w:ascii="宋体"/>
                <w:sz w:val="20"/>
              </w:rPr>
              <w:t>(d)</w:t>
            </w:r>
          </w:p>
        </w:tc>
        <w:tc>
          <w:tcPr>
            <w:tcW w:w="1307" w:type="dxa"/>
            <w:tcBorders>
              <w:top w:val="nil" w:sz="6" w:space="0" w:color="auto"/>
              <w:left w:val="nil" w:sz="6" w:space="0" w:color="auto"/>
              <w:bottom w:val="nil" w:sz="6" w:space="0" w:color="auto"/>
              <w:right w:val="nil" w:sz="6" w:space="0" w:color="auto"/>
            </w:tcBorders>
          </w:tcPr>
          <w:p>
            <w:pPr>
              <w:pStyle w:val="TableParagraph"/>
              <w:spacing w:line="241" w:lineRule="exact"/>
              <w:ind w:right="62"/>
              <w:jc w:val="right"/>
              <w:rPr>
                <w:rFonts w:ascii="宋体" w:hAnsi="宋体" w:cs="宋体" w:eastAsia="宋体" w:hint="default"/>
                <w:sz w:val="20"/>
                <w:szCs w:val="20"/>
              </w:rPr>
            </w:pPr>
            <w:r>
              <w:rPr>
                <w:rFonts w:ascii="宋体"/>
                <w:sz w:val="20"/>
              </w:rPr>
              <w:t>8.84</w:t>
            </w:r>
          </w:p>
        </w:tc>
        <w:tc>
          <w:tcPr>
            <w:tcW w:w="1112"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right"/>
              <w:rPr>
                <w:rFonts w:ascii="宋体" w:hAnsi="宋体" w:cs="宋体" w:eastAsia="宋体" w:hint="default"/>
                <w:sz w:val="20"/>
                <w:szCs w:val="20"/>
              </w:rPr>
            </w:pPr>
            <w:r>
              <w:rPr>
                <w:rFonts w:ascii="宋体"/>
                <w:w w:val="95"/>
                <w:sz w:val="20"/>
              </w:rPr>
              <w:t>2,690,000</w:t>
            </w:r>
            <w:r>
              <w:rPr>
                <w:rFonts w:ascii="宋体"/>
                <w:sz w:val="20"/>
              </w:rPr>
            </w:r>
          </w:p>
        </w:tc>
        <w:tc>
          <w:tcPr>
            <w:tcW w:w="976" w:type="dxa"/>
            <w:tcBorders>
              <w:top w:val="nil" w:sz="6" w:space="0" w:color="auto"/>
              <w:left w:val="nil" w:sz="6" w:space="0" w:color="auto"/>
              <w:bottom w:val="nil" w:sz="6" w:space="0" w:color="auto"/>
              <w:right w:val="nil" w:sz="6" w:space="0" w:color="auto"/>
            </w:tcBorders>
          </w:tcPr>
          <w:p>
            <w:pPr>
              <w:pStyle w:val="TableParagraph"/>
              <w:spacing w:line="241" w:lineRule="exact"/>
              <w:ind w:right="30"/>
              <w:jc w:val="right"/>
              <w:rPr>
                <w:rFonts w:ascii="宋体" w:hAnsi="宋体" w:cs="宋体" w:eastAsia="宋体" w:hint="default"/>
                <w:sz w:val="20"/>
                <w:szCs w:val="20"/>
              </w:rPr>
            </w:pPr>
            <w:r>
              <w:rPr>
                <w:rFonts w:ascii="宋体"/>
                <w:w w:val="99"/>
                <w:sz w:val="20"/>
              </w:rPr>
              <w:t>-</w:t>
            </w:r>
            <w:r>
              <w:rPr>
                <w:rFonts w:ascii="宋体"/>
                <w:sz w:val="20"/>
              </w:rPr>
            </w:r>
          </w:p>
        </w:tc>
        <w:tc>
          <w:tcPr>
            <w:tcW w:w="1136" w:type="dxa"/>
            <w:tcBorders>
              <w:top w:val="nil" w:sz="6" w:space="0" w:color="auto"/>
              <w:left w:val="nil" w:sz="6" w:space="0" w:color="auto"/>
              <w:bottom w:val="nil" w:sz="6" w:space="0" w:color="auto"/>
              <w:right w:val="nil" w:sz="6" w:space="0" w:color="auto"/>
            </w:tcBorders>
          </w:tcPr>
          <w:p>
            <w:pPr>
              <w:pStyle w:val="TableParagraph"/>
              <w:spacing w:line="241" w:lineRule="exact"/>
              <w:ind w:right="3"/>
              <w:jc w:val="right"/>
              <w:rPr>
                <w:rFonts w:ascii="宋体" w:hAnsi="宋体" w:cs="宋体" w:eastAsia="宋体" w:hint="default"/>
                <w:sz w:val="20"/>
                <w:szCs w:val="20"/>
              </w:rPr>
            </w:pPr>
            <w:r>
              <w:rPr>
                <w:rFonts w:ascii="宋体"/>
                <w:w w:val="95"/>
                <w:sz w:val="20"/>
              </w:rPr>
              <w:t>(1,425,000)</w:t>
            </w:r>
            <w:r>
              <w:rPr>
                <w:rFonts w:ascii="宋体"/>
                <w:sz w:val="20"/>
              </w:rPr>
            </w:r>
          </w:p>
        </w:tc>
        <w:tc>
          <w:tcPr>
            <w:tcW w:w="1140" w:type="dxa"/>
            <w:tcBorders>
              <w:top w:val="nil" w:sz="6" w:space="0" w:color="auto"/>
              <w:left w:val="nil" w:sz="6" w:space="0" w:color="auto"/>
              <w:bottom w:val="nil" w:sz="6" w:space="0" w:color="auto"/>
              <w:right w:val="nil" w:sz="6" w:space="0" w:color="auto"/>
            </w:tcBorders>
          </w:tcPr>
          <w:p>
            <w:pPr>
              <w:pStyle w:val="TableParagraph"/>
              <w:tabs>
                <w:tab w:pos="301" w:val="left" w:leader="none"/>
              </w:tabs>
              <w:spacing w:line="241" w:lineRule="exact"/>
              <w:ind w:right="34"/>
              <w:jc w:val="right"/>
              <w:rPr>
                <w:rFonts w:ascii="宋体" w:hAnsi="宋体" w:cs="宋体" w:eastAsia="宋体" w:hint="default"/>
                <w:sz w:val="20"/>
                <w:szCs w:val="20"/>
              </w:rPr>
            </w:pPr>
            <w:r>
              <w:rPr>
                <w:rFonts w:ascii="宋体"/>
                <w:w w:val="95"/>
                <w:sz w:val="20"/>
              </w:rPr>
              <w:t>(</w:t>
              <w:tab/>
            </w:r>
            <w:r>
              <w:rPr>
                <w:rFonts w:ascii="宋体"/>
                <w:spacing w:val="-1"/>
                <w:sz w:val="20"/>
              </w:rPr>
              <w:t>379,500)</w:t>
            </w:r>
          </w:p>
        </w:tc>
        <w:tc>
          <w:tcPr>
            <w:tcW w:w="1239" w:type="dxa"/>
            <w:tcBorders>
              <w:top w:val="nil" w:sz="6" w:space="0" w:color="auto"/>
              <w:left w:val="nil" w:sz="6" w:space="0" w:color="auto"/>
              <w:bottom w:val="nil" w:sz="6" w:space="0" w:color="auto"/>
              <w:right w:val="nil" w:sz="6" w:space="0" w:color="auto"/>
            </w:tcBorders>
          </w:tcPr>
          <w:p>
            <w:pPr>
              <w:pStyle w:val="TableParagraph"/>
              <w:spacing w:line="241" w:lineRule="exact"/>
              <w:ind w:right="200"/>
              <w:jc w:val="right"/>
              <w:rPr>
                <w:rFonts w:ascii="宋体" w:hAnsi="宋体" w:cs="宋体" w:eastAsia="宋体" w:hint="default"/>
                <w:sz w:val="20"/>
                <w:szCs w:val="20"/>
              </w:rPr>
            </w:pPr>
            <w:r>
              <w:rPr>
                <w:rFonts w:ascii="宋体"/>
                <w:sz w:val="20"/>
              </w:rPr>
              <w:t>885,500</w:t>
            </w:r>
          </w:p>
        </w:tc>
      </w:tr>
      <w:tr>
        <w:trPr>
          <w:trHeight w:val="306" w:hRule="exact"/>
        </w:trPr>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1"/>
              <w:ind w:left="200" w:right="0"/>
              <w:jc w:val="left"/>
              <w:rPr>
                <w:rFonts w:ascii="宋体" w:hAnsi="宋体" w:cs="宋体" w:eastAsia="宋体" w:hint="default"/>
                <w:sz w:val="20"/>
                <w:szCs w:val="20"/>
              </w:rPr>
            </w:pPr>
            <w:r>
              <w:rPr>
                <w:rFonts w:ascii="宋体" w:hAnsi="宋体" w:cs="宋体" w:eastAsia="宋体" w:hint="default"/>
                <w:sz w:val="20"/>
                <w:szCs w:val="20"/>
              </w:rPr>
              <w:t>2017</w:t>
            </w:r>
            <w:r>
              <w:rPr>
                <w:rFonts w:ascii="宋体" w:hAnsi="宋体" w:cs="宋体" w:eastAsia="宋体" w:hint="default"/>
                <w:spacing w:val="-50"/>
                <w:sz w:val="20"/>
                <w:szCs w:val="20"/>
              </w:rPr>
              <w:t> </w:t>
            </w:r>
            <w:r>
              <w:rPr>
                <w:rFonts w:ascii="宋体" w:hAnsi="宋体" w:cs="宋体" w:eastAsia="宋体" w:hint="default"/>
                <w:sz w:val="20"/>
                <w:szCs w:val="20"/>
              </w:rPr>
              <w:t>年</w:t>
            </w:r>
            <w:r>
              <w:rPr>
                <w:rFonts w:ascii="宋体" w:hAnsi="宋体" w:cs="宋体" w:eastAsia="宋体" w:hint="default"/>
                <w:spacing w:val="-53"/>
                <w:sz w:val="20"/>
                <w:szCs w:val="20"/>
              </w:rPr>
              <w:t> </w:t>
            </w:r>
            <w:r>
              <w:rPr>
                <w:rFonts w:ascii="宋体" w:hAnsi="宋体" w:cs="宋体" w:eastAsia="宋体" w:hint="default"/>
                <w:sz w:val="20"/>
                <w:szCs w:val="20"/>
              </w:rPr>
              <w:t>6</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宋体" w:hAnsi="宋体" w:cs="宋体" w:eastAsia="宋体" w:hint="default"/>
                <w:sz w:val="20"/>
                <w:szCs w:val="20"/>
              </w:rPr>
              <w:t>5</w:t>
            </w:r>
            <w:r>
              <w:rPr>
                <w:rFonts w:ascii="宋体" w:hAnsi="宋体" w:cs="宋体" w:eastAsia="宋体" w:hint="default"/>
                <w:spacing w:val="-50"/>
                <w:sz w:val="20"/>
                <w:szCs w:val="20"/>
              </w:rPr>
              <w:t> </w:t>
            </w:r>
            <w:r>
              <w:rPr>
                <w:rFonts w:ascii="宋体" w:hAnsi="宋体" w:cs="宋体" w:eastAsia="宋体" w:hint="default"/>
                <w:sz w:val="20"/>
                <w:szCs w:val="20"/>
              </w:rPr>
              <w:t>日</w:t>
            </w:r>
          </w:p>
        </w:tc>
        <w:tc>
          <w:tcPr>
            <w:tcW w:w="612" w:type="dxa"/>
            <w:tcBorders>
              <w:top w:val="nil" w:sz="6" w:space="0" w:color="auto"/>
              <w:left w:val="nil" w:sz="6" w:space="0" w:color="auto"/>
              <w:bottom w:val="nil" w:sz="6" w:space="0" w:color="auto"/>
              <w:right w:val="nil" w:sz="6" w:space="0" w:color="auto"/>
            </w:tcBorders>
          </w:tcPr>
          <w:p>
            <w:pPr>
              <w:pStyle w:val="TableParagraph"/>
              <w:spacing w:line="220" w:lineRule="exact"/>
              <w:ind w:left="140" w:right="0"/>
              <w:jc w:val="left"/>
              <w:rPr>
                <w:rFonts w:ascii="宋体" w:hAnsi="宋体" w:cs="宋体" w:eastAsia="宋体" w:hint="default"/>
                <w:sz w:val="20"/>
                <w:szCs w:val="20"/>
              </w:rPr>
            </w:pPr>
            <w:r>
              <w:rPr>
                <w:rFonts w:ascii="宋体"/>
                <w:sz w:val="20"/>
              </w:rPr>
              <w:t>(e)</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62"/>
              <w:jc w:val="right"/>
              <w:rPr>
                <w:rFonts w:ascii="宋体" w:hAnsi="宋体" w:cs="宋体" w:eastAsia="宋体" w:hint="default"/>
                <w:sz w:val="20"/>
                <w:szCs w:val="20"/>
              </w:rPr>
            </w:pPr>
            <w:r>
              <w:rPr>
                <w:rFonts w:ascii="宋体"/>
                <w:sz w:val="20"/>
              </w:rPr>
              <w:t>6.98</w:t>
            </w:r>
          </w:p>
        </w:tc>
        <w:tc>
          <w:tcPr>
            <w:tcW w:w="1112" w:type="dxa"/>
            <w:tcBorders>
              <w:top w:val="nil" w:sz="6" w:space="0" w:color="auto"/>
              <w:left w:val="nil" w:sz="6" w:space="0" w:color="auto"/>
              <w:bottom w:val="nil" w:sz="6" w:space="0" w:color="auto"/>
              <w:right w:val="nil" w:sz="6" w:space="0" w:color="auto"/>
            </w:tcBorders>
          </w:tcPr>
          <w:p>
            <w:pPr>
              <w:pStyle w:val="TableParagraph"/>
              <w:tabs>
                <w:tab w:pos="902" w:val="left" w:leader="none"/>
              </w:tabs>
              <w:spacing w:line="240" w:lineRule="auto" w:before="1"/>
              <w:ind w:right="44"/>
              <w:jc w:val="right"/>
              <w:rPr>
                <w:rFonts w:ascii="宋体" w:hAnsi="宋体" w:cs="宋体" w:eastAsia="宋体" w:hint="default"/>
                <w:sz w:val="20"/>
                <w:szCs w:val="20"/>
              </w:rPr>
            </w:pPr>
            <w:r>
              <w:rPr>
                <w:rFonts w:ascii="宋体"/>
                <w:w w:val="99"/>
                <w:sz w:val="20"/>
              </w:rPr>
            </w:r>
            <w:r>
              <w:rPr>
                <w:rFonts w:ascii="宋体"/>
                <w:w w:val="99"/>
                <w:sz w:val="20"/>
                <w:u w:val="single" w:color="000000"/>
              </w:rPr>
              <w:t> </w:t>
            </w:r>
            <w:r>
              <w:rPr>
                <w:rFonts w:ascii="宋体"/>
                <w:sz w:val="20"/>
                <w:u w:val="single" w:color="000000"/>
              </w:rPr>
              <w:tab/>
            </w:r>
            <w:r>
              <w:rPr>
                <w:rFonts w:ascii="宋体"/>
                <w:w w:val="95"/>
                <w:sz w:val="20"/>
                <w:u w:val="single" w:color="000000"/>
              </w:rPr>
              <w:t>-</w:t>
            </w:r>
            <w:r>
              <w:rPr>
                <w:rFonts w:ascii="宋体"/>
                <w:w w:val="95"/>
                <w:sz w:val="20"/>
              </w:rPr>
            </w:r>
            <w:r>
              <w:rPr>
                <w:rFonts w:ascii="宋体"/>
                <w:sz w:val="20"/>
              </w:rPr>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29"/>
              <w:jc w:val="right"/>
              <w:rPr>
                <w:rFonts w:ascii="宋体" w:hAnsi="宋体" w:cs="宋体" w:eastAsia="宋体" w:hint="default"/>
                <w:sz w:val="20"/>
                <w:szCs w:val="20"/>
              </w:rPr>
            </w:pPr>
            <w:r>
              <w:rPr>
                <w:rFonts w:ascii="宋体"/>
                <w:w w:val="99"/>
                <w:sz w:val="20"/>
              </w:rPr>
            </w:r>
            <w:r>
              <w:rPr>
                <w:rFonts w:ascii="宋体"/>
                <w:w w:val="95"/>
                <w:sz w:val="20"/>
                <w:u w:val="single" w:color="000000"/>
              </w:rPr>
              <w:t>4,071,000</w:t>
            </w:r>
            <w:r>
              <w:rPr>
                <w:rFonts w:ascii="宋体"/>
                <w:w w:val="95"/>
                <w:sz w:val="20"/>
              </w:rPr>
            </w:r>
            <w:r>
              <w:rPr>
                <w:rFonts w:ascii="宋体"/>
                <w:sz w:val="20"/>
              </w:rPr>
            </w:r>
          </w:p>
        </w:tc>
        <w:tc>
          <w:tcPr>
            <w:tcW w:w="1136" w:type="dxa"/>
            <w:tcBorders>
              <w:top w:val="nil" w:sz="6" w:space="0" w:color="auto"/>
              <w:left w:val="nil" w:sz="6" w:space="0" w:color="auto"/>
              <w:bottom w:val="nil" w:sz="6" w:space="0" w:color="auto"/>
              <w:right w:val="nil" w:sz="6" w:space="0" w:color="auto"/>
            </w:tcBorders>
          </w:tcPr>
          <w:p>
            <w:pPr>
              <w:pStyle w:val="TableParagraph"/>
              <w:tabs>
                <w:tab w:pos="400" w:val="left" w:leader="none"/>
              </w:tabs>
              <w:spacing w:line="240" w:lineRule="auto" w:before="1"/>
              <w:ind w:right="2"/>
              <w:jc w:val="right"/>
              <w:rPr>
                <w:rFonts w:ascii="宋体" w:hAnsi="宋体" w:cs="宋体" w:eastAsia="宋体" w:hint="default"/>
                <w:sz w:val="20"/>
                <w:szCs w:val="20"/>
              </w:rPr>
            </w:pPr>
            <w:r>
              <w:rPr>
                <w:rFonts w:ascii="宋体"/>
                <w:sz w:val="20"/>
              </w:rPr>
              <w:t>(</w:t>
            </w:r>
            <w:r>
              <w:rPr>
                <w:rFonts w:ascii="宋体"/>
                <w:sz w:val="20"/>
                <w:u w:val="single" w:color="000000"/>
              </w:rPr>
              <w:t> </w:t>
              <w:tab/>
            </w:r>
            <w:r>
              <w:rPr>
                <w:rFonts w:ascii="宋体"/>
                <w:w w:val="95"/>
                <w:sz w:val="20"/>
                <w:u w:val="single" w:color="000000"/>
              </w:rPr>
              <w:t>75,000</w:t>
            </w:r>
            <w:r>
              <w:rPr>
                <w:rFonts w:ascii="宋体"/>
                <w:w w:val="95"/>
                <w:sz w:val="20"/>
              </w:rPr>
              <w:t>)</w:t>
            </w:r>
            <w:r>
              <w:rPr>
                <w:rFonts w:ascii="宋体"/>
                <w:sz w:val="20"/>
              </w:rPr>
            </w:r>
          </w:p>
        </w:tc>
        <w:tc>
          <w:tcPr>
            <w:tcW w:w="1140" w:type="dxa"/>
            <w:tcBorders>
              <w:top w:val="nil" w:sz="6" w:space="0" w:color="auto"/>
              <w:left w:val="nil" w:sz="6" w:space="0" w:color="auto"/>
              <w:bottom w:val="nil" w:sz="6" w:space="0" w:color="auto"/>
              <w:right w:val="nil" w:sz="6" w:space="0" w:color="auto"/>
            </w:tcBorders>
          </w:tcPr>
          <w:p>
            <w:pPr>
              <w:pStyle w:val="TableParagraph"/>
              <w:tabs>
                <w:tab w:pos="933" w:val="left" w:leader="none"/>
              </w:tabs>
              <w:spacing w:line="240" w:lineRule="auto" w:before="1"/>
              <w:ind w:left="131" w:right="0"/>
              <w:jc w:val="left"/>
              <w:rPr>
                <w:rFonts w:ascii="宋体" w:hAnsi="宋体" w:cs="宋体" w:eastAsia="宋体" w:hint="default"/>
                <w:sz w:val="20"/>
                <w:szCs w:val="20"/>
              </w:rPr>
            </w:pPr>
            <w:r>
              <w:rPr>
                <w:rFonts w:ascii="宋体"/>
                <w:w w:val="99"/>
                <w:sz w:val="20"/>
              </w:rPr>
            </w:r>
            <w:r>
              <w:rPr>
                <w:rFonts w:ascii="宋体"/>
                <w:w w:val="99"/>
                <w:sz w:val="20"/>
                <w:u w:val="single" w:color="000000"/>
              </w:rPr>
              <w:t> </w:t>
            </w:r>
            <w:r>
              <w:rPr>
                <w:rFonts w:ascii="宋体"/>
                <w:sz w:val="20"/>
                <w:u w:val="single" w:color="000000"/>
              </w:rPr>
              <w:tab/>
              <w:t>-</w:t>
            </w:r>
            <w:r>
              <w:rPr>
                <w:rFonts w:ascii="宋体"/>
                <w:sz w:val="20"/>
              </w:rPr>
            </w:r>
          </w:p>
        </w:tc>
        <w:tc>
          <w:tcPr>
            <w:tcW w:w="123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200"/>
              <w:jc w:val="right"/>
              <w:rPr>
                <w:rFonts w:ascii="宋体" w:hAnsi="宋体" w:cs="宋体" w:eastAsia="宋体" w:hint="default"/>
                <w:sz w:val="20"/>
                <w:szCs w:val="20"/>
              </w:rPr>
            </w:pPr>
            <w:r>
              <w:rPr>
                <w:rFonts w:ascii="宋体"/>
                <w:w w:val="99"/>
                <w:sz w:val="20"/>
              </w:rPr>
            </w:r>
            <w:r>
              <w:rPr>
                <w:rFonts w:ascii="宋体"/>
                <w:spacing w:val="1"/>
                <w:w w:val="99"/>
                <w:sz w:val="20"/>
                <w:u w:val="single" w:color="000000"/>
              </w:rPr>
              <w:t> </w:t>
            </w:r>
            <w:r>
              <w:rPr>
                <w:rFonts w:ascii="宋体"/>
                <w:w w:val="95"/>
                <w:sz w:val="20"/>
                <w:u w:val="single" w:color="000000"/>
              </w:rPr>
              <w:t>3,996,000</w:t>
            </w:r>
            <w:r>
              <w:rPr>
                <w:rFonts w:ascii="宋体"/>
                <w:w w:val="95"/>
                <w:sz w:val="20"/>
              </w:rPr>
            </w:r>
            <w:r>
              <w:rPr>
                <w:rFonts w:ascii="宋体"/>
                <w:sz w:val="20"/>
              </w:rPr>
            </w:r>
          </w:p>
        </w:tc>
      </w:tr>
      <w:tr>
        <w:trPr>
          <w:trHeight w:val="242" w:hRule="exact"/>
        </w:trPr>
        <w:tc>
          <w:tcPr>
            <w:tcW w:w="1894" w:type="dxa"/>
            <w:tcBorders>
              <w:top w:val="nil" w:sz="6" w:space="0" w:color="auto"/>
              <w:left w:val="nil" w:sz="6" w:space="0" w:color="auto"/>
              <w:bottom w:val="nil" w:sz="6" w:space="0" w:color="auto"/>
              <w:right w:val="nil" w:sz="6" w:space="0" w:color="auto"/>
            </w:tcBorders>
          </w:tcPr>
          <w:p>
            <w:pPr/>
          </w:p>
        </w:tc>
        <w:tc>
          <w:tcPr>
            <w:tcW w:w="612" w:type="dxa"/>
            <w:tcBorders>
              <w:top w:val="nil" w:sz="6" w:space="0" w:color="auto"/>
              <w:left w:val="nil" w:sz="6" w:space="0" w:color="auto"/>
              <w:bottom w:val="nil" w:sz="6" w:space="0" w:color="auto"/>
              <w:right w:val="nil" w:sz="6" w:space="0" w:color="auto"/>
            </w:tcBorders>
          </w:tcPr>
          <w:p>
            <w:pPr/>
          </w:p>
        </w:tc>
        <w:tc>
          <w:tcPr>
            <w:tcW w:w="1307" w:type="dxa"/>
            <w:tcBorders>
              <w:top w:val="nil" w:sz="6" w:space="0" w:color="auto"/>
              <w:left w:val="nil" w:sz="6" w:space="0" w:color="auto"/>
              <w:bottom w:val="nil" w:sz="6" w:space="0" w:color="auto"/>
              <w:right w:val="nil" w:sz="6" w:space="0" w:color="auto"/>
            </w:tcBorders>
          </w:tcPr>
          <w:p>
            <w:pPr/>
          </w:p>
        </w:tc>
        <w:tc>
          <w:tcPr>
            <w:tcW w:w="1112" w:type="dxa"/>
            <w:tcBorders>
              <w:top w:val="nil" w:sz="6" w:space="0" w:color="auto"/>
              <w:left w:val="nil" w:sz="6" w:space="0" w:color="auto"/>
              <w:bottom w:val="nil" w:sz="6" w:space="0" w:color="auto"/>
              <w:right w:val="nil" w:sz="6" w:space="0" w:color="auto"/>
            </w:tcBorders>
          </w:tcPr>
          <w:p>
            <w:pPr>
              <w:pStyle w:val="TableParagraph"/>
              <w:spacing w:line="243" w:lineRule="exact"/>
              <w:ind w:right="44"/>
              <w:jc w:val="right"/>
              <w:rPr>
                <w:rFonts w:ascii="宋体" w:hAnsi="宋体" w:cs="宋体" w:eastAsia="宋体" w:hint="default"/>
                <w:sz w:val="20"/>
                <w:szCs w:val="20"/>
              </w:rPr>
            </w:pPr>
            <w:r>
              <w:rPr>
                <w:rFonts w:ascii="宋体"/>
                <w:w w:val="99"/>
                <w:sz w:val="20"/>
              </w:rPr>
            </w:r>
            <w:r>
              <w:rPr>
                <w:rFonts w:ascii="宋体"/>
                <w:w w:val="95"/>
                <w:sz w:val="20"/>
                <w:u w:val="single" w:color="000000"/>
              </w:rPr>
              <w:t>14,819,500</w:t>
            </w:r>
            <w:r>
              <w:rPr>
                <w:rFonts w:ascii="宋体"/>
                <w:w w:val="95"/>
                <w:sz w:val="20"/>
              </w:rPr>
            </w:r>
            <w:r>
              <w:rPr>
                <w:rFonts w:ascii="宋体"/>
                <w:sz w:val="20"/>
              </w:rPr>
            </w:r>
          </w:p>
        </w:tc>
        <w:tc>
          <w:tcPr>
            <w:tcW w:w="976" w:type="dxa"/>
            <w:tcBorders>
              <w:top w:val="nil" w:sz="6" w:space="0" w:color="auto"/>
              <w:left w:val="nil" w:sz="6" w:space="0" w:color="auto"/>
              <w:bottom w:val="nil" w:sz="6" w:space="0" w:color="auto"/>
              <w:right w:val="nil" w:sz="6" w:space="0" w:color="auto"/>
            </w:tcBorders>
          </w:tcPr>
          <w:p>
            <w:pPr>
              <w:pStyle w:val="TableParagraph"/>
              <w:spacing w:line="243" w:lineRule="exact"/>
              <w:ind w:right="29"/>
              <w:jc w:val="right"/>
              <w:rPr>
                <w:rFonts w:ascii="宋体" w:hAnsi="宋体" w:cs="宋体" w:eastAsia="宋体" w:hint="default"/>
                <w:sz w:val="20"/>
                <w:szCs w:val="20"/>
              </w:rPr>
            </w:pPr>
            <w:r>
              <w:rPr>
                <w:rFonts w:ascii="宋体"/>
                <w:w w:val="99"/>
                <w:sz w:val="20"/>
              </w:rPr>
            </w:r>
            <w:r>
              <w:rPr>
                <w:rFonts w:ascii="宋体"/>
                <w:w w:val="95"/>
                <w:sz w:val="20"/>
                <w:u w:val="single" w:color="000000"/>
              </w:rPr>
              <w:t>4,071,000</w:t>
            </w:r>
            <w:r>
              <w:rPr>
                <w:rFonts w:ascii="宋体"/>
                <w:w w:val="95"/>
                <w:sz w:val="20"/>
              </w:rPr>
            </w:r>
            <w:r>
              <w:rPr>
                <w:rFonts w:ascii="宋体"/>
                <w:sz w:val="20"/>
              </w:rPr>
            </w:r>
          </w:p>
        </w:tc>
        <w:tc>
          <w:tcPr>
            <w:tcW w:w="1136" w:type="dxa"/>
            <w:tcBorders>
              <w:top w:val="nil" w:sz="6" w:space="0" w:color="auto"/>
              <w:left w:val="nil" w:sz="6" w:space="0" w:color="auto"/>
              <w:bottom w:val="nil" w:sz="6" w:space="0" w:color="auto"/>
              <w:right w:val="nil" w:sz="6" w:space="0" w:color="auto"/>
            </w:tcBorders>
          </w:tcPr>
          <w:p>
            <w:pPr>
              <w:pStyle w:val="TableParagraph"/>
              <w:spacing w:line="243" w:lineRule="exact"/>
              <w:ind w:right="2"/>
              <w:jc w:val="right"/>
              <w:rPr>
                <w:rFonts w:ascii="宋体" w:hAnsi="宋体" w:cs="宋体" w:eastAsia="宋体" w:hint="default"/>
                <w:sz w:val="20"/>
                <w:szCs w:val="20"/>
              </w:rPr>
            </w:pPr>
            <w:r>
              <w:rPr>
                <w:rFonts w:ascii="宋体"/>
                <w:w w:val="95"/>
                <w:sz w:val="20"/>
              </w:rPr>
              <w:t>(</w:t>
            </w:r>
            <w:r>
              <w:rPr>
                <w:rFonts w:ascii="宋体"/>
                <w:w w:val="95"/>
                <w:sz w:val="20"/>
                <w:u w:val="single" w:color="000000"/>
              </w:rPr>
              <w:t>4,215,000</w:t>
            </w:r>
            <w:r>
              <w:rPr>
                <w:rFonts w:ascii="宋体"/>
                <w:w w:val="95"/>
                <w:sz w:val="20"/>
              </w:rPr>
              <w:t>)</w:t>
            </w:r>
            <w:r>
              <w:rPr>
                <w:rFonts w:ascii="宋体"/>
                <w:sz w:val="20"/>
              </w:rPr>
            </w:r>
          </w:p>
        </w:tc>
        <w:tc>
          <w:tcPr>
            <w:tcW w:w="1140" w:type="dxa"/>
            <w:tcBorders>
              <w:top w:val="nil" w:sz="6" w:space="0" w:color="auto"/>
              <w:left w:val="nil" w:sz="6" w:space="0" w:color="auto"/>
              <w:bottom w:val="nil" w:sz="6" w:space="0" w:color="auto"/>
              <w:right w:val="nil" w:sz="6" w:space="0" w:color="auto"/>
            </w:tcBorders>
          </w:tcPr>
          <w:p>
            <w:pPr>
              <w:pStyle w:val="TableParagraph"/>
              <w:spacing w:line="243" w:lineRule="exact"/>
              <w:ind w:right="33"/>
              <w:jc w:val="right"/>
              <w:rPr>
                <w:rFonts w:ascii="宋体" w:hAnsi="宋体" w:cs="宋体" w:eastAsia="宋体" w:hint="default"/>
                <w:sz w:val="20"/>
                <w:szCs w:val="20"/>
              </w:rPr>
            </w:pPr>
            <w:r>
              <w:rPr>
                <w:rFonts w:ascii="宋体"/>
                <w:w w:val="95"/>
                <w:sz w:val="20"/>
              </w:rPr>
              <w:t>(</w:t>
            </w:r>
            <w:r>
              <w:rPr>
                <w:rFonts w:ascii="宋体"/>
                <w:w w:val="95"/>
                <w:sz w:val="20"/>
                <w:u w:val="single" w:color="000000"/>
              </w:rPr>
              <w:t>4,288,500</w:t>
            </w:r>
            <w:r>
              <w:rPr>
                <w:rFonts w:ascii="宋体"/>
                <w:w w:val="95"/>
                <w:sz w:val="20"/>
              </w:rPr>
              <w:t>)</w:t>
            </w:r>
            <w:r>
              <w:rPr>
                <w:rFonts w:ascii="宋体"/>
                <w:sz w:val="20"/>
              </w:rPr>
            </w:r>
          </w:p>
        </w:tc>
        <w:tc>
          <w:tcPr>
            <w:tcW w:w="1239" w:type="dxa"/>
            <w:tcBorders>
              <w:top w:val="nil" w:sz="6" w:space="0" w:color="auto"/>
              <w:left w:val="nil" w:sz="6" w:space="0" w:color="auto"/>
              <w:bottom w:val="nil" w:sz="6" w:space="0" w:color="auto"/>
              <w:right w:val="nil" w:sz="6" w:space="0" w:color="auto"/>
            </w:tcBorders>
          </w:tcPr>
          <w:p>
            <w:pPr>
              <w:pStyle w:val="TableParagraph"/>
              <w:spacing w:line="243" w:lineRule="exact"/>
              <w:ind w:right="200"/>
              <w:jc w:val="right"/>
              <w:rPr>
                <w:rFonts w:ascii="宋体" w:hAnsi="宋体" w:cs="宋体" w:eastAsia="宋体" w:hint="default"/>
                <w:sz w:val="20"/>
                <w:szCs w:val="20"/>
              </w:rPr>
            </w:pPr>
            <w:r>
              <w:rPr>
                <w:rFonts w:ascii="宋体"/>
                <w:w w:val="99"/>
                <w:sz w:val="20"/>
              </w:rPr>
            </w:r>
            <w:r>
              <w:rPr>
                <w:rFonts w:ascii="宋体"/>
                <w:w w:val="95"/>
                <w:sz w:val="20"/>
                <w:u w:val="single" w:color="000000"/>
              </w:rPr>
              <w:t>10,387,000</w:t>
            </w:r>
            <w:r>
              <w:rPr>
                <w:rFonts w:ascii="宋体"/>
                <w:w w:val="95"/>
                <w:sz w:val="20"/>
              </w:rPr>
            </w:r>
            <w:r>
              <w:rPr>
                <w:rFonts w:ascii="宋体"/>
                <w:sz w:val="20"/>
              </w:rPr>
            </w:r>
          </w:p>
        </w:tc>
      </w:tr>
    </w:tbl>
    <w:p>
      <w:pPr>
        <w:spacing w:line="240" w:lineRule="auto" w:before="11"/>
        <w:rPr>
          <w:rFonts w:ascii="宋体" w:hAnsi="宋体" w:cs="宋体" w:eastAsia="宋体" w:hint="default"/>
          <w:sz w:val="12"/>
          <w:szCs w:val="12"/>
        </w:rPr>
      </w:pPr>
    </w:p>
    <w:p>
      <w:pPr>
        <w:pStyle w:val="BodyText"/>
        <w:spacing w:line="240" w:lineRule="auto" w:before="36"/>
        <w:ind w:left="138" w:right="0"/>
        <w:jc w:val="left"/>
      </w:pPr>
      <w:r>
        <w:rPr>
          <w:rFonts w:ascii="宋体" w:hAnsi="宋体" w:cs="宋体" w:eastAsia="宋体" w:hint="default"/>
        </w:rPr>
        <w:t>2016</w:t>
      </w:r>
      <w:r>
        <w:rPr>
          <w:rFonts w:ascii="宋体" w:hAnsi="宋体" w:cs="宋体" w:eastAsia="宋体" w:hint="default"/>
          <w:spacing w:val="-52"/>
        </w:rPr>
        <w:t> </w:t>
      </w:r>
      <w:r>
        <w:rPr/>
        <w:t>年</w:t>
      </w:r>
    </w:p>
    <w:p>
      <w:pPr>
        <w:spacing w:line="240" w:lineRule="auto" w:before="4"/>
        <w:rPr>
          <w:rFonts w:ascii="宋体" w:hAnsi="宋体" w:cs="宋体" w:eastAsia="宋体" w:hint="default"/>
          <w:sz w:val="24"/>
          <w:szCs w:val="24"/>
        </w:rPr>
      </w:pPr>
    </w:p>
    <w:tbl>
      <w:tblPr>
        <w:tblW w:w="0" w:type="auto"/>
        <w:jc w:val="left"/>
        <w:tblInd w:w="221" w:type="dxa"/>
        <w:tblLayout w:type="fixed"/>
        <w:tblCellMar>
          <w:top w:w="0" w:type="dxa"/>
          <w:left w:w="0" w:type="dxa"/>
          <w:bottom w:w="0" w:type="dxa"/>
          <w:right w:w="0" w:type="dxa"/>
        </w:tblCellMar>
        <w:tblLook w:val="01E0"/>
      </w:tblPr>
      <w:tblGrid>
        <w:gridCol w:w="1894"/>
        <w:gridCol w:w="612"/>
        <w:gridCol w:w="1307"/>
        <w:gridCol w:w="1112"/>
        <w:gridCol w:w="963"/>
        <w:gridCol w:w="1119"/>
        <w:gridCol w:w="1154"/>
        <w:gridCol w:w="1255"/>
      </w:tblGrid>
      <w:tr>
        <w:trPr>
          <w:trHeight w:val="241" w:hRule="exact"/>
        </w:trPr>
        <w:tc>
          <w:tcPr>
            <w:tcW w:w="1894" w:type="dxa"/>
            <w:tcBorders>
              <w:top w:val="nil" w:sz="6" w:space="0" w:color="auto"/>
              <w:left w:val="nil" w:sz="6" w:space="0" w:color="auto"/>
              <w:bottom w:val="nil" w:sz="6" w:space="0" w:color="auto"/>
              <w:right w:val="nil" w:sz="6" w:space="0" w:color="auto"/>
            </w:tcBorders>
          </w:tcPr>
          <w:p>
            <w:pPr>
              <w:pStyle w:val="TableParagraph"/>
              <w:spacing w:line="199" w:lineRule="exact"/>
              <w:ind w:left="200" w:right="0"/>
              <w:jc w:val="left"/>
              <w:rPr>
                <w:rFonts w:ascii="宋体" w:hAnsi="宋体" w:cs="宋体" w:eastAsia="宋体" w:hint="default"/>
                <w:sz w:val="20"/>
                <w:szCs w:val="20"/>
              </w:rPr>
            </w:pPr>
            <w:r>
              <w:rPr>
                <w:rFonts w:ascii="宋体" w:hAnsi="宋体" w:cs="宋体" w:eastAsia="宋体" w:hint="default"/>
                <w:sz w:val="20"/>
                <w:szCs w:val="20"/>
              </w:rPr>
              <w:t>授予日期</w:t>
            </w:r>
          </w:p>
        </w:tc>
        <w:tc>
          <w:tcPr>
            <w:tcW w:w="612" w:type="dxa"/>
            <w:tcBorders>
              <w:top w:val="nil" w:sz="6" w:space="0" w:color="auto"/>
              <w:left w:val="nil" w:sz="6" w:space="0" w:color="auto"/>
              <w:bottom w:val="nil" w:sz="6" w:space="0" w:color="auto"/>
              <w:right w:val="nil" w:sz="6" w:space="0" w:color="auto"/>
            </w:tcBorders>
          </w:tcPr>
          <w:p>
            <w:pPr>
              <w:pStyle w:val="TableParagraph"/>
              <w:spacing w:line="199" w:lineRule="exact"/>
              <w:ind w:left="174" w:right="0"/>
              <w:jc w:val="left"/>
              <w:rPr>
                <w:rFonts w:ascii="宋体" w:hAnsi="宋体" w:cs="宋体" w:eastAsia="宋体" w:hint="default"/>
                <w:sz w:val="20"/>
                <w:szCs w:val="20"/>
              </w:rPr>
            </w:pPr>
            <w:r>
              <w:rPr>
                <w:rFonts w:ascii="宋体" w:hAnsi="宋体" w:cs="宋体" w:eastAsia="宋体" w:hint="default"/>
                <w:sz w:val="20"/>
                <w:szCs w:val="20"/>
              </w:rPr>
              <w:t>附注</w:t>
            </w:r>
          </w:p>
        </w:tc>
        <w:tc>
          <w:tcPr>
            <w:tcW w:w="1307" w:type="dxa"/>
            <w:tcBorders>
              <w:top w:val="nil" w:sz="6" w:space="0" w:color="auto"/>
              <w:left w:val="nil" w:sz="6" w:space="0" w:color="auto"/>
              <w:bottom w:val="nil" w:sz="6" w:space="0" w:color="auto"/>
              <w:right w:val="nil" w:sz="6" w:space="0" w:color="auto"/>
            </w:tcBorders>
          </w:tcPr>
          <w:p>
            <w:pPr>
              <w:pStyle w:val="TableParagraph"/>
              <w:spacing w:line="199" w:lineRule="exact"/>
              <w:ind w:right="67"/>
              <w:jc w:val="right"/>
              <w:rPr>
                <w:rFonts w:ascii="宋体" w:hAnsi="宋体" w:cs="宋体" w:eastAsia="宋体" w:hint="default"/>
                <w:sz w:val="20"/>
                <w:szCs w:val="20"/>
              </w:rPr>
            </w:pPr>
            <w:r>
              <w:rPr>
                <w:rFonts w:ascii="宋体" w:hAnsi="宋体" w:cs="宋体" w:eastAsia="宋体" w:hint="default"/>
                <w:w w:val="95"/>
                <w:sz w:val="20"/>
                <w:szCs w:val="20"/>
              </w:rPr>
              <w:t>每股公允价值</w:t>
            </w:r>
            <w:r>
              <w:rPr>
                <w:rFonts w:ascii="宋体" w:hAnsi="宋体" w:cs="宋体" w:eastAsia="宋体" w:hint="default"/>
                <w:sz w:val="20"/>
                <w:szCs w:val="20"/>
              </w:rPr>
            </w:r>
          </w:p>
        </w:tc>
        <w:tc>
          <w:tcPr>
            <w:tcW w:w="1112" w:type="dxa"/>
            <w:tcBorders>
              <w:top w:val="nil" w:sz="6" w:space="0" w:color="auto"/>
              <w:left w:val="nil" w:sz="6" w:space="0" w:color="auto"/>
              <w:bottom w:val="nil" w:sz="6" w:space="0" w:color="auto"/>
              <w:right w:val="nil" w:sz="6" w:space="0" w:color="auto"/>
            </w:tcBorders>
          </w:tcPr>
          <w:p>
            <w:pPr>
              <w:pStyle w:val="TableParagraph"/>
              <w:spacing w:line="199" w:lineRule="exact"/>
              <w:ind w:right="68"/>
              <w:jc w:val="right"/>
              <w:rPr>
                <w:rFonts w:ascii="宋体" w:hAnsi="宋体" w:cs="宋体" w:eastAsia="宋体" w:hint="default"/>
                <w:sz w:val="20"/>
                <w:szCs w:val="20"/>
              </w:rPr>
            </w:pPr>
            <w:r>
              <w:rPr>
                <w:rFonts w:ascii="宋体" w:hAnsi="宋体" w:cs="宋体" w:eastAsia="宋体" w:hint="default"/>
                <w:sz w:val="20"/>
                <w:szCs w:val="20"/>
              </w:rPr>
              <w:t>2016</w:t>
            </w:r>
            <w:r>
              <w:rPr>
                <w:rFonts w:ascii="宋体" w:hAnsi="宋体" w:cs="宋体" w:eastAsia="宋体" w:hint="default"/>
                <w:spacing w:val="-48"/>
                <w:sz w:val="20"/>
                <w:szCs w:val="20"/>
              </w:rPr>
              <w:t> </w:t>
            </w:r>
            <w:r>
              <w:rPr>
                <w:rFonts w:ascii="宋体" w:hAnsi="宋体" w:cs="宋体" w:eastAsia="宋体" w:hint="default"/>
                <w:sz w:val="20"/>
                <w:szCs w:val="20"/>
              </w:rPr>
              <w:t>年</w:t>
            </w:r>
          </w:p>
        </w:tc>
        <w:tc>
          <w:tcPr>
            <w:tcW w:w="963" w:type="dxa"/>
            <w:tcBorders>
              <w:top w:val="nil" w:sz="6" w:space="0" w:color="auto"/>
              <w:left w:val="nil" w:sz="6" w:space="0" w:color="auto"/>
              <w:bottom w:val="nil" w:sz="6" w:space="0" w:color="auto"/>
              <w:right w:val="nil" w:sz="6" w:space="0" w:color="auto"/>
            </w:tcBorders>
          </w:tcPr>
          <w:p>
            <w:pPr>
              <w:pStyle w:val="TableParagraph"/>
              <w:spacing w:line="199" w:lineRule="exact"/>
              <w:ind w:right="18"/>
              <w:jc w:val="right"/>
              <w:rPr>
                <w:rFonts w:ascii="宋体" w:hAnsi="宋体" w:cs="宋体" w:eastAsia="宋体" w:hint="default"/>
                <w:sz w:val="20"/>
                <w:szCs w:val="20"/>
              </w:rPr>
            </w:pPr>
            <w:r>
              <w:rPr>
                <w:rFonts w:ascii="宋体" w:hAnsi="宋体" w:cs="宋体" w:eastAsia="宋体" w:hint="default"/>
                <w:w w:val="95"/>
                <w:sz w:val="20"/>
                <w:szCs w:val="20"/>
              </w:rPr>
              <w:t>本年授予</w:t>
            </w:r>
            <w:r>
              <w:rPr>
                <w:rFonts w:ascii="宋体" w:hAnsi="宋体" w:cs="宋体" w:eastAsia="宋体" w:hint="default"/>
                <w:sz w:val="20"/>
                <w:szCs w:val="20"/>
              </w:rPr>
            </w:r>
          </w:p>
        </w:tc>
        <w:tc>
          <w:tcPr>
            <w:tcW w:w="1119" w:type="dxa"/>
            <w:tcBorders>
              <w:top w:val="nil" w:sz="6" w:space="0" w:color="auto"/>
              <w:left w:val="nil" w:sz="6" w:space="0" w:color="auto"/>
              <w:bottom w:val="nil" w:sz="6" w:space="0" w:color="auto"/>
              <w:right w:val="nil" w:sz="6" w:space="0" w:color="auto"/>
            </w:tcBorders>
          </w:tcPr>
          <w:p>
            <w:pPr>
              <w:pStyle w:val="TableParagraph"/>
              <w:spacing w:line="199" w:lineRule="exact"/>
              <w:ind w:right="2"/>
              <w:jc w:val="right"/>
              <w:rPr>
                <w:rFonts w:ascii="宋体" w:hAnsi="宋体" w:cs="宋体" w:eastAsia="宋体" w:hint="default"/>
                <w:sz w:val="20"/>
                <w:szCs w:val="20"/>
              </w:rPr>
            </w:pPr>
            <w:r>
              <w:rPr>
                <w:rFonts w:ascii="宋体" w:hAnsi="宋体" w:cs="宋体" w:eastAsia="宋体" w:hint="default"/>
                <w:w w:val="95"/>
                <w:sz w:val="20"/>
                <w:szCs w:val="20"/>
              </w:rPr>
              <w:t>本年失效</w:t>
            </w:r>
            <w:r>
              <w:rPr>
                <w:rFonts w:ascii="宋体" w:hAnsi="宋体" w:cs="宋体" w:eastAsia="宋体" w:hint="default"/>
                <w:sz w:val="20"/>
                <w:szCs w:val="20"/>
              </w:rPr>
            </w:r>
          </w:p>
        </w:tc>
        <w:tc>
          <w:tcPr>
            <w:tcW w:w="1154" w:type="dxa"/>
            <w:tcBorders>
              <w:top w:val="nil" w:sz="6" w:space="0" w:color="auto"/>
              <w:left w:val="nil" w:sz="6" w:space="0" w:color="auto"/>
              <w:bottom w:val="nil" w:sz="6" w:space="0" w:color="auto"/>
              <w:right w:val="nil" w:sz="6" w:space="0" w:color="auto"/>
            </w:tcBorders>
          </w:tcPr>
          <w:p>
            <w:pPr>
              <w:pStyle w:val="TableParagraph"/>
              <w:spacing w:line="199" w:lineRule="exact"/>
              <w:ind w:right="53"/>
              <w:jc w:val="right"/>
              <w:rPr>
                <w:rFonts w:ascii="宋体" w:hAnsi="宋体" w:cs="宋体" w:eastAsia="宋体" w:hint="default"/>
                <w:sz w:val="20"/>
                <w:szCs w:val="20"/>
              </w:rPr>
            </w:pPr>
            <w:r>
              <w:rPr>
                <w:rFonts w:ascii="宋体" w:hAnsi="宋体" w:cs="宋体" w:eastAsia="宋体" w:hint="default"/>
                <w:w w:val="95"/>
                <w:sz w:val="20"/>
                <w:szCs w:val="20"/>
              </w:rPr>
              <w:t>本年解锁</w:t>
            </w:r>
            <w:r>
              <w:rPr>
                <w:rFonts w:ascii="宋体" w:hAnsi="宋体" w:cs="宋体" w:eastAsia="宋体" w:hint="default"/>
                <w:sz w:val="20"/>
                <w:szCs w:val="20"/>
              </w:rPr>
            </w:r>
          </w:p>
        </w:tc>
        <w:tc>
          <w:tcPr>
            <w:tcW w:w="1255" w:type="dxa"/>
            <w:tcBorders>
              <w:top w:val="nil" w:sz="6" w:space="0" w:color="auto"/>
              <w:left w:val="nil" w:sz="6" w:space="0" w:color="auto"/>
              <w:bottom w:val="nil" w:sz="6" w:space="0" w:color="auto"/>
              <w:right w:val="nil" w:sz="6" w:space="0" w:color="auto"/>
            </w:tcBorders>
          </w:tcPr>
          <w:p>
            <w:pPr>
              <w:pStyle w:val="TableParagraph"/>
              <w:spacing w:line="199" w:lineRule="exact"/>
              <w:ind w:right="198"/>
              <w:jc w:val="right"/>
              <w:rPr>
                <w:rFonts w:ascii="宋体" w:hAnsi="宋体" w:cs="宋体" w:eastAsia="宋体" w:hint="default"/>
                <w:sz w:val="20"/>
                <w:szCs w:val="20"/>
              </w:rPr>
            </w:pPr>
            <w:r>
              <w:rPr>
                <w:rFonts w:ascii="宋体" w:hAnsi="宋体" w:cs="宋体" w:eastAsia="宋体" w:hint="default"/>
                <w:sz w:val="20"/>
                <w:szCs w:val="20"/>
              </w:rPr>
              <w:t>2016</w:t>
            </w:r>
            <w:r>
              <w:rPr>
                <w:rFonts w:ascii="宋体" w:hAnsi="宋体" w:cs="宋体" w:eastAsia="宋体" w:hint="default"/>
                <w:spacing w:val="-49"/>
                <w:sz w:val="20"/>
                <w:szCs w:val="20"/>
              </w:rPr>
              <w:t> </w:t>
            </w:r>
            <w:r>
              <w:rPr>
                <w:rFonts w:ascii="宋体" w:hAnsi="宋体" w:cs="宋体" w:eastAsia="宋体" w:hint="default"/>
                <w:sz w:val="20"/>
                <w:szCs w:val="20"/>
              </w:rPr>
              <w:t>年</w:t>
            </w:r>
          </w:p>
        </w:tc>
      </w:tr>
      <w:tr>
        <w:trPr>
          <w:trHeight w:val="426" w:hRule="exact"/>
        </w:trPr>
        <w:tc>
          <w:tcPr>
            <w:tcW w:w="1894" w:type="dxa"/>
            <w:tcBorders>
              <w:top w:val="nil" w:sz="6" w:space="0" w:color="auto"/>
              <w:left w:val="nil" w:sz="6" w:space="0" w:color="auto"/>
              <w:bottom w:val="nil" w:sz="6" w:space="0" w:color="auto"/>
              <w:right w:val="nil" w:sz="6" w:space="0" w:color="auto"/>
            </w:tcBorders>
          </w:tcPr>
          <w:p>
            <w:pPr/>
          </w:p>
        </w:tc>
        <w:tc>
          <w:tcPr>
            <w:tcW w:w="612" w:type="dxa"/>
            <w:tcBorders>
              <w:top w:val="nil" w:sz="6" w:space="0" w:color="auto"/>
              <w:left w:val="nil" w:sz="6" w:space="0" w:color="auto"/>
              <w:bottom w:val="nil" w:sz="6" w:space="0" w:color="auto"/>
              <w:right w:val="nil" w:sz="6" w:space="0" w:color="auto"/>
            </w:tcBorders>
          </w:tcPr>
          <w:p>
            <w:pPr/>
          </w:p>
        </w:tc>
        <w:tc>
          <w:tcPr>
            <w:tcW w:w="1307" w:type="dxa"/>
            <w:tcBorders>
              <w:top w:val="nil" w:sz="6" w:space="0" w:color="auto"/>
              <w:left w:val="nil" w:sz="6" w:space="0" w:color="auto"/>
              <w:bottom w:val="nil" w:sz="6" w:space="0" w:color="auto"/>
              <w:right w:val="nil" w:sz="6" w:space="0" w:color="auto"/>
            </w:tcBorders>
          </w:tcPr>
          <w:p>
            <w:pPr>
              <w:pStyle w:val="TableParagraph"/>
              <w:spacing w:line="241" w:lineRule="exact"/>
              <w:ind w:right="67"/>
              <w:jc w:val="right"/>
              <w:rPr>
                <w:rFonts w:ascii="宋体" w:hAnsi="宋体" w:cs="宋体" w:eastAsia="宋体" w:hint="default"/>
                <w:sz w:val="20"/>
                <w:szCs w:val="20"/>
              </w:rPr>
            </w:pPr>
            <w:r>
              <w:rPr>
                <w:rFonts w:ascii="宋体" w:hAnsi="宋体" w:cs="宋体" w:eastAsia="宋体" w:hint="default"/>
                <w:w w:val="95"/>
                <w:sz w:val="20"/>
                <w:szCs w:val="20"/>
              </w:rPr>
              <w:t>人民币元</w:t>
            </w:r>
            <w:r>
              <w:rPr>
                <w:rFonts w:ascii="宋体" w:hAnsi="宋体" w:cs="宋体" w:eastAsia="宋体" w:hint="default"/>
                <w:sz w:val="20"/>
                <w:szCs w:val="20"/>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righ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日</w:t>
            </w:r>
          </w:p>
        </w:tc>
        <w:tc>
          <w:tcPr>
            <w:tcW w:w="963" w:type="dxa"/>
            <w:tcBorders>
              <w:top w:val="nil" w:sz="6" w:space="0" w:color="auto"/>
              <w:left w:val="nil" w:sz="6" w:space="0" w:color="auto"/>
              <w:bottom w:val="nil" w:sz="6" w:space="0" w:color="auto"/>
              <w:right w:val="nil" w:sz="6" w:space="0" w:color="auto"/>
            </w:tcBorders>
          </w:tcPr>
          <w:p>
            <w:pPr/>
          </w:p>
        </w:tc>
        <w:tc>
          <w:tcPr>
            <w:tcW w:w="1119"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41" w:lineRule="exact"/>
              <w:ind w:right="198"/>
              <w:jc w:val="righ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tc>
      </w:tr>
      <w:tr>
        <w:trPr>
          <w:trHeight w:val="426" w:hRule="exact"/>
        </w:trPr>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200" w:right="0"/>
              <w:jc w:val="left"/>
              <w:rPr>
                <w:rFonts w:ascii="宋体" w:hAnsi="宋体" w:cs="宋体" w:eastAsia="宋体" w:hint="default"/>
                <w:sz w:val="20"/>
                <w:szCs w:val="20"/>
              </w:rPr>
            </w:pPr>
            <w:r>
              <w:rPr>
                <w:rFonts w:ascii="宋体" w:hAnsi="宋体" w:cs="宋体" w:eastAsia="宋体" w:hint="default"/>
                <w:sz w:val="20"/>
                <w:szCs w:val="20"/>
              </w:rPr>
              <w:t>2015</w:t>
            </w:r>
            <w:r>
              <w:rPr>
                <w:rFonts w:ascii="宋体" w:hAnsi="宋体" w:cs="宋体" w:eastAsia="宋体" w:hint="default"/>
                <w:spacing w:val="-50"/>
                <w:sz w:val="20"/>
                <w:szCs w:val="20"/>
              </w:rPr>
              <w:t> </w:t>
            </w:r>
            <w:r>
              <w:rPr>
                <w:rFonts w:ascii="宋体" w:hAnsi="宋体" w:cs="宋体" w:eastAsia="宋体" w:hint="default"/>
                <w:sz w:val="20"/>
                <w:szCs w:val="20"/>
              </w:rPr>
              <w:t>年</w:t>
            </w:r>
            <w:r>
              <w:rPr>
                <w:rFonts w:ascii="宋体" w:hAnsi="宋体" w:cs="宋体" w:eastAsia="宋体" w:hint="default"/>
                <w:spacing w:val="-53"/>
                <w:sz w:val="20"/>
                <w:szCs w:val="20"/>
              </w:rPr>
              <w:t> </w:t>
            </w:r>
            <w:r>
              <w:rPr>
                <w:rFonts w:ascii="宋体" w:hAnsi="宋体" w:cs="宋体" w:eastAsia="宋体" w:hint="default"/>
                <w:sz w:val="20"/>
                <w:szCs w:val="20"/>
              </w:rPr>
              <w:t>6</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宋体" w:hAnsi="宋体" w:cs="宋体" w:eastAsia="宋体" w:hint="default"/>
                <w:sz w:val="20"/>
                <w:szCs w:val="20"/>
              </w:rPr>
              <w:t>16</w:t>
            </w:r>
            <w:r>
              <w:rPr>
                <w:rFonts w:ascii="宋体" w:hAnsi="宋体" w:cs="宋体" w:eastAsia="宋体" w:hint="default"/>
                <w:spacing w:val="-50"/>
                <w:sz w:val="20"/>
                <w:szCs w:val="20"/>
              </w:rPr>
              <w:t> </w:t>
            </w:r>
            <w:r>
              <w:rPr>
                <w:rFonts w:ascii="宋体" w:hAnsi="宋体" w:cs="宋体" w:eastAsia="宋体" w:hint="default"/>
                <w:sz w:val="20"/>
                <w:szCs w:val="20"/>
              </w:rPr>
              <w:t>日</w:t>
            </w:r>
          </w:p>
        </w:tc>
        <w:tc>
          <w:tcPr>
            <w:tcW w:w="612"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40" w:right="0"/>
              <w:jc w:val="left"/>
              <w:rPr>
                <w:rFonts w:ascii="宋体" w:hAnsi="宋体" w:cs="宋体" w:eastAsia="宋体" w:hint="default"/>
                <w:sz w:val="20"/>
                <w:szCs w:val="20"/>
              </w:rPr>
            </w:pPr>
            <w:r>
              <w:rPr>
                <w:rFonts w:ascii="宋体"/>
                <w:sz w:val="20"/>
              </w:rPr>
              <w:t>(a)</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64"/>
              <w:jc w:val="right"/>
              <w:rPr>
                <w:rFonts w:ascii="宋体" w:hAnsi="宋体" w:cs="宋体" w:eastAsia="宋体" w:hint="default"/>
                <w:sz w:val="20"/>
                <w:szCs w:val="20"/>
              </w:rPr>
            </w:pPr>
            <w:r>
              <w:rPr>
                <w:rFonts w:ascii="宋体"/>
                <w:w w:val="95"/>
                <w:sz w:val="20"/>
              </w:rPr>
              <w:t>24.60</w:t>
            </w:r>
            <w:r>
              <w:rPr>
                <w:rFonts w:ascii="宋体"/>
                <w:sz w:val="20"/>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44"/>
              <w:jc w:val="right"/>
              <w:rPr>
                <w:rFonts w:ascii="宋体" w:hAnsi="宋体" w:cs="宋体" w:eastAsia="宋体" w:hint="default"/>
                <w:sz w:val="20"/>
                <w:szCs w:val="20"/>
              </w:rPr>
            </w:pPr>
            <w:r>
              <w:rPr>
                <w:rFonts w:ascii="宋体"/>
                <w:w w:val="95"/>
                <w:sz w:val="20"/>
              </w:rPr>
              <w:t>17,155,000</w:t>
            </w:r>
            <w:r>
              <w:rPr>
                <w:rFonts w:ascii="宋体"/>
                <w:sz w:val="20"/>
              </w:rPr>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7"/>
              <w:jc w:val="right"/>
              <w:rPr>
                <w:rFonts w:ascii="宋体" w:hAnsi="宋体" w:cs="宋体" w:eastAsia="宋体" w:hint="default"/>
                <w:sz w:val="20"/>
                <w:szCs w:val="20"/>
              </w:rPr>
            </w:pPr>
            <w:r>
              <w:rPr>
                <w:rFonts w:ascii="宋体"/>
                <w:w w:val="99"/>
                <w:sz w:val="20"/>
              </w:rPr>
              <w:t>-</w:t>
            </w:r>
            <w:r>
              <w:rPr>
                <w:rFonts w:ascii="宋体"/>
                <w:sz w:val="20"/>
              </w:rPr>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0"/>
              <w:jc w:val="right"/>
              <w:rPr>
                <w:rFonts w:ascii="宋体" w:hAnsi="宋体" w:cs="宋体" w:eastAsia="宋体" w:hint="default"/>
                <w:sz w:val="20"/>
                <w:szCs w:val="20"/>
              </w:rPr>
            </w:pPr>
            <w:r>
              <w:rPr>
                <w:rFonts w:ascii="宋体"/>
                <w:w w:val="95"/>
                <w:sz w:val="20"/>
              </w:rPr>
              <w:t>(1,459,000)</w:t>
            </w:r>
            <w:r>
              <w:rPr>
                <w:rFonts w:ascii="宋体"/>
                <w:sz w:val="20"/>
              </w:rPr>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51"/>
              <w:jc w:val="right"/>
              <w:rPr>
                <w:rFonts w:ascii="宋体" w:hAnsi="宋体" w:cs="宋体" w:eastAsia="宋体" w:hint="default"/>
                <w:sz w:val="20"/>
                <w:szCs w:val="20"/>
              </w:rPr>
            </w:pPr>
            <w:r>
              <w:rPr>
                <w:rFonts w:ascii="宋体"/>
                <w:w w:val="95"/>
                <w:sz w:val="20"/>
              </w:rPr>
              <w:t>(4,975,500)</w:t>
            </w:r>
            <w:r>
              <w:rPr>
                <w:rFonts w:ascii="宋体"/>
                <w:sz w:val="20"/>
              </w:rPr>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00"/>
              <w:jc w:val="right"/>
              <w:rPr>
                <w:rFonts w:ascii="宋体" w:hAnsi="宋体" w:cs="宋体" w:eastAsia="宋体" w:hint="default"/>
                <w:sz w:val="20"/>
                <w:szCs w:val="20"/>
              </w:rPr>
            </w:pPr>
            <w:r>
              <w:rPr>
                <w:rFonts w:ascii="宋体"/>
                <w:w w:val="95"/>
                <w:sz w:val="20"/>
              </w:rPr>
              <w:t>10,720,500</w:t>
            </w:r>
            <w:r>
              <w:rPr>
                <w:rFonts w:ascii="宋体"/>
                <w:sz w:val="20"/>
              </w:rPr>
            </w:r>
          </w:p>
        </w:tc>
      </w:tr>
      <w:tr>
        <w:trPr>
          <w:trHeight w:val="284" w:hRule="exact"/>
        </w:trPr>
        <w:tc>
          <w:tcPr>
            <w:tcW w:w="1894" w:type="dxa"/>
            <w:tcBorders>
              <w:top w:val="nil" w:sz="6" w:space="0" w:color="auto"/>
              <w:left w:val="nil" w:sz="6" w:space="0" w:color="auto"/>
              <w:bottom w:val="nil" w:sz="6" w:space="0" w:color="auto"/>
              <w:right w:val="nil" w:sz="6" w:space="0" w:color="auto"/>
            </w:tcBorders>
          </w:tcPr>
          <w:p>
            <w:pPr>
              <w:pStyle w:val="TableParagraph"/>
              <w:spacing w:line="241" w:lineRule="exact"/>
              <w:ind w:left="200" w:right="0"/>
              <w:jc w:val="left"/>
              <w:rPr>
                <w:rFonts w:ascii="宋体" w:hAnsi="宋体" w:cs="宋体" w:eastAsia="宋体" w:hint="default"/>
                <w:sz w:val="20"/>
                <w:szCs w:val="20"/>
              </w:rPr>
            </w:pPr>
            <w:r>
              <w:rPr>
                <w:rFonts w:ascii="宋体" w:hAnsi="宋体" w:cs="宋体" w:eastAsia="宋体" w:hint="default"/>
                <w:sz w:val="20"/>
                <w:szCs w:val="20"/>
              </w:rPr>
              <w:t>2015</w:t>
            </w:r>
            <w:r>
              <w:rPr>
                <w:rFonts w:ascii="宋体" w:hAnsi="宋体" w:cs="宋体" w:eastAsia="宋体" w:hint="default"/>
                <w:spacing w:val="-50"/>
                <w:sz w:val="20"/>
                <w:szCs w:val="20"/>
              </w:rPr>
              <w:t> </w:t>
            </w:r>
            <w:r>
              <w:rPr>
                <w:rFonts w:ascii="宋体" w:hAnsi="宋体" w:cs="宋体" w:eastAsia="宋体" w:hint="default"/>
                <w:sz w:val="20"/>
                <w:szCs w:val="20"/>
              </w:rPr>
              <w:t>年</w:t>
            </w:r>
            <w:r>
              <w:rPr>
                <w:rFonts w:ascii="宋体" w:hAnsi="宋体" w:cs="宋体" w:eastAsia="宋体" w:hint="default"/>
                <w:spacing w:val="-53"/>
                <w:sz w:val="20"/>
                <w:szCs w:val="20"/>
              </w:rPr>
              <w:t> </w:t>
            </w:r>
            <w:r>
              <w:rPr>
                <w:rFonts w:ascii="宋体" w:hAnsi="宋体" w:cs="宋体" w:eastAsia="宋体" w:hint="default"/>
                <w:sz w:val="20"/>
                <w:szCs w:val="20"/>
              </w:rPr>
              <w:t>9</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宋体" w:hAnsi="宋体" w:cs="宋体" w:eastAsia="宋体" w:hint="default"/>
                <w:sz w:val="20"/>
                <w:szCs w:val="20"/>
              </w:rPr>
              <w:t>2</w:t>
            </w:r>
            <w:r>
              <w:rPr>
                <w:rFonts w:ascii="宋体" w:hAnsi="宋体" w:cs="宋体" w:eastAsia="宋体" w:hint="default"/>
                <w:spacing w:val="-50"/>
                <w:sz w:val="20"/>
                <w:szCs w:val="20"/>
              </w:rPr>
              <w:t> </w:t>
            </w:r>
            <w:r>
              <w:rPr>
                <w:rFonts w:ascii="宋体" w:hAnsi="宋体" w:cs="宋体" w:eastAsia="宋体" w:hint="default"/>
                <w:sz w:val="20"/>
                <w:szCs w:val="20"/>
              </w:rPr>
              <w:t>日</w:t>
            </w:r>
          </w:p>
        </w:tc>
        <w:tc>
          <w:tcPr>
            <w:tcW w:w="612" w:type="dxa"/>
            <w:tcBorders>
              <w:top w:val="nil" w:sz="6" w:space="0" w:color="auto"/>
              <w:left w:val="nil" w:sz="6" w:space="0" w:color="auto"/>
              <w:bottom w:val="nil" w:sz="6" w:space="0" w:color="auto"/>
              <w:right w:val="nil" w:sz="6" w:space="0" w:color="auto"/>
            </w:tcBorders>
          </w:tcPr>
          <w:p>
            <w:pPr>
              <w:pStyle w:val="TableParagraph"/>
              <w:spacing w:line="241" w:lineRule="exact"/>
              <w:ind w:left="140" w:right="0"/>
              <w:jc w:val="left"/>
              <w:rPr>
                <w:rFonts w:ascii="宋体" w:hAnsi="宋体" w:cs="宋体" w:eastAsia="宋体" w:hint="default"/>
                <w:sz w:val="20"/>
                <w:szCs w:val="20"/>
              </w:rPr>
            </w:pPr>
            <w:r>
              <w:rPr>
                <w:rFonts w:ascii="宋体"/>
                <w:sz w:val="20"/>
              </w:rPr>
              <w:t>(b)</w:t>
            </w:r>
          </w:p>
        </w:tc>
        <w:tc>
          <w:tcPr>
            <w:tcW w:w="1307" w:type="dxa"/>
            <w:tcBorders>
              <w:top w:val="nil" w:sz="6" w:space="0" w:color="auto"/>
              <w:left w:val="nil" w:sz="6" w:space="0" w:color="auto"/>
              <w:bottom w:val="nil" w:sz="6" w:space="0" w:color="auto"/>
              <w:right w:val="nil" w:sz="6" w:space="0" w:color="auto"/>
            </w:tcBorders>
          </w:tcPr>
          <w:p>
            <w:pPr>
              <w:pStyle w:val="TableParagraph"/>
              <w:spacing w:line="241" w:lineRule="exact"/>
              <w:ind w:right="64"/>
              <w:jc w:val="right"/>
              <w:rPr>
                <w:rFonts w:ascii="宋体" w:hAnsi="宋体" w:cs="宋体" w:eastAsia="宋体" w:hint="default"/>
                <w:sz w:val="20"/>
                <w:szCs w:val="20"/>
              </w:rPr>
            </w:pPr>
            <w:r>
              <w:rPr>
                <w:rFonts w:ascii="宋体"/>
                <w:w w:val="95"/>
                <w:sz w:val="20"/>
              </w:rPr>
              <w:t>10.43</w:t>
            </w:r>
            <w:r>
              <w:rPr>
                <w:rFonts w:ascii="宋体"/>
                <w:sz w:val="20"/>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right"/>
              <w:rPr>
                <w:rFonts w:ascii="宋体" w:hAnsi="宋体" w:cs="宋体" w:eastAsia="宋体" w:hint="default"/>
                <w:sz w:val="20"/>
                <w:szCs w:val="20"/>
              </w:rPr>
            </w:pPr>
            <w:r>
              <w:rPr>
                <w:rFonts w:ascii="宋体"/>
                <w:sz w:val="20"/>
              </w:rPr>
              <w:t>120,000</w:t>
            </w:r>
          </w:p>
        </w:tc>
        <w:tc>
          <w:tcPr>
            <w:tcW w:w="963" w:type="dxa"/>
            <w:tcBorders>
              <w:top w:val="nil" w:sz="6" w:space="0" w:color="auto"/>
              <w:left w:val="nil" w:sz="6" w:space="0" w:color="auto"/>
              <w:bottom w:val="nil" w:sz="6" w:space="0" w:color="auto"/>
              <w:right w:val="nil" w:sz="6" w:space="0" w:color="auto"/>
            </w:tcBorders>
          </w:tcPr>
          <w:p>
            <w:pPr>
              <w:pStyle w:val="TableParagraph"/>
              <w:spacing w:line="241" w:lineRule="exact"/>
              <w:ind w:right="17"/>
              <w:jc w:val="right"/>
              <w:rPr>
                <w:rFonts w:ascii="宋体" w:hAnsi="宋体" w:cs="宋体" w:eastAsia="宋体" w:hint="default"/>
                <w:sz w:val="20"/>
                <w:szCs w:val="20"/>
              </w:rPr>
            </w:pPr>
            <w:r>
              <w:rPr>
                <w:rFonts w:ascii="宋体"/>
                <w:w w:val="99"/>
                <w:sz w:val="20"/>
              </w:rPr>
              <w:t>-</w:t>
            </w:r>
            <w:r>
              <w:rPr>
                <w:rFonts w:ascii="宋体"/>
                <w:sz w:val="20"/>
              </w:rPr>
            </w:r>
          </w:p>
        </w:tc>
        <w:tc>
          <w:tcPr>
            <w:tcW w:w="1119" w:type="dxa"/>
            <w:tcBorders>
              <w:top w:val="nil" w:sz="6" w:space="0" w:color="auto"/>
              <w:left w:val="nil" w:sz="6" w:space="0" w:color="auto"/>
              <w:bottom w:val="nil" w:sz="6" w:space="0" w:color="auto"/>
              <w:right w:val="nil" w:sz="6" w:space="0" w:color="auto"/>
            </w:tcBorders>
          </w:tcPr>
          <w:p>
            <w:pPr>
              <w:pStyle w:val="TableParagraph"/>
              <w:spacing w:line="241" w:lineRule="exact"/>
              <w:ind w:right="1"/>
              <w:jc w:val="right"/>
              <w:rPr>
                <w:rFonts w:ascii="宋体" w:hAnsi="宋体" w:cs="宋体" w:eastAsia="宋体" w:hint="default"/>
                <w:sz w:val="20"/>
                <w:szCs w:val="20"/>
              </w:rPr>
            </w:pPr>
            <w:r>
              <w:rPr>
                <w:rFonts w:ascii="宋体"/>
                <w:w w:val="99"/>
                <w:sz w:val="20"/>
              </w:rPr>
              <w:t>-</w:t>
            </w:r>
            <w:r>
              <w:rPr>
                <w:rFonts w:ascii="宋体"/>
                <w:sz w:val="20"/>
              </w:rPr>
            </w:r>
          </w:p>
        </w:tc>
        <w:tc>
          <w:tcPr>
            <w:tcW w:w="1154" w:type="dxa"/>
            <w:tcBorders>
              <w:top w:val="nil" w:sz="6" w:space="0" w:color="auto"/>
              <w:left w:val="nil" w:sz="6" w:space="0" w:color="auto"/>
              <w:bottom w:val="nil" w:sz="6" w:space="0" w:color="auto"/>
              <w:right w:val="nil" w:sz="6" w:space="0" w:color="auto"/>
            </w:tcBorders>
          </w:tcPr>
          <w:p>
            <w:pPr>
              <w:pStyle w:val="TableParagraph"/>
              <w:tabs>
                <w:tab w:pos="381" w:val="left" w:leader="none"/>
              </w:tabs>
              <w:spacing w:line="241" w:lineRule="exact"/>
              <w:ind w:right="51"/>
              <w:jc w:val="right"/>
              <w:rPr>
                <w:rFonts w:ascii="宋体" w:hAnsi="宋体" w:cs="宋体" w:eastAsia="宋体" w:hint="default"/>
                <w:sz w:val="20"/>
                <w:szCs w:val="20"/>
              </w:rPr>
            </w:pPr>
            <w:r>
              <w:rPr>
                <w:rFonts w:ascii="宋体"/>
                <w:w w:val="95"/>
                <w:sz w:val="20"/>
              </w:rPr>
              <w:t>(</w:t>
              <w:tab/>
              <w:t>36,000)</w:t>
            </w:r>
            <w:r>
              <w:rPr>
                <w:rFonts w:ascii="宋体"/>
                <w:sz w:val="20"/>
              </w:rPr>
            </w:r>
          </w:p>
        </w:tc>
        <w:tc>
          <w:tcPr>
            <w:tcW w:w="1255" w:type="dxa"/>
            <w:tcBorders>
              <w:top w:val="nil" w:sz="6" w:space="0" w:color="auto"/>
              <w:left w:val="nil" w:sz="6" w:space="0" w:color="auto"/>
              <w:bottom w:val="nil" w:sz="6" w:space="0" w:color="auto"/>
              <w:right w:val="nil" w:sz="6" w:space="0" w:color="auto"/>
            </w:tcBorders>
          </w:tcPr>
          <w:p>
            <w:pPr>
              <w:pStyle w:val="TableParagraph"/>
              <w:spacing w:line="241" w:lineRule="exact"/>
              <w:ind w:right="200"/>
              <w:jc w:val="right"/>
              <w:rPr>
                <w:rFonts w:ascii="宋体" w:hAnsi="宋体" w:cs="宋体" w:eastAsia="宋体" w:hint="default"/>
                <w:sz w:val="20"/>
                <w:szCs w:val="20"/>
              </w:rPr>
            </w:pPr>
            <w:r>
              <w:rPr>
                <w:rFonts w:ascii="宋体"/>
                <w:w w:val="95"/>
                <w:sz w:val="20"/>
              </w:rPr>
              <w:t>84,000</w:t>
            </w:r>
            <w:r>
              <w:rPr>
                <w:rFonts w:ascii="宋体"/>
                <w:sz w:val="20"/>
              </w:rPr>
            </w:r>
          </w:p>
        </w:tc>
      </w:tr>
      <w:tr>
        <w:trPr>
          <w:trHeight w:val="284" w:hRule="exact"/>
        </w:trPr>
        <w:tc>
          <w:tcPr>
            <w:tcW w:w="1894" w:type="dxa"/>
            <w:tcBorders>
              <w:top w:val="nil" w:sz="6" w:space="0" w:color="auto"/>
              <w:left w:val="nil" w:sz="6" w:space="0" w:color="auto"/>
              <w:bottom w:val="nil" w:sz="6" w:space="0" w:color="auto"/>
              <w:right w:val="nil" w:sz="6" w:space="0" w:color="auto"/>
            </w:tcBorders>
          </w:tcPr>
          <w:p>
            <w:pPr>
              <w:pStyle w:val="TableParagraph"/>
              <w:spacing w:line="243" w:lineRule="exact"/>
              <w:ind w:left="200" w:right="0"/>
              <w:jc w:val="left"/>
              <w:rPr>
                <w:rFonts w:ascii="宋体" w:hAnsi="宋体" w:cs="宋体" w:eastAsia="宋体" w:hint="default"/>
                <w:sz w:val="20"/>
                <w:szCs w:val="20"/>
              </w:rPr>
            </w:pPr>
            <w:r>
              <w:rPr>
                <w:rFonts w:ascii="宋体" w:hAnsi="宋体" w:cs="宋体" w:eastAsia="宋体" w:hint="default"/>
                <w:sz w:val="20"/>
                <w:szCs w:val="20"/>
              </w:rPr>
              <w:t>2016</w:t>
            </w:r>
            <w:r>
              <w:rPr>
                <w:rFonts w:ascii="宋体" w:hAnsi="宋体" w:cs="宋体" w:eastAsia="宋体" w:hint="default"/>
                <w:spacing w:val="-50"/>
                <w:sz w:val="20"/>
                <w:szCs w:val="20"/>
              </w:rPr>
              <w:t> </w:t>
            </w:r>
            <w:r>
              <w:rPr>
                <w:rFonts w:ascii="宋体" w:hAnsi="宋体" w:cs="宋体" w:eastAsia="宋体" w:hint="default"/>
                <w:sz w:val="20"/>
                <w:szCs w:val="20"/>
              </w:rPr>
              <w:t>年</w:t>
            </w:r>
            <w:r>
              <w:rPr>
                <w:rFonts w:ascii="宋体" w:hAnsi="宋体" w:cs="宋体" w:eastAsia="宋体" w:hint="default"/>
                <w:spacing w:val="-53"/>
                <w:sz w:val="20"/>
                <w:szCs w:val="20"/>
              </w:rPr>
              <w:t> </w:t>
            </w:r>
            <w:r>
              <w:rPr>
                <w:rFonts w:ascii="宋体" w:hAnsi="宋体" w:cs="宋体" w:eastAsia="宋体" w:hint="default"/>
                <w:sz w:val="20"/>
                <w:szCs w:val="20"/>
              </w:rPr>
              <w:t>3</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tc>
        <w:tc>
          <w:tcPr>
            <w:tcW w:w="612" w:type="dxa"/>
            <w:tcBorders>
              <w:top w:val="nil" w:sz="6" w:space="0" w:color="auto"/>
              <w:left w:val="nil" w:sz="6" w:space="0" w:color="auto"/>
              <w:bottom w:val="nil" w:sz="6" w:space="0" w:color="auto"/>
              <w:right w:val="nil" w:sz="6" w:space="0" w:color="auto"/>
            </w:tcBorders>
          </w:tcPr>
          <w:p>
            <w:pPr>
              <w:pStyle w:val="TableParagraph"/>
              <w:spacing w:line="243" w:lineRule="exact"/>
              <w:ind w:left="140" w:right="0"/>
              <w:jc w:val="left"/>
              <w:rPr>
                <w:rFonts w:ascii="宋体" w:hAnsi="宋体" w:cs="宋体" w:eastAsia="宋体" w:hint="default"/>
                <w:sz w:val="20"/>
                <w:szCs w:val="20"/>
              </w:rPr>
            </w:pPr>
            <w:r>
              <w:rPr>
                <w:rFonts w:ascii="宋体"/>
                <w:sz w:val="20"/>
              </w:rPr>
              <w:t>(c)</w:t>
            </w:r>
          </w:p>
        </w:tc>
        <w:tc>
          <w:tcPr>
            <w:tcW w:w="1307" w:type="dxa"/>
            <w:tcBorders>
              <w:top w:val="nil" w:sz="6" w:space="0" w:color="auto"/>
              <w:left w:val="nil" w:sz="6" w:space="0" w:color="auto"/>
              <w:bottom w:val="nil" w:sz="6" w:space="0" w:color="auto"/>
              <w:right w:val="nil" w:sz="6" w:space="0" w:color="auto"/>
            </w:tcBorders>
          </w:tcPr>
          <w:p>
            <w:pPr>
              <w:pStyle w:val="TableParagraph"/>
              <w:spacing w:line="243" w:lineRule="exact"/>
              <w:ind w:right="62"/>
              <w:jc w:val="right"/>
              <w:rPr>
                <w:rFonts w:ascii="宋体" w:hAnsi="宋体" w:cs="宋体" w:eastAsia="宋体" w:hint="default"/>
                <w:sz w:val="20"/>
                <w:szCs w:val="20"/>
              </w:rPr>
            </w:pPr>
            <w:r>
              <w:rPr>
                <w:rFonts w:ascii="宋体"/>
                <w:sz w:val="20"/>
              </w:rPr>
              <w:t>9.77</w:t>
            </w:r>
          </w:p>
        </w:tc>
        <w:tc>
          <w:tcPr>
            <w:tcW w:w="1112" w:type="dxa"/>
            <w:tcBorders>
              <w:top w:val="nil" w:sz="6" w:space="0" w:color="auto"/>
              <w:left w:val="nil" w:sz="6" w:space="0" w:color="auto"/>
              <w:bottom w:val="nil" w:sz="6" w:space="0" w:color="auto"/>
              <w:right w:val="nil" w:sz="6" w:space="0" w:color="auto"/>
            </w:tcBorders>
          </w:tcPr>
          <w:p>
            <w:pPr>
              <w:pStyle w:val="TableParagraph"/>
              <w:spacing w:line="243" w:lineRule="exact"/>
              <w:ind w:right="45"/>
              <w:jc w:val="right"/>
              <w:rPr>
                <w:rFonts w:ascii="宋体" w:hAnsi="宋体" w:cs="宋体" w:eastAsia="宋体" w:hint="default"/>
                <w:sz w:val="20"/>
                <w:szCs w:val="20"/>
              </w:rPr>
            </w:pPr>
            <w:r>
              <w:rPr>
                <w:rFonts w:ascii="宋体"/>
                <w:w w:val="99"/>
                <w:sz w:val="20"/>
              </w:rPr>
              <w:t>-</w:t>
            </w:r>
            <w:r>
              <w:rPr>
                <w:rFonts w:ascii="宋体"/>
                <w:sz w:val="20"/>
              </w:rPr>
            </w:r>
          </w:p>
        </w:tc>
        <w:tc>
          <w:tcPr>
            <w:tcW w:w="963" w:type="dxa"/>
            <w:tcBorders>
              <w:top w:val="nil" w:sz="6" w:space="0" w:color="auto"/>
              <w:left w:val="nil" w:sz="6" w:space="0" w:color="auto"/>
              <w:bottom w:val="nil" w:sz="6" w:space="0" w:color="auto"/>
              <w:right w:val="nil" w:sz="6" w:space="0" w:color="auto"/>
            </w:tcBorders>
          </w:tcPr>
          <w:p>
            <w:pPr>
              <w:pStyle w:val="TableParagraph"/>
              <w:spacing w:line="243" w:lineRule="exact"/>
              <w:ind w:right="16"/>
              <w:jc w:val="right"/>
              <w:rPr>
                <w:rFonts w:ascii="宋体" w:hAnsi="宋体" w:cs="宋体" w:eastAsia="宋体" w:hint="default"/>
                <w:sz w:val="20"/>
                <w:szCs w:val="20"/>
              </w:rPr>
            </w:pPr>
            <w:r>
              <w:rPr>
                <w:rFonts w:ascii="宋体"/>
                <w:w w:val="95"/>
                <w:sz w:val="20"/>
              </w:rPr>
              <w:t>1,515,000</w:t>
            </w:r>
            <w:r>
              <w:rPr>
                <w:rFonts w:ascii="宋体"/>
                <w:sz w:val="20"/>
              </w:rPr>
            </w:r>
          </w:p>
        </w:tc>
        <w:tc>
          <w:tcPr>
            <w:tcW w:w="1119" w:type="dxa"/>
            <w:tcBorders>
              <w:top w:val="nil" w:sz="6" w:space="0" w:color="auto"/>
              <w:left w:val="nil" w:sz="6" w:space="0" w:color="auto"/>
              <w:bottom w:val="nil" w:sz="6" w:space="0" w:color="auto"/>
              <w:right w:val="nil" w:sz="6" w:space="0" w:color="auto"/>
            </w:tcBorders>
          </w:tcPr>
          <w:p>
            <w:pPr>
              <w:pStyle w:val="TableParagraph"/>
              <w:spacing w:line="243" w:lineRule="exact"/>
              <w:ind w:right="1"/>
              <w:jc w:val="right"/>
              <w:rPr>
                <w:rFonts w:ascii="宋体" w:hAnsi="宋体" w:cs="宋体" w:eastAsia="宋体" w:hint="default"/>
                <w:sz w:val="20"/>
                <w:szCs w:val="20"/>
              </w:rPr>
            </w:pPr>
            <w:r>
              <w:rPr>
                <w:rFonts w:ascii="宋体"/>
                <w:sz w:val="20"/>
              </w:rPr>
              <w:t>(</w:t>
            </w:r>
            <w:r>
              <w:rPr>
                <w:rFonts w:ascii="宋体"/>
                <w:spacing w:val="59"/>
                <w:sz w:val="20"/>
              </w:rPr>
              <w:t> </w:t>
            </w:r>
            <w:r>
              <w:rPr>
                <w:rFonts w:ascii="宋体"/>
                <w:sz w:val="20"/>
              </w:rPr>
              <w:t>190,000)</w:t>
            </w:r>
          </w:p>
        </w:tc>
        <w:tc>
          <w:tcPr>
            <w:tcW w:w="1154" w:type="dxa"/>
            <w:tcBorders>
              <w:top w:val="nil" w:sz="6" w:space="0" w:color="auto"/>
              <w:left w:val="nil" w:sz="6" w:space="0" w:color="auto"/>
              <w:bottom w:val="nil" w:sz="6" w:space="0" w:color="auto"/>
              <w:right w:val="nil" w:sz="6" w:space="0" w:color="auto"/>
            </w:tcBorders>
          </w:tcPr>
          <w:p>
            <w:pPr>
              <w:pStyle w:val="TableParagraph"/>
              <w:spacing w:line="243" w:lineRule="exact"/>
              <w:ind w:right="52"/>
              <w:jc w:val="right"/>
              <w:rPr>
                <w:rFonts w:ascii="宋体" w:hAnsi="宋体" w:cs="宋体" w:eastAsia="宋体" w:hint="default"/>
                <w:sz w:val="20"/>
                <w:szCs w:val="20"/>
              </w:rPr>
            </w:pPr>
            <w:r>
              <w:rPr>
                <w:rFonts w:ascii="宋体"/>
                <w:w w:val="99"/>
                <w:sz w:val="20"/>
              </w:rPr>
              <w:t>-</w:t>
            </w:r>
            <w:r>
              <w:rPr>
                <w:rFonts w:ascii="宋体"/>
                <w:sz w:val="20"/>
              </w:rPr>
            </w:r>
          </w:p>
        </w:tc>
        <w:tc>
          <w:tcPr>
            <w:tcW w:w="1255" w:type="dxa"/>
            <w:tcBorders>
              <w:top w:val="nil" w:sz="6" w:space="0" w:color="auto"/>
              <w:left w:val="nil" w:sz="6" w:space="0" w:color="auto"/>
              <w:bottom w:val="nil" w:sz="6" w:space="0" w:color="auto"/>
              <w:right w:val="nil" w:sz="6" w:space="0" w:color="auto"/>
            </w:tcBorders>
          </w:tcPr>
          <w:p>
            <w:pPr>
              <w:pStyle w:val="TableParagraph"/>
              <w:spacing w:line="243" w:lineRule="exact"/>
              <w:ind w:right="200"/>
              <w:jc w:val="right"/>
              <w:rPr>
                <w:rFonts w:ascii="宋体" w:hAnsi="宋体" w:cs="宋体" w:eastAsia="宋体" w:hint="default"/>
                <w:sz w:val="20"/>
                <w:szCs w:val="20"/>
              </w:rPr>
            </w:pPr>
            <w:r>
              <w:rPr>
                <w:rFonts w:ascii="宋体"/>
                <w:w w:val="95"/>
                <w:sz w:val="20"/>
              </w:rPr>
              <w:t>1,325,000</w:t>
            </w:r>
            <w:r>
              <w:rPr>
                <w:rFonts w:ascii="宋体"/>
                <w:sz w:val="20"/>
              </w:rPr>
            </w:r>
          </w:p>
        </w:tc>
      </w:tr>
      <w:tr>
        <w:trPr>
          <w:trHeight w:val="283" w:hRule="exact"/>
        </w:trPr>
        <w:tc>
          <w:tcPr>
            <w:tcW w:w="1894" w:type="dxa"/>
            <w:tcBorders>
              <w:top w:val="nil" w:sz="6" w:space="0" w:color="auto"/>
              <w:left w:val="nil" w:sz="6" w:space="0" w:color="auto"/>
              <w:bottom w:val="nil" w:sz="6" w:space="0" w:color="auto"/>
              <w:right w:val="nil" w:sz="6" w:space="0" w:color="auto"/>
            </w:tcBorders>
          </w:tcPr>
          <w:p>
            <w:pPr>
              <w:pStyle w:val="TableParagraph"/>
              <w:spacing w:line="241" w:lineRule="exact"/>
              <w:ind w:left="200" w:right="0"/>
              <w:jc w:val="left"/>
              <w:rPr>
                <w:rFonts w:ascii="宋体" w:hAnsi="宋体" w:cs="宋体" w:eastAsia="宋体" w:hint="default"/>
                <w:sz w:val="20"/>
                <w:szCs w:val="20"/>
              </w:rPr>
            </w:pPr>
            <w:r>
              <w:rPr>
                <w:rFonts w:ascii="宋体" w:hAnsi="宋体" w:cs="宋体" w:eastAsia="宋体" w:hint="default"/>
                <w:sz w:val="20"/>
                <w:szCs w:val="20"/>
              </w:rPr>
              <w:t>2016</w:t>
            </w:r>
            <w:r>
              <w:rPr>
                <w:rFonts w:ascii="宋体" w:hAnsi="宋体" w:cs="宋体" w:eastAsia="宋体" w:hint="default"/>
                <w:spacing w:val="-50"/>
                <w:sz w:val="20"/>
                <w:szCs w:val="20"/>
              </w:rPr>
              <w:t> </w:t>
            </w:r>
            <w:r>
              <w:rPr>
                <w:rFonts w:ascii="宋体" w:hAnsi="宋体" w:cs="宋体" w:eastAsia="宋体" w:hint="default"/>
                <w:sz w:val="20"/>
                <w:szCs w:val="20"/>
              </w:rPr>
              <w:t>年</w:t>
            </w:r>
            <w:r>
              <w:rPr>
                <w:rFonts w:ascii="宋体" w:hAnsi="宋体" w:cs="宋体" w:eastAsia="宋体" w:hint="default"/>
                <w:spacing w:val="-53"/>
                <w:sz w:val="20"/>
                <w:szCs w:val="20"/>
              </w:rPr>
              <w:t> </w:t>
            </w:r>
            <w:r>
              <w:rPr>
                <w:rFonts w:ascii="宋体" w:hAnsi="宋体" w:cs="宋体" w:eastAsia="宋体" w:hint="default"/>
                <w:sz w:val="20"/>
                <w:szCs w:val="20"/>
              </w:rPr>
              <w:t>12</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宋体" w:hAnsi="宋体" w:cs="宋体" w:eastAsia="宋体" w:hint="default"/>
                <w:sz w:val="20"/>
                <w:szCs w:val="20"/>
              </w:rPr>
              <w:t>6</w:t>
            </w:r>
            <w:r>
              <w:rPr>
                <w:rFonts w:ascii="宋体" w:hAnsi="宋体" w:cs="宋体" w:eastAsia="宋体" w:hint="default"/>
                <w:spacing w:val="-50"/>
                <w:sz w:val="20"/>
                <w:szCs w:val="20"/>
              </w:rPr>
              <w:t> </w:t>
            </w:r>
            <w:r>
              <w:rPr>
                <w:rFonts w:ascii="宋体" w:hAnsi="宋体" w:cs="宋体" w:eastAsia="宋体" w:hint="default"/>
                <w:sz w:val="20"/>
                <w:szCs w:val="20"/>
              </w:rPr>
              <w:t>日</w:t>
            </w:r>
          </w:p>
        </w:tc>
        <w:tc>
          <w:tcPr>
            <w:tcW w:w="612" w:type="dxa"/>
            <w:tcBorders>
              <w:top w:val="nil" w:sz="6" w:space="0" w:color="auto"/>
              <w:left w:val="nil" w:sz="6" w:space="0" w:color="auto"/>
              <w:bottom w:val="nil" w:sz="6" w:space="0" w:color="auto"/>
              <w:right w:val="nil" w:sz="6" w:space="0" w:color="auto"/>
            </w:tcBorders>
          </w:tcPr>
          <w:p>
            <w:pPr>
              <w:pStyle w:val="TableParagraph"/>
              <w:spacing w:line="241" w:lineRule="exact"/>
              <w:ind w:left="140" w:right="0"/>
              <w:jc w:val="left"/>
              <w:rPr>
                <w:rFonts w:ascii="宋体" w:hAnsi="宋体" w:cs="宋体" w:eastAsia="宋体" w:hint="default"/>
                <w:sz w:val="20"/>
                <w:szCs w:val="20"/>
              </w:rPr>
            </w:pPr>
            <w:r>
              <w:rPr>
                <w:rFonts w:ascii="宋体"/>
                <w:sz w:val="20"/>
              </w:rPr>
              <w:t>(d)</w:t>
            </w:r>
          </w:p>
        </w:tc>
        <w:tc>
          <w:tcPr>
            <w:tcW w:w="1307" w:type="dxa"/>
            <w:tcBorders>
              <w:top w:val="nil" w:sz="6" w:space="0" w:color="auto"/>
              <w:left w:val="nil" w:sz="6" w:space="0" w:color="auto"/>
              <w:bottom w:val="nil" w:sz="6" w:space="0" w:color="auto"/>
              <w:right w:val="nil" w:sz="6" w:space="0" w:color="auto"/>
            </w:tcBorders>
          </w:tcPr>
          <w:p>
            <w:pPr>
              <w:pStyle w:val="TableParagraph"/>
              <w:spacing w:line="241" w:lineRule="exact"/>
              <w:ind w:right="62"/>
              <w:jc w:val="right"/>
              <w:rPr>
                <w:rFonts w:ascii="宋体" w:hAnsi="宋体" w:cs="宋体" w:eastAsia="宋体" w:hint="default"/>
                <w:sz w:val="20"/>
                <w:szCs w:val="20"/>
              </w:rPr>
            </w:pPr>
            <w:r>
              <w:rPr>
                <w:rFonts w:ascii="宋体"/>
                <w:sz w:val="20"/>
              </w:rPr>
              <w:t>8.84</w:t>
            </w:r>
          </w:p>
        </w:tc>
        <w:tc>
          <w:tcPr>
            <w:tcW w:w="1112" w:type="dxa"/>
            <w:tcBorders>
              <w:top w:val="nil" w:sz="6" w:space="0" w:color="auto"/>
              <w:left w:val="nil" w:sz="6" w:space="0" w:color="auto"/>
              <w:bottom w:val="nil" w:sz="6" w:space="0" w:color="auto"/>
              <w:right w:val="nil" w:sz="6" w:space="0" w:color="auto"/>
            </w:tcBorders>
          </w:tcPr>
          <w:p>
            <w:pPr>
              <w:pStyle w:val="TableParagraph"/>
              <w:tabs>
                <w:tab w:pos="902" w:val="left" w:leader="none"/>
              </w:tabs>
              <w:spacing w:line="241" w:lineRule="exact"/>
              <w:ind w:right="44"/>
              <w:jc w:val="right"/>
              <w:rPr>
                <w:rFonts w:ascii="宋体" w:hAnsi="宋体" w:cs="宋体" w:eastAsia="宋体" w:hint="default"/>
                <w:sz w:val="20"/>
                <w:szCs w:val="20"/>
              </w:rPr>
            </w:pPr>
            <w:r>
              <w:rPr>
                <w:rFonts w:ascii="宋体"/>
                <w:w w:val="99"/>
                <w:sz w:val="20"/>
              </w:rPr>
            </w:r>
            <w:r>
              <w:rPr>
                <w:rFonts w:ascii="宋体"/>
                <w:w w:val="99"/>
                <w:sz w:val="20"/>
                <w:u w:val="single" w:color="000000"/>
              </w:rPr>
              <w:t> </w:t>
            </w:r>
            <w:r>
              <w:rPr>
                <w:rFonts w:ascii="宋体"/>
                <w:sz w:val="20"/>
                <w:u w:val="single" w:color="000000"/>
              </w:rPr>
              <w:tab/>
            </w:r>
            <w:r>
              <w:rPr>
                <w:rFonts w:ascii="宋体"/>
                <w:w w:val="95"/>
                <w:sz w:val="20"/>
                <w:u w:val="single" w:color="000000"/>
              </w:rPr>
              <w:t>-</w:t>
            </w:r>
            <w:r>
              <w:rPr>
                <w:rFonts w:ascii="宋体"/>
                <w:w w:val="95"/>
                <w:sz w:val="20"/>
              </w:rPr>
            </w:r>
            <w:r>
              <w:rPr>
                <w:rFonts w:ascii="宋体"/>
                <w:sz w:val="20"/>
              </w:rPr>
            </w:r>
          </w:p>
        </w:tc>
        <w:tc>
          <w:tcPr>
            <w:tcW w:w="963" w:type="dxa"/>
            <w:tcBorders>
              <w:top w:val="nil" w:sz="6" w:space="0" w:color="auto"/>
              <w:left w:val="nil" w:sz="6" w:space="0" w:color="auto"/>
              <w:bottom w:val="nil" w:sz="6" w:space="0" w:color="auto"/>
              <w:right w:val="nil" w:sz="6" w:space="0" w:color="auto"/>
            </w:tcBorders>
          </w:tcPr>
          <w:p>
            <w:pPr>
              <w:pStyle w:val="TableParagraph"/>
              <w:spacing w:line="241" w:lineRule="exact"/>
              <w:ind w:right="16"/>
              <w:jc w:val="right"/>
              <w:rPr>
                <w:rFonts w:ascii="宋体" w:hAnsi="宋体" w:cs="宋体" w:eastAsia="宋体" w:hint="default"/>
                <w:sz w:val="20"/>
                <w:szCs w:val="20"/>
              </w:rPr>
            </w:pPr>
            <w:r>
              <w:rPr>
                <w:rFonts w:ascii="宋体"/>
                <w:w w:val="99"/>
                <w:sz w:val="20"/>
              </w:rPr>
            </w:r>
            <w:r>
              <w:rPr>
                <w:rFonts w:ascii="宋体"/>
                <w:w w:val="95"/>
                <w:sz w:val="20"/>
                <w:u w:val="single" w:color="000000"/>
              </w:rPr>
              <w:t>2,690,000</w:t>
            </w:r>
            <w:r>
              <w:rPr>
                <w:rFonts w:ascii="宋体"/>
                <w:w w:val="95"/>
                <w:sz w:val="20"/>
              </w:rPr>
            </w:r>
            <w:r>
              <w:rPr>
                <w:rFonts w:ascii="宋体"/>
                <w:sz w:val="20"/>
              </w:rPr>
            </w:r>
          </w:p>
        </w:tc>
        <w:tc>
          <w:tcPr>
            <w:tcW w:w="1119" w:type="dxa"/>
            <w:tcBorders>
              <w:top w:val="nil" w:sz="6" w:space="0" w:color="auto"/>
              <w:left w:val="nil" w:sz="6" w:space="0" w:color="auto"/>
              <w:bottom w:val="nil" w:sz="6" w:space="0" w:color="auto"/>
              <w:right w:val="nil" w:sz="6" w:space="0" w:color="auto"/>
            </w:tcBorders>
          </w:tcPr>
          <w:p>
            <w:pPr>
              <w:pStyle w:val="TableParagraph"/>
              <w:tabs>
                <w:tab w:pos="902" w:val="left" w:leader="none"/>
              </w:tabs>
              <w:spacing w:line="241" w:lineRule="exact"/>
              <w:ind w:right="0"/>
              <w:jc w:val="right"/>
              <w:rPr>
                <w:rFonts w:ascii="宋体" w:hAnsi="宋体" w:cs="宋体" w:eastAsia="宋体" w:hint="default"/>
                <w:sz w:val="20"/>
                <w:szCs w:val="20"/>
              </w:rPr>
            </w:pPr>
            <w:r>
              <w:rPr>
                <w:rFonts w:ascii="宋体"/>
                <w:w w:val="99"/>
                <w:sz w:val="20"/>
              </w:rPr>
            </w:r>
            <w:r>
              <w:rPr>
                <w:rFonts w:ascii="宋体"/>
                <w:w w:val="99"/>
                <w:sz w:val="20"/>
                <w:u w:val="single" w:color="000000"/>
              </w:rPr>
              <w:t> </w:t>
            </w:r>
            <w:r>
              <w:rPr>
                <w:rFonts w:ascii="宋体"/>
                <w:sz w:val="20"/>
                <w:u w:val="single" w:color="000000"/>
              </w:rPr>
              <w:tab/>
            </w:r>
            <w:r>
              <w:rPr>
                <w:rFonts w:ascii="宋体"/>
                <w:w w:val="95"/>
                <w:sz w:val="20"/>
                <w:u w:val="single" w:color="000000"/>
              </w:rPr>
              <w:t>-</w:t>
            </w:r>
            <w:r>
              <w:rPr>
                <w:rFonts w:ascii="宋体"/>
                <w:w w:val="95"/>
                <w:sz w:val="20"/>
              </w:rPr>
            </w:r>
            <w:r>
              <w:rPr>
                <w:rFonts w:ascii="宋体"/>
                <w:sz w:val="20"/>
              </w:rPr>
            </w:r>
          </w:p>
        </w:tc>
        <w:tc>
          <w:tcPr>
            <w:tcW w:w="1154" w:type="dxa"/>
            <w:tcBorders>
              <w:top w:val="nil" w:sz="6" w:space="0" w:color="auto"/>
              <w:left w:val="nil" w:sz="6" w:space="0" w:color="auto"/>
              <w:bottom w:val="nil" w:sz="6" w:space="0" w:color="auto"/>
              <w:right w:val="nil" w:sz="6" w:space="0" w:color="auto"/>
            </w:tcBorders>
          </w:tcPr>
          <w:p>
            <w:pPr>
              <w:pStyle w:val="TableParagraph"/>
              <w:tabs>
                <w:tab w:pos="902" w:val="left" w:leader="none"/>
              </w:tabs>
              <w:spacing w:line="241" w:lineRule="exact"/>
              <w:ind w:right="50"/>
              <w:jc w:val="right"/>
              <w:rPr>
                <w:rFonts w:ascii="宋体" w:hAnsi="宋体" w:cs="宋体" w:eastAsia="宋体" w:hint="default"/>
                <w:sz w:val="20"/>
                <w:szCs w:val="20"/>
              </w:rPr>
            </w:pPr>
            <w:r>
              <w:rPr>
                <w:rFonts w:ascii="宋体"/>
                <w:w w:val="99"/>
                <w:sz w:val="20"/>
              </w:rPr>
            </w:r>
            <w:r>
              <w:rPr>
                <w:rFonts w:ascii="宋体"/>
                <w:w w:val="99"/>
                <w:sz w:val="20"/>
                <w:u w:val="single" w:color="000000"/>
              </w:rPr>
              <w:t> </w:t>
            </w:r>
            <w:r>
              <w:rPr>
                <w:rFonts w:ascii="宋体"/>
                <w:sz w:val="20"/>
                <w:u w:val="single" w:color="000000"/>
              </w:rPr>
              <w:tab/>
            </w:r>
            <w:r>
              <w:rPr>
                <w:rFonts w:ascii="宋体"/>
                <w:w w:val="95"/>
                <w:sz w:val="20"/>
                <w:u w:val="single" w:color="000000"/>
              </w:rPr>
              <w:t>-</w:t>
            </w:r>
            <w:r>
              <w:rPr>
                <w:rFonts w:ascii="宋体"/>
                <w:w w:val="95"/>
                <w:sz w:val="20"/>
              </w:rPr>
            </w:r>
            <w:r>
              <w:rPr>
                <w:rFonts w:ascii="宋体"/>
                <w:sz w:val="20"/>
              </w:rPr>
            </w:r>
          </w:p>
        </w:tc>
        <w:tc>
          <w:tcPr>
            <w:tcW w:w="1255" w:type="dxa"/>
            <w:tcBorders>
              <w:top w:val="nil" w:sz="6" w:space="0" w:color="auto"/>
              <w:left w:val="nil" w:sz="6" w:space="0" w:color="auto"/>
              <w:bottom w:val="nil" w:sz="6" w:space="0" w:color="auto"/>
              <w:right w:val="nil" w:sz="6" w:space="0" w:color="auto"/>
            </w:tcBorders>
          </w:tcPr>
          <w:p>
            <w:pPr>
              <w:pStyle w:val="TableParagraph"/>
              <w:spacing w:line="241" w:lineRule="exact"/>
              <w:ind w:right="200"/>
              <w:jc w:val="right"/>
              <w:rPr>
                <w:rFonts w:ascii="宋体" w:hAnsi="宋体" w:cs="宋体" w:eastAsia="宋体" w:hint="default"/>
                <w:sz w:val="20"/>
                <w:szCs w:val="20"/>
              </w:rPr>
            </w:pPr>
            <w:r>
              <w:rPr>
                <w:rFonts w:ascii="宋体"/>
                <w:w w:val="99"/>
                <w:sz w:val="20"/>
              </w:rPr>
            </w:r>
            <w:r>
              <w:rPr>
                <w:rFonts w:ascii="宋体"/>
                <w:w w:val="95"/>
                <w:sz w:val="20"/>
                <w:u w:val="single" w:color="000000"/>
              </w:rPr>
              <w:t>2,690,000</w:t>
            </w:r>
            <w:r>
              <w:rPr>
                <w:rFonts w:ascii="宋体"/>
                <w:w w:val="95"/>
                <w:sz w:val="20"/>
              </w:rPr>
            </w:r>
            <w:r>
              <w:rPr>
                <w:rFonts w:ascii="宋体"/>
                <w:sz w:val="20"/>
              </w:rPr>
            </w:r>
          </w:p>
        </w:tc>
      </w:tr>
      <w:tr>
        <w:trPr>
          <w:trHeight w:val="241" w:hRule="exact"/>
        </w:trPr>
        <w:tc>
          <w:tcPr>
            <w:tcW w:w="1894" w:type="dxa"/>
            <w:tcBorders>
              <w:top w:val="nil" w:sz="6" w:space="0" w:color="auto"/>
              <w:left w:val="nil" w:sz="6" w:space="0" w:color="auto"/>
              <w:bottom w:val="nil" w:sz="6" w:space="0" w:color="auto"/>
              <w:right w:val="nil" w:sz="6" w:space="0" w:color="auto"/>
            </w:tcBorders>
          </w:tcPr>
          <w:p>
            <w:pPr/>
          </w:p>
        </w:tc>
        <w:tc>
          <w:tcPr>
            <w:tcW w:w="612" w:type="dxa"/>
            <w:tcBorders>
              <w:top w:val="nil" w:sz="6" w:space="0" w:color="auto"/>
              <w:left w:val="nil" w:sz="6" w:space="0" w:color="auto"/>
              <w:bottom w:val="nil" w:sz="6" w:space="0" w:color="auto"/>
              <w:right w:val="nil" w:sz="6" w:space="0" w:color="auto"/>
            </w:tcBorders>
          </w:tcPr>
          <w:p>
            <w:pPr/>
          </w:p>
        </w:tc>
        <w:tc>
          <w:tcPr>
            <w:tcW w:w="1307" w:type="dxa"/>
            <w:tcBorders>
              <w:top w:val="nil" w:sz="6" w:space="0" w:color="auto"/>
              <w:left w:val="nil" w:sz="6" w:space="0" w:color="auto"/>
              <w:bottom w:val="nil" w:sz="6" w:space="0" w:color="auto"/>
              <w:right w:val="nil" w:sz="6" w:space="0" w:color="auto"/>
            </w:tcBorders>
          </w:tcPr>
          <w:p>
            <w:pPr/>
          </w:p>
        </w:tc>
        <w:tc>
          <w:tcPr>
            <w:tcW w:w="1112"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right"/>
              <w:rPr>
                <w:rFonts w:ascii="宋体" w:hAnsi="宋体" w:cs="宋体" w:eastAsia="宋体" w:hint="default"/>
                <w:sz w:val="20"/>
                <w:szCs w:val="20"/>
              </w:rPr>
            </w:pPr>
            <w:r>
              <w:rPr>
                <w:rFonts w:ascii="宋体"/>
                <w:w w:val="99"/>
                <w:sz w:val="20"/>
              </w:rPr>
            </w:r>
            <w:r>
              <w:rPr>
                <w:rFonts w:ascii="宋体"/>
                <w:w w:val="95"/>
                <w:sz w:val="20"/>
                <w:u w:val="single" w:color="000000"/>
              </w:rPr>
              <w:t>17,275,000</w:t>
            </w:r>
            <w:r>
              <w:rPr>
                <w:rFonts w:ascii="宋体"/>
                <w:w w:val="95"/>
                <w:sz w:val="20"/>
              </w:rPr>
            </w:r>
            <w:r>
              <w:rPr>
                <w:rFonts w:ascii="宋体"/>
                <w:sz w:val="20"/>
              </w:rPr>
            </w:r>
          </w:p>
        </w:tc>
        <w:tc>
          <w:tcPr>
            <w:tcW w:w="963" w:type="dxa"/>
            <w:tcBorders>
              <w:top w:val="nil" w:sz="6" w:space="0" w:color="auto"/>
              <w:left w:val="nil" w:sz="6" w:space="0" w:color="auto"/>
              <w:bottom w:val="nil" w:sz="6" w:space="0" w:color="auto"/>
              <w:right w:val="nil" w:sz="6" w:space="0" w:color="auto"/>
            </w:tcBorders>
          </w:tcPr>
          <w:p>
            <w:pPr>
              <w:pStyle w:val="TableParagraph"/>
              <w:spacing w:line="241" w:lineRule="exact"/>
              <w:ind w:right="16"/>
              <w:jc w:val="right"/>
              <w:rPr>
                <w:rFonts w:ascii="宋体" w:hAnsi="宋体" w:cs="宋体" w:eastAsia="宋体" w:hint="default"/>
                <w:sz w:val="20"/>
                <w:szCs w:val="20"/>
              </w:rPr>
            </w:pPr>
            <w:r>
              <w:rPr>
                <w:rFonts w:ascii="宋体"/>
                <w:w w:val="99"/>
                <w:sz w:val="20"/>
              </w:rPr>
            </w:r>
            <w:r>
              <w:rPr>
                <w:rFonts w:ascii="宋体"/>
                <w:w w:val="95"/>
                <w:sz w:val="20"/>
                <w:u w:val="single" w:color="000000"/>
              </w:rPr>
              <w:t>4,205,000</w:t>
            </w:r>
            <w:r>
              <w:rPr>
                <w:rFonts w:ascii="宋体"/>
                <w:w w:val="95"/>
                <w:sz w:val="20"/>
              </w:rPr>
            </w:r>
            <w:r>
              <w:rPr>
                <w:rFonts w:ascii="宋体"/>
                <w:sz w:val="20"/>
              </w:rPr>
            </w:r>
          </w:p>
        </w:tc>
        <w:tc>
          <w:tcPr>
            <w:tcW w:w="1119" w:type="dxa"/>
            <w:tcBorders>
              <w:top w:val="nil" w:sz="6" w:space="0" w:color="auto"/>
              <w:left w:val="nil" w:sz="6" w:space="0" w:color="auto"/>
              <w:bottom w:val="nil" w:sz="6" w:space="0" w:color="auto"/>
              <w:right w:val="nil" w:sz="6" w:space="0" w:color="auto"/>
            </w:tcBorders>
          </w:tcPr>
          <w:p>
            <w:pPr>
              <w:pStyle w:val="TableParagraph"/>
              <w:spacing w:line="241" w:lineRule="exact"/>
              <w:ind w:right="0"/>
              <w:jc w:val="right"/>
              <w:rPr>
                <w:rFonts w:ascii="宋体" w:hAnsi="宋体" w:cs="宋体" w:eastAsia="宋体" w:hint="default"/>
                <w:sz w:val="20"/>
                <w:szCs w:val="20"/>
              </w:rPr>
            </w:pPr>
            <w:r>
              <w:rPr>
                <w:rFonts w:ascii="宋体"/>
                <w:w w:val="95"/>
                <w:sz w:val="20"/>
              </w:rPr>
              <w:t>(</w:t>
            </w:r>
            <w:r>
              <w:rPr>
                <w:rFonts w:ascii="宋体"/>
                <w:w w:val="95"/>
                <w:sz w:val="20"/>
                <w:u w:val="single" w:color="000000"/>
              </w:rPr>
              <w:t>1,649,000</w:t>
            </w:r>
            <w:r>
              <w:rPr>
                <w:rFonts w:ascii="宋体"/>
                <w:w w:val="95"/>
                <w:sz w:val="20"/>
              </w:rPr>
              <w:t>)</w:t>
            </w:r>
            <w:r>
              <w:rPr>
                <w:rFonts w:ascii="宋体"/>
                <w:sz w:val="20"/>
              </w:rPr>
            </w:r>
          </w:p>
        </w:tc>
        <w:tc>
          <w:tcPr>
            <w:tcW w:w="1154" w:type="dxa"/>
            <w:tcBorders>
              <w:top w:val="nil" w:sz="6" w:space="0" w:color="auto"/>
              <w:left w:val="nil" w:sz="6" w:space="0" w:color="auto"/>
              <w:bottom w:val="nil" w:sz="6" w:space="0" w:color="auto"/>
              <w:right w:val="nil" w:sz="6" w:space="0" w:color="auto"/>
            </w:tcBorders>
          </w:tcPr>
          <w:p>
            <w:pPr>
              <w:pStyle w:val="TableParagraph"/>
              <w:spacing w:line="241" w:lineRule="exact"/>
              <w:ind w:right="50"/>
              <w:jc w:val="right"/>
              <w:rPr>
                <w:rFonts w:ascii="宋体" w:hAnsi="宋体" w:cs="宋体" w:eastAsia="宋体" w:hint="default"/>
                <w:sz w:val="20"/>
                <w:szCs w:val="20"/>
              </w:rPr>
            </w:pPr>
            <w:r>
              <w:rPr>
                <w:rFonts w:ascii="宋体"/>
                <w:w w:val="95"/>
                <w:sz w:val="20"/>
              </w:rPr>
              <w:t>(</w:t>
            </w:r>
            <w:r>
              <w:rPr>
                <w:rFonts w:ascii="宋体"/>
                <w:w w:val="95"/>
                <w:sz w:val="20"/>
                <w:u w:val="single" w:color="000000"/>
              </w:rPr>
              <w:t>5,011,500</w:t>
            </w:r>
            <w:r>
              <w:rPr>
                <w:rFonts w:ascii="宋体"/>
                <w:w w:val="95"/>
                <w:sz w:val="20"/>
              </w:rPr>
              <w:t>)</w:t>
            </w:r>
            <w:r>
              <w:rPr>
                <w:rFonts w:ascii="宋体"/>
                <w:sz w:val="20"/>
              </w:rPr>
            </w:r>
          </w:p>
        </w:tc>
        <w:tc>
          <w:tcPr>
            <w:tcW w:w="1255" w:type="dxa"/>
            <w:tcBorders>
              <w:top w:val="nil" w:sz="6" w:space="0" w:color="auto"/>
              <w:left w:val="nil" w:sz="6" w:space="0" w:color="auto"/>
              <w:bottom w:val="nil" w:sz="6" w:space="0" w:color="auto"/>
              <w:right w:val="nil" w:sz="6" w:space="0" w:color="auto"/>
            </w:tcBorders>
          </w:tcPr>
          <w:p>
            <w:pPr>
              <w:pStyle w:val="TableParagraph"/>
              <w:spacing w:line="241" w:lineRule="exact"/>
              <w:ind w:right="200"/>
              <w:jc w:val="right"/>
              <w:rPr>
                <w:rFonts w:ascii="宋体" w:hAnsi="宋体" w:cs="宋体" w:eastAsia="宋体" w:hint="default"/>
                <w:sz w:val="20"/>
                <w:szCs w:val="20"/>
              </w:rPr>
            </w:pPr>
            <w:r>
              <w:rPr>
                <w:rFonts w:ascii="宋体"/>
                <w:w w:val="99"/>
                <w:sz w:val="20"/>
              </w:rPr>
            </w:r>
            <w:r>
              <w:rPr>
                <w:rFonts w:ascii="宋体"/>
                <w:w w:val="95"/>
                <w:sz w:val="20"/>
                <w:u w:val="single" w:color="000000"/>
              </w:rPr>
              <w:t>14,819,500</w:t>
            </w:r>
            <w:r>
              <w:rPr>
                <w:rFonts w:ascii="宋体"/>
                <w:w w:val="95"/>
                <w:sz w:val="20"/>
              </w:rPr>
            </w:r>
            <w:r>
              <w:rPr>
                <w:rFonts w:ascii="宋体"/>
                <w:sz w:val="20"/>
              </w:rPr>
            </w:r>
          </w:p>
        </w:tc>
      </w:tr>
    </w:tbl>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p>
      <w:pPr>
        <w:pStyle w:val="BodyText"/>
        <w:spacing w:line="240" w:lineRule="auto" w:before="36"/>
        <w:ind w:left="138" w:right="0"/>
        <w:jc w:val="both"/>
      </w:pPr>
      <w:r>
        <w:rPr/>
        <w:t>附注：</w:t>
      </w:r>
    </w:p>
    <w:p>
      <w:pPr>
        <w:spacing w:line="240" w:lineRule="auto" w:before="11"/>
        <w:rPr>
          <w:rFonts w:ascii="宋体" w:hAnsi="宋体" w:cs="宋体" w:eastAsia="宋体" w:hint="default"/>
          <w:sz w:val="20"/>
          <w:szCs w:val="20"/>
        </w:rPr>
      </w:pPr>
    </w:p>
    <w:p>
      <w:pPr>
        <w:pStyle w:val="BodyText"/>
        <w:spacing w:line="237" w:lineRule="auto"/>
        <w:ind w:left="138" w:right="662"/>
        <w:jc w:val="both"/>
      </w:pPr>
      <w:r>
        <w:rPr>
          <w:rFonts w:ascii="宋体" w:hAnsi="宋体" w:cs="宋体" w:eastAsia="宋体" w:hint="default"/>
        </w:rPr>
        <w:t>(a)</w:t>
      </w:r>
      <w:r>
        <w:rPr>
          <w:rFonts w:ascii="宋体" w:hAnsi="宋体" w:cs="宋体" w:eastAsia="宋体" w:hint="default"/>
          <w:spacing w:val="-3"/>
        </w:rPr>
        <w:t> </w:t>
      </w:r>
      <w:r>
        <w:rPr/>
        <w:t>于</w:t>
      </w:r>
      <w:r>
        <w:rPr>
          <w:spacing w:val="-51"/>
        </w:rPr>
        <w:t> </w:t>
      </w:r>
      <w:r>
        <w:rPr>
          <w:rFonts w:ascii="宋体" w:hAnsi="宋体" w:cs="宋体" w:eastAsia="宋体" w:hint="default"/>
        </w:rPr>
        <w:t>2015</w:t>
      </w:r>
      <w:r>
        <w:rPr>
          <w:rFonts w:ascii="宋体" w:hAnsi="宋体" w:cs="宋体" w:eastAsia="宋体" w:hint="default"/>
          <w:spacing w:val="-54"/>
        </w:rPr>
        <w:t> </w:t>
      </w:r>
      <w:r>
        <w:rPr/>
        <w:t>年</w:t>
      </w:r>
      <w:r>
        <w:rPr>
          <w:spacing w:val="-54"/>
        </w:rPr>
        <w:t> </w:t>
      </w:r>
      <w:r>
        <w:rPr>
          <w:rFonts w:ascii="宋体" w:hAnsi="宋体" w:cs="宋体" w:eastAsia="宋体" w:hint="default"/>
        </w:rPr>
        <w:t>6</w:t>
      </w:r>
      <w:r>
        <w:rPr>
          <w:rFonts w:ascii="宋体" w:hAnsi="宋体" w:cs="宋体" w:eastAsia="宋体" w:hint="default"/>
          <w:spacing w:val="-54"/>
        </w:rPr>
        <w:t> </w:t>
      </w:r>
      <w:r>
        <w:rPr/>
        <w:t>月</w:t>
      </w:r>
      <w:r>
        <w:rPr>
          <w:spacing w:val="-51"/>
        </w:rPr>
        <w:t> </w:t>
      </w:r>
      <w:r>
        <w:rPr>
          <w:rFonts w:ascii="宋体" w:hAnsi="宋体" w:cs="宋体" w:eastAsia="宋体" w:hint="default"/>
        </w:rPr>
        <w:t>16</w:t>
      </w:r>
      <w:r>
        <w:rPr>
          <w:rFonts w:ascii="宋体" w:hAnsi="宋体" w:cs="宋体" w:eastAsia="宋体" w:hint="default"/>
          <w:spacing w:val="-51"/>
        </w:rPr>
        <w:t> </w:t>
      </w:r>
      <w:r>
        <w:rPr/>
        <w:t>日，畅捷通董事会批准依据该计划无偿向</w:t>
      </w:r>
      <w:r>
        <w:rPr>
          <w:spacing w:val="-54"/>
        </w:rPr>
        <w:t> </w:t>
      </w:r>
      <w:r>
        <w:rPr>
          <w:rFonts w:ascii="宋体" w:hAnsi="宋体" w:cs="宋体" w:eastAsia="宋体" w:hint="default"/>
        </w:rPr>
        <w:t>182</w:t>
      </w:r>
      <w:r>
        <w:rPr>
          <w:rFonts w:ascii="宋体" w:hAnsi="宋体" w:cs="宋体" w:eastAsia="宋体" w:hint="default"/>
          <w:spacing w:val="-51"/>
        </w:rPr>
        <w:t> </w:t>
      </w:r>
      <w:r>
        <w:rPr/>
        <w:t>名激励对象</w:t>
      </w:r>
      <w:r>
        <w:rPr>
          <w:rFonts w:ascii="宋体" w:hAnsi="宋体" w:cs="宋体" w:eastAsia="宋体" w:hint="default"/>
        </w:rPr>
        <w:t>(</w:t>
      </w:r>
      <w:r>
        <w:rPr/>
        <w:t>包括一名董事、</w:t>
      </w:r>
      <w:r>
        <w:rPr>
          <w:w w:val="100"/>
        </w:rPr>
        <w:t> </w:t>
      </w:r>
      <w:r>
        <w:rPr>
          <w:spacing w:val="-1"/>
        </w:rPr>
        <w:t>两名监事、畅捷通的中高层管理人员、专家及核心骨干</w:t>
      </w:r>
      <w:r>
        <w:rPr>
          <w:rFonts w:ascii="宋体" w:hAnsi="宋体" w:cs="宋体" w:eastAsia="宋体" w:hint="default"/>
          <w:spacing w:val="-1"/>
        </w:rPr>
        <w:t>)</w:t>
      </w:r>
      <w:r>
        <w:rPr>
          <w:spacing w:val="-1"/>
        </w:rPr>
        <w:t>首次授予附生效条件的信托受益权份额。</w:t>
      </w:r>
      <w:r>
        <w:rPr>
          <w:spacing w:val="-53"/>
        </w:rPr>
        <w:t> </w:t>
      </w:r>
      <w:r>
        <w:rPr>
          <w:spacing w:val="-53"/>
        </w:rPr>
      </w:r>
      <w:r>
        <w:rPr>
          <w:spacing w:val="-2"/>
          <w:w w:val="100"/>
        </w:rPr>
        <w:t>首次授予项下目标股票总数为</w:t>
      </w:r>
      <w:r>
        <w:rPr>
          <w:spacing w:val="-56"/>
          <w:w w:val="100"/>
        </w:rPr>
        <w:t> </w:t>
      </w:r>
      <w:r>
        <w:rPr>
          <w:rFonts w:ascii="宋体" w:hAnsi="宋体" w:cs="宋体" w:eastAsia="宋体" w:hint="default"/>
          <w:spacing w:val="-1"/>
          <w:w w:val="100"/>
        </w:rPr>
        <w:t>17,370,000</w:t>
      </w:r>
      <w:r>
        <w:rPr>
          <w:rFonts w:ascii="宋体" w:hAnsi="宋体" w:cs="宋体" w:eastAsia="宋体" w:hint="default"/>
          <w:spacing w:val="-59"/>
          <w:w w:val="100"/>
        </w:rPr>
        <w:t> </w:t>
      </w:r>
      <w:r>
        <w:rPr>
          <w:spacing w:val="-36"/>
          <w:w w:val="100"/>
        </w:rPr>
        <w:t>股，占</w:t>
      </w:r>
      <w:r>
        <w:rPr>
          <w:spacing w:val="-57"/>
          <w:w w:val="100"/>
        </w:rPr>
        <w:t> </w:t>
      </w:r>
      <w:r>
        <w:rPr>
          <w:rFonts w:ascii="宋体" w:hAnsi="宋体" w:cs="宋体" w:eastAsia="宋体" w:hint="default"/>
          <w:spacing w:val="-1"/>
          <w:w w:val="100"/>
        </w:rPr>
        <w:t>2015</w:t>
      </w:r>
      <w:r>
        <w:rPr>
          <w:rFonts w:ascii="宋体" w:hAnsi="宋体" w:cs="宋体" w:eastAsia="宋体" w:hint="default"/>
          <w:spacing w:val="-56"/>
          <w:w w:val="100"/>
        </w:rPr>
        <w:t> </w:t>
      </w:r>
      <w:r>
        <w:rPr>
          <w:w w:val="100"/>
        </w:rPr>
        <w:t>年</w:t>
      </w:r>
      <w:r>
        <w:rPr>
          <w:spacing w:val="-56"/>
          <w:w w:val="100"/>
        </w:rPr>
        <w:t> </w:t>
      </w:r>
      <w:r>
        <w:rPr>
          <w:rFonts w:ascii="宋体" w:hAnsi="宋体" w:cs="宋体" w:eastAsia="宋体" w:hint="default"/>
          <w:w w:val="100"/>
        </w:rPr>
        <w:t>6</w:t>
      </w:r>
      <w:r>
        <w:rPr>
          <w:rFonts w:ascii="宋体" w:hAnsi="宋体" w:cs="宋体" w:eastAsia="宋体" w:hint="default"/>
          <w:spacing w:val="-56"/>
          <w:w w:val="100"/>
        </w:rPr>
        <w:t> </w:t>
      </w:r>
      <w:r>
        <w:rPr>
          <w:w w:val="100"/>
        </w:rPr>
        <w:t>月</w:t>
      </w:r>
      <w:r>
        <w:rPr>
          <w:spacing w:val="-59"/>
          <w:w w:val="100"/>
        </w:rPr>
        <w:t> </w:t>
      </w:r>
      <w:r>
        <w:rPr>
          <w:rFonts w:ascii="宋体" w:hAnsi="宋体" w:cs="宋体" w:eastAsia="宋体" w:hint="default"/>
          <w:w w:val="100"/>
        </w:rPr>
        <w:t>16</w:t>
      </w:r>
      <w:r>
        <w:rPr>
          <w:rFonts w:ascii="宋体" w:hAnsi="宋体" w:cs="宋体" w:eastAsia="宋体" w:hint="default"/>
          <w:spacing w:val="-56"/>
          <w:w w:val="100"/>
        </w:rPr>
        <w:t> </w:t>
      </w:r>
      <w:r>
        <w:rPr>
          <w:spacing w:val="-2"/>
          <w:w w:val="100"/>
        </w:rPr>
        <w:t>日畅捷通已发行股本总额约</w:t>
      </w:r>
      <w:r>
        <w:rPr>
          <w:spacing w:val="-56"/>
          <w:w w:val="100"/>
        </w:rPr>
        <w:t> </w:t>
      </w:r>
      <w:r>
        <w:rPr>
          <w:rFonts w:ascii="宋体" w:hAnsi="宋体" w:cs="宋体" w:eastAsia="宋体" w:hint="default"/>
          <w:spacing w:val="-2"/>
          <w:w w:val="100"/>
        </w:rPr>
        <w:t>8%</w:t>
      </w:r>
      <w:r>
        <w:rPr>
          <w:spacing w:val="-2"/>
          <w:w w:val="100"/>
        </w:rPr>
        <w:t>。</w:t>
      </w:r>
    </w:p>
    <w:p>
      <w:pPr>
        <w:spacing w:line="240" w:lineRule="auto" w:before="9"/>
        <w:rPr>
          <w:rFonts w:ascii="宋体" w:hAnsi="宋体" w:cs="宋体" w:eastAsia="宋体" w:hint="default"/>
          <w:sz w:val="20"/>
          <w:szCs w:val="20"/>
        </w:rPr>
      </w:pPr>
    </w:p>
    <w:p>
      <w:pPr>
        <w:pStyle w:val="BodyText"/>
        <w:spacing w:line="274" w:lineRule="exact"/>
        <w:ind w:left="138" w:right="0"/>
        <w:jc w:val="both"/>
      </w:pPr>
      <w:r>
        <w:rPr>
          <w:rFonts w:ascii="宋体" w:hAnsi="宋体" w:cs="宋体" w:eastAsia="宋体" w:hint="default"/>
          <w:w w:val="100"/>
        </w:rPr>
        <w:t>(b)</w:t>
      </w:r>
      <w:r>
        <w:rPr>
          <w:rFonts w:ascii="宋体" w:hAnsi="宋体" w:cs="宋体" w:eastAsia="宋体" w:hint="default"/>
          <w:spacing w:val="-2"/>
        </w:rPr>
        <w:t> </w:t>
      </w:r>
      <w:r>
        <w:rPr>
          <w:w w:val="100"/>
        </w:rPr>
        <w:t>于</w:t>
      </w:r>
      <w:r>
        <w:rPr>
          <w:spacing w:val="-53"/>
        </w:rPr>
        <w:t> </w:t>
      </w:r>
      <w:r>
        <w:rPr>
          <w:rFonts w:ascii="宋体" w:hAnsi="宋体" w:cs="宋体" w:eastAsia="宋体" w:hint="default"/>
          <w:w w:val="100"/>
        </w:rPr>
        <w:t>20</w:t>
      </w:r>
      <w:r>
        <w:rPr>
          <w:rFonts w:ascii="宋体" w:hAnsi="宋体" w:cs="宋体" w:eastAsia="宋体" w:hint="default"/>
          <w:spacing w:val="-3"/>
          <w:w w:val="100"/>
        </w:rPr>
        <w:t>1</w:t>
      </w:r>
      <w:r>
        <w:rPr>
          <w:rFonts w:ascii="宋体" w:hAnsi="宋体" w:cs="宋体" w:eastAsia="宋体" w:hint="default"/>
          <w:w w:val="100"/>
        </w:rPr>
        <w:t>5</w:t>
      </w:r>
      <w:r>
        <w:rPr>
          <w:rFonts w:ascii="宋体" w:hAnsi="宋体" w:cs="宋体" w:eastAsia="宋体" w:hint="default"/>
          <w:spacing w:val="-53"/>
        </w:rPr>
        <w:t> </w:t>
      </w:r>
      <w:r>
        <w:rPr>
          <w:w w:val="100"/>
        </w:rPr>
        <w:t>年</w:t>
      </w:r>
      <w:r>
        <w:rPr>
          <w:spacing w:val="-55"/>
        </w:rPr>
        <w:t> </w:t>
      </w:r>
      <w:r>
        <w:rPr>
          <w:rFonts w:ascii="宋体" w:hAnsi="宋体" w:cs="宋体" w:eastAsia="宋体" w:hint="default"/>
          <w:w w:val="100"/>
        </w:rPr>
        <w:t>9</w:t>
      </w:r>
      <w:r>
        <w:rPr>
          <w:rFonts w:ascii="宋体" w:hAnsi="宋体" w:cs="宋体" w:eastAsia="宋体" w:hint="default"/>
          <w:spacing w:val="-53"/>
        </w:rPr>
        <w:t> </w:t>
      </w:r>
      <w:r>
        <w:rPr>
          <w:w w:val="100"/>
        </w:rPr>
        <w:t>月</w:t>
      </w:r>
      <w:r>
        <w:rPr>
          <w:spacing w:val="-55"/>
        </w:rPr>
        <w:t> </w:t>
      </w:r>
      <w:r>
        <w:rPr>
          <w:rFonts w:ascii="宋体" w:hAnsi="宋体" w:cs="宋体" w:eastAsia="宋体" w:hint="default"/>
          <w:w w:val="100"/>
        </w:rPr>
        <w:t>2</w:t>
      </w:r>
      <w:r>
        <w:rPr>
          <w:rFonts w:ascii="宋体" w:hAnsi="宋体" w:cs="宋体" w:eastAsia="宋体" w:hint="default"/>
          <w:spacing w:val="-53"/>
        </w:rPr>
        <w:t> </w:t>
      </w:r>
      <w:r>
        <w:rPr>
          <w:spacing w:val="-3"/>
          <w:w w:val="100"/>
        </w:rPr>
        <w:t>日</w:t>
      </w:r>
      <w:r>
        <w:rPr>
          <w:spacing w:val="-94"/>
          <w:w w:val="100"/>
        </w:rPr>
        <w:t>，</w:t>
      </w:r>
      <w:r>
        <w:rPr>
          <w:w w:val="100"/>
        </w:rPr>
        <w:t>畅</w:t>
      </w:r>
      <w:r>
        <w:rPr>
          <w:spacing w:val="-3"/>
          <w:w w:val="100"/>
        </w:rPr>
        <w:t>捷</w:t>
      </w:r>
      <w:r>
        <w:rPr>
          <w:w w:val="100"/>
        </w:rPr>
        <w:t>通董</w:t>
      </w:r>
      <w:r>
        <w:rPr>
          <w:spacing w:val="-3"/>
          <w:w w:val="100"/>
        </w:rPr>
        <w:t>事</w:t>
      </w:r>
      <w:r>
        <w:rPr>
          <w:w w:val="100"/>
        </w:rPr>
        <w:t>会</w:t>
      </w:r>
      <w:r>
        <w:rPr>
          <w:spacing w:val="-3"/>
          <w:w w:val="100"/>
        </w:rPr>
        <w:t>还</w:t>
      </w:r>
      <w:r>
        <w:rPr>
          <w:w w:val="100"/>
        </w:rPr>
        <w:t>授</w:t>
      </w:r>
      <w:r>
        <w:rPr>
          <w:spacing w:val="-3"/>
          <w:w w:val="100"/>
        </w:rPr>
        <w:t>权</w:t>
      </w:r>
      <w:r>
        <w:rPr>
          <w:w w:val="100"/>
        </w:rPr>
        <w:t>畅</w:t>
      </w:r>
      <w:r>
        <w:rPr>
          <w:spacing w:val="-3"/>
          <w:w w:val="100"/>
        </w:rPr>
        <w:t>捷</w:t>
      </w:r>
      <w:r>
        <w:rPr>
          <w:w w:val="100"/>
        </w:rPr>
        <w:t>通</w:t>
      </w:r>
      <w:r>
        <w:rPr>
          <w:spacing w:val="-3"/>
          <w:w w:val="100"/>
        </w:rPr>
        <w:t>总</w:t>
      </w:r>
      <w:r>
        <w:rPr>
          <w:w w:val="100"/>
        </w:rPr>
        <w:t>裁会</w:t>
      </w:r>
      <w:r>
        <w:rPr>
          <w:spacing w:val="-3"/>
          <w:w w:val="100"/>
        </w:rPr>
        <w:t>无</w:t>
      </w:r>
      <w:r>
        <w:rPr>
          <w:w w:val="100"/>
        </w:rPr>
        <w:t>偿</w:t>
      </w:r>
      <w:r>
        <w:rPr>
          <w:spacing w:val="-3"/>
          <w:w w:val="100"/>
        </w:rPr>
        <w:t>向</w:t>
      </w:r>
      <w:r>
        <w:rPr>
          <w:w w:val="100"/>
        </w:rPr>
        <w:t>畅</w:t>
      </w:r>
      <w:r>
        <w:rPr>
          <w:spacing w:val="-3"/>
          <w:w w:val="100"/>
        </w:rPr>
        <w:t>捷</w:t>
      </w:r>
      <w:r>
        <w:rPr>
          <w:w w:val="100"/>
        </w:rPr>
        <w:t>通</w:t>
      </w:r>
      <w:r>
        <w:rPr>
          <w:spacing w:val="-3"/>
          <w:w w:val="100"/>
        </w:rPr>
        <w:t>美</w:t>
      </w:r>
      <w:r>
        <w:rPr>
          <w:w w:val="100"/>
        </w:rPr>
        <w:t>国</w:t>
      </w:r>
      <w:r>
        <w:rPr>
          <w:spacing w:val="-3"/>
          <w:w w:val="100"/>
        </w:rPr>
        <w:t>若</w:t>
      </w:r>
      <w:r>
        <w:rPr>
          <w:w w:val="100"/>
        </w:rPr>
        <w:t>干激</w:t>
      </w:r>
      <w:r>
        <w:rPr>
          <w:spacing w:val="-3"/>
          <w:w w:val="100"/>
        </w:rPr>
        <w:t>励</w:t>
      </w:r>
      <w:r>
        <w:rPr>
          <w:w w:val="100"/>
        </w:rPr>
        <w:t>对</w:t>
      </w:r>
      <w:r>
        <w:rPr>
          <w:spacing w:val="-3"/>
          <w:w w:val="100"/>
        </w:rPr>
        <w:t>象授</w:t>
      </w:r>
      <w:r>
        <w:rPr>
          <w:w w:val="100"/>
        </w:rPr>
        <w:t>予</w:t>
      </w:r>
    </w:p>
    <w:p>
      <w:pPr>
        <w:pStyle w:val="BodyText"/>
        <w:spacing w:line="272" w:lineRule="exact" w:before="27"/>
        <w:ind w:left="138" w:right="767"/>
        <w:jc w:val="both"/>
      </w:pPr>
      <w:r>
        <w:rPr/>
        <w:t>附生效条件的信托受益权份额。该等授予项下的目标股票数量为</w:t>
      </w:r>
      <w:r>
        <w:rPr>
          <w:spacing w:val="-51"/>
        </w:rPr>
        <w:t> </w:t>
      </w:r>
      <w:r>
        <w:rPr>
          <w:rFonts w:ascii="宋体" w:hAnsi="宋体" w:cs="宋体" w:eastAsia="宋体" w:hint="default"/>
        </w:rPr>
        <w:t>120,000</w:t>
      </w:r>
      <w:r>
        <w:rPr>
          <w:rFonts w:ascii="宋体" w:hAnsi="宋体" w:cs="宋体" w:eastAsia="宋体" w:hint="default"/>
          <w:spacing w:val="-49"/>
        </w:rPr>
        <w:t> </w:t>
      </w:r>
      <w:r>
        <w:rPr/>
        <w:t>股。报告期内，畅捷通</w:t>
      </w:r>
      <w:r>
        <w:rPr>
          <w:w w:val="100"/>
        </w:rPr>
        <w:t> </w:t>
      </w:r>
      <w:r>
        <w:rPr/>
        <w:t>美国获授信托受益权的激励对象不涉及畅捷通董事、监事或其各自的配偶或十八岁以下子女。</w:t>
      </w:r>
    </w:p>
    <w:p>
      <w:pPr>
        <w:spacing w:line="240" w:lineRule="auto" w:before="12"/>
        <w:rPr>
          <w:rFonts w:ascii="宋体" w:hAnsi="宋体" w:cs="宋体" w:eastAsia="宋体" w:hint="default"/>
          <w:sz w:val="18"/>
          <w:szCs w:val="18"/>
        </w:rPr>
      </w:pPr>
    </w:p>
    <w:p>
      <w:pPr>
        <w:pStyle w:val="BodyText"/>
        <w:spacing w:line="237" w:lineRule="auto"/>
        <w:ind w:left="138" w:right="767"/>
        <w:jc w:val="both"/>
      </w:pPr>
      <w:r>
        <w:rPr>
          <w:rFonts w:ascii="宋体" w:hAnsi="宋体" w:cs="宋体" w:eastAsia="宋体" w:hint="default"/>
        </w:rPr>
        <w:t>(c)</w:t>
      </w:r>
      <w:r>
        <w:rPr>
          <w:rFonts w:ascii="宋体" w:hAnsi="宋体" w:cs="宋体" w:eastAsia="宋体" w:hint="default"/>
          <w:spacing w:val="-3"/>
        </w:rPr>
        <w:t> </w:t>
      </w:r>
      <w:r>
        <w:rPr/>
        <w:t>于</w:t>
      </w:r>
      <w:r>
        <w:rPr>
          <w:spacing w:val="-51"/>
        </w:rPr>
        <w:t> </w:t>
      </w:r>
      <w:r>
        <w:rPr>
          <w:rFonts w:ascii="宋体" w:hAnsi="宋体" w:cs="宋体" w:eastAsia="宋体" w:hint="default"/>
        </w:rPr>
        <w:t>2016</w:t>
      </w:r>
      <w:r>
        <w:rPr>
          <w:rFonts w:ascii="宋体" w:hAnsi="宋体" w:cs="宋体" w:eastAsia="宋体" w:hint="default"/>
          <w:spacing w:val="-54"/>
        </w:rPr>
        <w:t> </w:t>
      </w:r>
      <w:r>
        <w:rPr/>
        <w:t>年</w:t>
      </w:r>
      <w:r>
        <w:rPr>
          <w:spacing w:val="-54"/>
        </w:rPr>
        <w:t> </w:t>
      </w:r>
      <w:r>
        <w:rPr>
          <w:rFonts w:ascii="宋体" w:hAnsi="宋体" w:cs="宋体" w:eastAsia="宋体" w:hint="default"/>
        </w:rPr>
        <w:t>3</w:t>
      </w:r>
      <w:r>
        <w:rPr>
          <w:rFonts w:ascii="宋体" w:hAnsi="宋体" w:cs="宋体" w:eastAsia="宋体" w:hint="default"/>
          <w:spacing w:val="-54"/>
        </w:rPr>
        <w:t> </w:t>
      </w:r>
      <w:r>
        <w:rPr/>
        <w:t>月</w:t>
      </w:r>
      <w:r>
        <w:rPr>
          <w:spacing w:val="-51"/>
        </w:rPr>
        <w:t> </w:t>
      </w:r>
      <w:r>
        <w:rPr>
          <w:rFonts w:ascii="宋体" w:hAnsi="宋体" w:cs="宋体" w:eastAsia="宋体" w:hint="default"/>
        </w:rPr>
        <w:t>31</w:t>
      </w:r>
      <w:r>
        <w:rPr>
          <w:rFonts w:ascii="宋体" w:hAnsi="宋体" w:cs="宋体" w:eastAsia="宋体" w:hint="default"/>
          <w:spacing w:val="-51"/>
        </w:rPr>
        <w:t> </w:t>
      </w:r>
      <w:r>
        <w:rPr/>
        <w:t>日，畅捷通董事会批准依据该计划无偿向</w:t>
      </w:r>
      <w:r>
        <w:rPr>
          <w:spacing w:val="-54"/>
        </w:rPr>
        <w:t> </w:t>
      </w:r>
      <w:r>
        <w:rPr>
          <w:rFonts w:ascii="宋体" w:hAnsi="宋体" w:cs="宋体" w:eastAsia="宋体" w:hint="default"/>
        </w:rPr>
        <w:t>36</w:t>
      </w:r>
      <w:r>
        <w:rPr>
          <w:rFonts w:ascii="宋体" w:hAnsi="宋体" w:cs="宋体" w:eastAsia="宋体" w:hint="default"/>
          <w:spacing w:val="-54"/>
        </w:rPr>
        <w:t> </w:t>
      </w:r>
      <w:r>
        <w:rPr/>
        <w:t>名激励对象</w:t>
      </w:r>
      <w:r>
        <w:rPr>
          <w:rFonts w:ascii="宋体" w:hAnsi="宋体" w:cs="宋体" w:eastAsia="宋体" w:hint="default"/>
        </w:rPr>
        <w:t>(</w:t>
      </w:r>
      <w:r>
        <w:rPr/>
        <w:t>包括畅捷通的中</w:t>
      </w:r>
      <w:r>
        <w:rPr>
          <w:w w:val="100"/>
        </w:rPr>
        <w:t> </w:t>
      </w:r>
      <w:r>
        <w:rPr>
          <w:spacing w:val="-4"/>
        </w:rPr>
        <w:t>高层管理人员、专家及核心骨干</w:t>
      </w:r>
      <w:r>
        <w:rPr>
          <w:rFonts w:ascii="宋体" w:hAnsi="宋体" w:cs="宋体" w:eastAsia="宋体" w:hint="default"/>
          <w:spacing w:val="-4"/>
        </w:rPr>
        <w:t>)</w:t>
      </w:r>
      <w:r>
        <w:rPr>
          <w:spacing w:val="-4"/>
        </w:rPr>
        <w:t>第二次授予附生效条件的信托受益权份额。第二次授予项下目标</w:t>
      </w:r>
      <w:r>
        <w:rPr>
          <w:spacing w:val="-36"/>
        </w:rPr>
        <w:t> </w:t>
      </w:r>
      <w:r>
        <w:rPr>
          <w:spacing w:val="-36"/>
        </w:rPr>
      </w:r>
      <w:r>
        <w:rPr/>
        <w:t>股票总数为</w:t>
      </w:r>
      <w:r>
        <w:rPr>
          <w:spacing w:val="-53"/>
        </w:rPr>
        <w:t> </w:t>
      </w:r>
      <w:r>
        <w:rPr>
          <w:rFonts w:ascii="宋体" w:hAnsi="宋体" w:cs="宋体" w:eastAsia="宋体" w:hint="default"/>
        </w:rPr>
        <w:t>1,515,000</w:t>
      </w:r>
      <w:r>
        <w:rPr>
          <w:rFonts w:ascii="宋体" w:hAnsi="宋体" w:cs="宋体" w:eastAsia="宋体" w:hint="default"/>
          <w:spacing w:val="-52"/>
        </w:rPr>
        <w:t> </w:t>
      </w:r>
      <w:r>
        <w:rPr/>
        <w:t>股，占</w:t>
      </w:r>
      <w:r>
        <w:rPr>
          <w:spacing w:val="-53"/>
        </w:rPr>
        <w:t> </w:t>
      </w:r>
      <w:r>
        <w:rPr>
          <w:rFonts w:ascii="宋体" w:hAnsi="宋体" w:cs="宋体" w:eastAsia="宋体" w:hint="default"/>
        </w:rPr>
        <w:t>2016</w:t>
      </w:r>
      <w:r>
        <w:rPr>
          <w:rFonts w:ascii="宋体" w:hAnsi="宋体" w:cs="宋体" w:eastAsia="宋体" w:hint="default"/>
          <w:spacing w:val="-55"/>
        </w:rPr>
        <w:t> </w:t>
      </w:r>
      <w:r>
        <w:rPr/>
        <w:t>年</w:t>
      </w:r>
      <w:r>
        <w:rPr>
          <w:spacing w:val="-53"/>
        </w:rPr>
        <w:t> </w:t>
      </w:r>
      <w:r>
        <w:rPr>
          <w:rFonts w:ascii="宋体" w:hAnsi="宋体" w:cs="宋体" w:eastAsia="宋体" w:hint="default"/>
        </w:rPr>
        <w:t>3</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日畅捷通已发行股本总额约</w:t>
      </w:r>
      <w:r>
        <w:rPr>
          <w:spacing w:val="-53"/>
        </w:rPr>
        <w:t> </w:t>
      </w:r>
      <w:r>
        <w:rPr>
          <w:rFonts w:ascii="宋体" w:hAnsi="宋体" w:cs="宋体" w:eastAsia="宋体" w:hint="default"/>
        </w:rPr>
        <w:t>0.7%</w:t>
      </w:r>
      <w:r>
        <w:rPr/>
        <w:t>。</w:t>
      </w:r>
    </w:p>
    <w:p>
      <w:pPr>
        <w:spacing w:after="0" w:line="237" w:lineRule="auto"/>
        <w:jc w:val="both"/>
        <w:sectPr>
          <w:pgSz w:w="11910" w:h="16840"/>
          <w:pgMar w:header="857" w:footer="1195" w:top="1280" w:bottom="1380" w:left="1660" w:right="500"/>
        </w:sectPr>
      </w:pPr>
    </w:p>
    <w:p>
      <w:pPr>
        <w:spacing w:line="240" w:lineRule="auto" w:before="4"/>
        <w:rPr>
          <w:rFonts w:ascii="宋体" w:hAnsi="宋体" w:cs="宋体" w:eastAsia="宋体" w:hint="default"/>
          <w:sz w:val="12"/>
          <w:szCs w:val="12"/>
        </w:rPr>
      </w:pPr>
    </w:p>
    <w:p>
      <w:pPr>
        <w:pStyle w:val="BodyText"/>
        <w:spacing w:line="237" w:lineRule="auto" w:before="38"/>
        <w:ind w:left="138" w:right="247"/>
        <w:jc w:val="both"/>
      </w:pPr>
      <w:r>
        <w:rPr>
          <w:rFonts w:ascii="宋体" w:hAnsi="宋体" w:cs="宋体" w:eastAsia="宋体" w:hint="default"/>
        </w:rPr>
        <w:t>(d)</w:t>
      </w:r>
      <w:r>
        <w:rPr>
          <w:rFonts w:ascii="宋体" w:hAnsi="宋体" w:cs="宋体" w:eastAsia="宋体" w:hint="default"/>
          <w:spacing w:val="-2"/>
        </w:rPr>
        <w:t> </w:t>
      </w:r>
      <w:r>
        <w:rPr/>
        <w:t>于</w:t>
      </w:r>
      <w:r>
        <w:rPr>
          <w:spacing w:val="-50"/>
        </w:rPr>
        <w:t> </w:t>
      </w:r>
      <w:r>
        <w:rPr>
          <w:rFonts w:ascii="宋体" w:hAnsi="宋体" w:cs="宋体" w:eastAsia="宋体" w:hint="default"/>
        </w:rPr>
        <w:t>2016</w:t>
      </w:r>
      <w:r>
        <w:rPr>
          <w:rFonts w:ascii="宋体" w:hAnsi="宋体" w:cs="宋体" w:eastAsia="宋体" w:hint="default"/>
          <w:spacing w:val="-53"/>
        </w:rPr>
        <w:t> </w:t>
      </w:r>
      <w:r>
        <w:rPr/>
        <w:t>年</w:t>
      </w:r>
      <w:r>
        <w:rPr>
          <w:spacing w:val="-53"/>
        </w:rPr>
        <w:t> </w:t>
      </w:r>
      <w:r>
        <w:rPr>
          <w:rFonts w:ascii="宋体" w:hAnsi="宋体" w:cs="宋体" w:eastAsia="宋体" w:hint="default"/>
        </w:rPr>
        <w:t>12</w:t>
      </w:r>
      <w:r>
        <w:rPr>
          <w:rFonts w:ascii="宋体" w:hAnsi="宋体" w:cs="宋体" w:eastAsia="宋体" w:hint="default"/>
          <w:spacing w:val="-53"/>
        </w:rPr>
        <w:t> </w:t>
      </w:r>
      <w:r>
        <w:rPr/>
        <w:t>月</w:t>
      </w:r>
      <w:r>
        <w:rPr>
          <w:spacing w:val="-53"/>
        </w:rPr>
        <w:t> </w:t>
      </w:r>
      <w:r>
        <w:rPr>
          <w:rFonts w:ascii="宋体" w:hAnsi="宋体" w:cs="宋体" w:eastAsia="宋体" w:hint="default"/>
        </w:rPr>
        <w:t>6</w:t>
      </w:r>
      <w:r>
        <w:rPr>
          <w:rFonts w:ascii="宋体" w:hAnsi="宋体" w:cs="宋体" w:eastAsia="宋体" w:hint="default"/>
          <w:spacing w:val="-50"/>
        </w:rPr>
        <w:t> </w:t>
      </w:r>
      <w:r>
        <w:rPr/>
        <w:t>日，畅捷通董事会批准依据该计划无偿向</w:t>
      </w:r>
      <w:r>
        <w:rPr>
          <w:spacing w:val="-53"/>
        </w:rPr>
        <w:t> </w:t>
      </w:r>
      <w:r>
        <w:rPr>
          <w:rFonts w:ascii="宋体" w:hAnsi="宋体" w:cs="宋体" w:eastAsia="宋体" w:hint="default"/>
        </w:rPr>
        <w:t>30</w:t>
      </w:r>
      <w:r>
        <w:rPr>
          <w:rFonts w:ascii="宋体" w:hAnsi="宋体" w:cs="宋体" w:eastAsia="宋体" w:hint="default"/>
          <w:spacing w:val="-53"/>
        </w:rPr>
        <w:t> </w:t>
      </w:r>
      <w:r>
        <w:rPr/>
        <w:t>名激励对象</w:t>
      </w:r>
      <w:r>
        <w:rPr>
          <w:rFonts w:ascii="宋体" w:hAnsi="宋体" w:cs="宋体" w:eastAsia="宋体" w:hint="default"/>
        </w:rPr>
        <w:t>(</w:t>
      </w:r>
      <w:r>
        <w:rPr/>
        <w:t>包括畅捷通的中</w:t>
      </w:r>
      <w:r>
        <w:rPr>
          <w:w w:val="100"/>
        </w:rPr>
        <w:t> </w:t>
      </w:r>
      <w:r>
        <w:rPr>
          <w:spacing w:val="-4"/>
        </w:rPr>
        <w:t>高层管理人员、专家及核心骨干</w:t>
      </w:r>
      <w:r>
        <w:rPr>
          <w:rFonts w:ascii="宋体" w:hAnsi="宋体" w:cs="宋体" w:eastAsia="宋体" w:hint="default"/>
          <w:spacing w:val="-4"/>
        </w:rPr>
        <w:t>)</w:t>
      </w:r>
      <w:r>
        <w:rPr>
          <w:spacing w:val="-4"/>
        </w:rPr>
        <w:t>第三次授予附生效条件的信托受益权份额。第三次授予项下目标</w:t>
      </w:r>
      <w:r>
        <w:rPr>
          <w:spacing w:val="-36"/>
        </w:rPr>
        <w:t> </w:t>
      </w:r>
      <w:r>
        <w:rPr>
          <w:spacing w:val="-36"/>
        </w:rPr>
      </w:r>
      <w:r>
        <w:rPr/>
        <w:t>股票总数为</w:t>
      </w:r>
      <w:r>
        <w:rPr>
          <w:spacing w:val="-53"/>
        </w:rPr>
        <w:t> </w:t>
      </w:r>
      <w:r>
        <w:rPr>
          <w:rFonts w:ascii="宋体" w:hAnsi="宋体" w:cs="宋体" w:eastAsia="宋体" w:hint="default"/>
        </w:rPr>
        <w:t>2,690,000</w:t>
      </w:r>
      <w:r>
        <w:rPr>
          <w:rFonts w:ascii="宋体" w:hAnsi="宋体" w:cs="宋体" w:eastAsia="宋体" w:hint="default"/>
          <w:spacing w:val="-52"/>
        </w:rPr>
        <w:t> </w:t>
      </w:r>
      <w:r>
        <w:rPr/>
        <w:t>股，占</w:t>
      </w:r>
      <w:r>
        <w:rPr>
          <w:spacing w:val="-53"/>
        </w:rPr>
        <w:t> </w:t>
      </w:r>
      <w:r>
        <w:rPr>
          <w:rFonts w:ascii="宋体" w:hAnsi="宋体" w:cs="宋体" w:eastAsia="宋体" w:hint="default"/>
        </w:rPr>
        <w:t>2016</w:t>
      </w:r>
      <w:r>
        <w:rPr>
          <w:rFonts w:ascii="宋体" w:hAnsi="宋体" w:cs="宋体" w:eastAsia="宋体" w:hint="default"/>
          <w:spacing w:val="-55"/>
        </w:rPr>
        <w:t> </w:t>
      </w:r>
      <w:r>
        <w:rPr/>
        <w:t>年</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6</w:t>
      </w:r>
      <w:r>
        <w:rPr>
          <w:rFonts w:ascii="宋体" w:hAnsi="宋体" w:cs="宋体" w:eastAsia="宋体" w:hint="default"/>
          <w:spacing w:val="-55"/>
        </w:rPr>
        <w:t> </w:t>
      </w:r>
      <w:r>
        <w:rPr/>
        <w:t>日畅捷通已发行股本总额约</w:t>
      </w:r>
      <w:r>
        <w:rPr>
          <w:spacing w:val="-53"/>
        </w:rPr>
        <w:t> </w:t>
      </w:r>
      <w:r>
        <w:rPr>
          <w:rFonts w:ascii="宋体" w:hAnsi="宋体" w:cs="宋体" w:eastAsia="宋体" w:hint="default"/>
        </w:rPr>
        <w:t>1.24%</w:t>
      </w:r>
      <w:r>
        <w:rPr/>
        <w:t>。</w:t>
      </w:r>
    </w:p>
    <w:p>
      <w:pPr>
        <w:spacing w:line="240" w:lineRule="auto" w:before="11"/>
        <w:rPr>
          <w:rFonts w:ascii="宋体" w:hAnsi="宋体" w:cs="宋体" w:eastAsia="宋体" w:hint="default"/>
          <w:sz w:val="20"/>
          <w:szCs w:val="20"/>
        </w:rPr>
      </w:pPr>
    </w:p>
    <w:p>
      <w:pPr>
        <w:pStyle w:val="BodyText"/>
        <w:spacing w:line="237" w:lineRule="auto"/>
        <w:ind w:left="138" w:right="247"/>
        <w:jc w:val="both"/>
      </w:pPr>
      <w:r>
        <w:rPr>
          <w:rFonts w:ascii="宋体" w:hAnsi="宋体" w:cs="宋体" w:eastAsia="宋体" w:hint="default"/>
          <w:w w:val="100"/>
        </w:rPr>
        <w:t>(e) </w:t>
      </w:r>
      <w:r>
        <w:rPr>
          <w:w w:val="100"/>
        </w:rPr>
        <w:t>于</w:t>
      </w:r>
      <w:r>
        <w:rPr>
          <w:spacing w:val="-52"/>
          <w:w w:val="100"/>
        </w:rPr>
        <w:t> </w:t>
      </w:r>
      <w:r>
        <w:rPr>
          <w:rFonts w:ascii="宋体" w:hAnsi="宋体" w:cs="宋体" w:eastAsia="宋体" w:hint="default"/>
          <w:spacing w:val="-1"/>
          <w:w w:val="100"/>
        </w:rPr>
        <w:t>2017</w:t>
      </w:r>
      <w:r>
        <w:rPr>
          <w:rFonts w:ascii="宋体" w:hAnsi="宋体" w:cs="宋体" w:eastAsia="宋体" w:hint="default"/>
          <w:spacing w:val="-52"/>
          <w:w w:val="100"/>
        </w:rPr>
        <w:t> </w:t>
      </w:r>
      <w:r>
        <w:rPr>
          <w:w w:val="100"/>
        </w:rPr>
        <w:t>年</w:t>
      </w:r>
      <w:r>
        <w:rPr>
          <w:spacing w:val="-54"/>
          <w:w w:val="100"/>
        </w:rPr>
        <w:t> </w:t>
      </w:r>
      <w:r>
        <w:rPr>
          <w:rFonts w:ascii="宋体" w:hAnsi="宋体" w:cs="宋体" w:eastAsia="宋体" w:hint="default"/>
          <w:w w:val="100"/>
        </w:rPr>
        <w:t>6</w:t>
      </w:r>
      <w:r>
        <w:rPr>
          <w:rFonts w:ascii="宋体" w:hAnsi="宋体" w:cs="宋体" w:eastAsia="宋体" w:hint="default"/>
          <w:spacing w:val="-52"/>
          <w:w w:val="100"/>
        </w:rPr>
        <w:t> </w:t>
      </w:r>
      <w:r>
        <w:rPr>
          <w:w w:val="100"/>
        </w:rPr>
        <w:t>月</w:t>
      </w:r>
      <w:r>
        <w:rPr>
          <w:spacing w:val="-54"/>
          <w:w w:val="100"/>
        </w:rPr>
        <w:t> </w:t>
      </w:r>
      <w:r>
        <w:rPr>
          <w:rFonts w:ascii="宋体" w:hAnsi="宋体" w:cs="宋体" w:eastAsia="宋体" w:hint="default"/>
          <w:w w:val="100"/>
        </w:rPr>
        <w:t>5</w:t>
      </w:r>
      <w:r>
        <w:rPr>
          <w:rFonts w:ascii="宋体" w:hAnsi="宋体" w:cs="宋体" w:eastAsia="宋体" w:hint="default"/>
          <w:spacing w:val="-52"/>
          <w:w w:val="100"/>
        </w:rPr>
        <w:t> </w:t>
      </w:r>
      <w:r>
        <w:rPr>
          <w:spacing w:val="-7"/>
          <w:w w:val="100"/>
        </w:rPr>
        <w:t>日，畅捷通董事会批准依据该计划无偿向</w:t>
      </w:r>
      <w:r>
        <w:rPr>
          <w:spacing w:val="-51"/>
          <w:w w:val="100"/>
        </w:rPr>
        <w:t> </w:t>
      </w:r>
      <w:r>
        <w:rPr>
          <w:rFonts w:ascii="宋体" w:hAnsi="宋体" w:cs="宋体" w:eastAsia="宋体" w:hint="default"/>
          <w:w w:val="100"/>
        </w:rPr>
        <w:t>48</w:t>
      </w:r>
      <w:r>
        <w:rPr>
          <w:rFonts w:ascii="宋体" w:hAnsi="宋体" w:cs="宋体" w:eastAsia="宋体" w:hint="default"/>
          <w:spacing w:val="-54"/>
          <w:w w:val="100"/>
        </w:rPr>
        <w:t> </w:t>
      </w:r>
      <w:r>
        <w:rPr>
          <w:spacing w:val="-2"/>
          <w:w w:val="100"/>
        </w:rPr>
        <w:t>名激励对象</w:t>
      </w:r>
      <w:r>
        <w:rPr>
          <w:rFonts w:ascii="宋体" w:hAnsi="宋体" w:cs="宋体" w:eastAsia="宋体" w:hint="default"/>
          <w:spacing w:val="-2"/>
          <w:w w:val="100"/>
        </w:rPr>
        <w:t>(</w:t>
      </w:r>
      <w:r>
        <w:rPr>
          <w:spacing w:val="-2"/>
          <w:w w:val="100"/>
        </w:rPr>
        <w:t>包括畅捷通的中高</w:t>
      </w:r>
      <w:r>
        <w:rPr>
          <w:w w:val="100"/>
        </w:rPr>
        <w:t> </w:t>
      </w:r>
      <w:r>
        <w:rPr>
          <w:spacing w:val="-4"/>
        </w:rPr>
        <w:t>层管理人员、专家及核心骨干</w:t>
      </w:r>
      <w:r>
        <w:rPr>
          <w:rFonts w:ascii="宋体" w:hAnsi="宋体" w:cs="宋体" w:eastAsia="宋体" w:hint="default"/>
          <w:spacing w:val="-4"/>
        </w:rPr>
        <w:t>)</w:t>
      </w:r>
      <w:r>
        <w:rPr>
          <w:spacing w:val="-4"/>
        </w:rPr>
        <w:t>再次授予附生效条件的信托受益权份额。再次授予项下目标股票总</w:t>
      </w:r>
      <w:r>
        <w:rPr>
          <w:spacing w:val="-36"/>
        </w:rPr>
        <w:t> </w:t>
      </w:r>
      <w:r>
        <w:rPr>
          <w:spacing w:val="-36"/>
        </w:rPr>
      </w:r>
      <w:r>
        <w:rPr/>
        <w:t>数为</w:t>
      </w:r>
      <w:r>
        <w:rPr>
          <w:spacing w:val="-54"/>
        </w:rPr>
        <w:t> </w:t>
      </w:r>
      <w:r>
        <w:rPr>
          <w:rFonts w:ascii="宋体" w:hAnsi="宋体" w:cs="宋体" w:eastAsia="宋体" w:hint="default"/>
        </w:rPr>
        <w:t>4,071,000</w:t>
      </w:r>
      <w:r>
        <w:rPr>
          <w:rFonts w:ascii="宋体" w:hAnsi="宋体" w:cs="宋体" w:eastAsia="宋体" w:hint="default"/>
          <w:spacing w:val="-56"/>
        </w:rPr>
        <w:t> </w:t>
      </w:r>
      <w:r>
        <w:rPr/>
        <w:t>股，占</w:t>
      </w:r>
      <w:r>
        <w:rPr>
          <w:spacing w:val="-53"/>
        </w:rPr>
        <w:t> </w:t>
      </w:r>
      <w:r>
        <w:rPr>
          <w:rFonts w:ascii="宋体" w:hAnsi="宋体" w:cs="宋体" w:eastAsia="宋体" w:hint="default"/>
        </w:rPr>
        <w:t>2017</w:t>
      </w:r>
      <w:r>
        <w:rPr>
          <w:rFonts w:ascii="宋体" w:hAnsi="宋体" w:cs="宋体" w:eastAsia="宋体" w:hint="default"/>
          <w:spacing w:val="-54"/>
        </w:rPr>
        <w:t> </w:t>
      </w:r>
      <w:r>
        <w:rPr/>
        <w:t>年</w:t>
      </w:r>
      <w:r>
        <w:rPr>
          <w:spacing w:val="-56"/>
        </w:rPr>
        <w:t> </w:t>
      </w:r>
      <w:r>
        <w:rPr>
          <w:rFonts w:ascii="宋体" w:hAnsi="宋体" w:cs="宋体" w:eastAsia="宋体" w:hint="default"/>
        </w:rPr>
        <w:t>6</w:t>
      </w:r>
      <w:r>
        <w:rPr>
          <w:rFonts w:ascii="宋体" w:hAnsi="宋体" w:cs="宋体" w:eastAsia="宋体" w:hint="default"/>
          <w:spacing w:val="-54"/>
        </w:rPr>
        <w:t> </w:t>
      </w:r>
      <w:r>
        <w:rPr/>
        <w:t>月</w:t>
      </w:r>
      <w:r>
        <w:rPr>
          <w:spacing w:val="-56"/>
        </w:rPr>
        <w:t> </w:t>
      </w:r>
      <w:r>
        <w:rPr>
          <w:rFonts w:ascii="宋体" w:hAnsi="宋体" w:cs="宋体" w:eastAsia="宋体" w:hint="default"/>
        </w:rPr>
        <w:t>5</w:t>
      </w:r>
      <w:r>
        <w:rPr>
          <w:rFonts w:ascii="宋体" w:hAnsi="宋体" w:cs="宋体" w:eastAsia="宋体" w:hint="default"/>
          <w:spacing w:val="-54"/>
        </w:rPr>
        <w:t> </w:t>
      </w:r>
      <w:r>
        <w:rPr/>
        <w:t>日畅捷通已发行股本总额约</w:t>
      </w:r>
      <w:r>
        <w:rPr>
          <w:spacing w:val="-54"/>
        </w:rPr>
        <w:t> </w:t>
      </w:r>
      <w:r>
        <w:rPr>
          <w:rFonts w:ascii="宋体" w:hAnsi="宋体" w:cs="宋体" w:eastAsia="宋体" w:hint="default"/>
        </w:rPr>
        <w:t>1.87%</w:t>
      </w:r>
      <w:r>
        <w:rPr/>
        <w:t>。</w:t>
      </w:r>
    </w:p>
    <w:p>
      <w:pPr>
        <w:spacing w:line="240" w:lineRule="auto" w:before="9"/>
        <w:rPr>
          <w:rFonts w:ascii="宋体" w:hAnsi="宋体" w:cs="宋体" w:eastAsia="宋体" w:hint="default"/>
          <w:sz w:val="20"/>
          <w:szCs w:val="20"/>
        </w:rPr>
      </w:pPr>
    </w:p>
    <w:p>
      <w:pPr>
        <w:pStyle w:val="BodyText"/>
        <w:spacing w:line="240" w:lineRule="auto"/>
        <w:ind w:left="138" w:right="0"/>
        <w:jc w:val="both"/>
      </w:pPr>
      <w:r>
        <w:rPr/>
        <w:t>该次修订对已授信托受益权份额的公允价值估计并无增量的影响，所采用的计量方法载述如下。</w:t>
      </w:r>
    </w:p>
    <w:p>
      <w:pPr>
        <w:spacing w:line="240" w:lineRule="auto" w:before="11"/>
        <w:rPr>
          <w:rFonts w:ascii="宋体" w:hAnsi="宋体" w:cs="宋体" w:eastAsia="宋体" w:hint="default"/>
          <w:sz w:val="20"/>
          <w:szCs w:val="20"/>
        </w:rPr>
      </w:pPr>
    </w:p>
    <w:p>
      <w:pPr>
        <w:pStyle w:val="BodyText"/>
        <w:spacing w:line="237" w:lineRule="auto"/>
        <w:ind w:left="138" w:right="0"/>
        <w:jc w:val="left"/>
      </w:pPr>
      <w:r>
        <w:rPr>
          <w:spacing w:val="-1"/>
        </w:rPr>
        <w:t>于首次授予</w:t>
      </w:r>
      <w:r>
        <w:rPr>
          <w:rFonts w:ascii="宋体" w:hAnsi="宋体" w:cs="宋体" w:eastAsia="宋体" w:hint="default"/>
          <w:spacing w:val="-1"/>
        </w:rPr>
        <w:t>/</w:t>
      </w:r>
      <w:r>
        <w:rPr>
          <w:spacing w:val="-1"/>
        </w:rPr>
        <w:t>修订日授予</w:t>
      </w:r>
      <w:r>
        <w:rPr>
          <w:rFonts w:ascii="宋体" w:hAnsi="宋体" w:cs="宋体" w:eastAsia="宋体" w:hint="default"/>
          <w:spacing w:val="-1"/>
        </w:rPr>
        <w:t>/</w:t>
      </w:r>
      <w:r>
        <w:rPr>
          <w:spacing w:val="-1"/>
        </w:rPr>
        <w:t>修订的信托受益权份额的公允价值以布莱克－斯科尔斯</w:t>
      </w:r>
      <w:r>
        <w:rPr>
          <w:rFonts w:ascii="宋体" w:hAnsi="宋体" w:cs="宋体" w:eastAsia="宋体" w:hint="default"/>
          <w:spacing w:val="-1"/>
        </w:rPr>
        <w:t>(Black-Scholes)</w:t>
      </w:r>
      <w:r>
        <w:rPr>
          <w:rFonts w:ascii="宋体" w:hAnsi="宋体" w:cs="宋体" w:eastAsia="宋体" w:hint="default"/>
          <w:spacing w:val="-51"/>
        </w:rPr>
        <w:t> </w:t>
      </w:r>
      <w:r>
        <w:rPr>
          <w:rFonts w:ascii="宋体" w:hAnsi="宋体" w:cs="宋体" w:eastAsia="宋体" w:hint="default"/>
          <w:spacing w:val="-51"/>
        </w:rPr>
      </w:r>
      <w:r>
        <w:rPr>
          <w:spacing w:val="-4"/>
        </w:rPr>
        <w:t>期权定价模型及蒙特卡罗模型，结合授予</w:t>
      </w:r>
      <w:r>
        <w:rPr>
          <w:rFonts w:ascii="宋体" w:hAnsi="宋体" w:cs="宋体" w:eastAsia="宋体" w:hint="default"/>
          <w:spacing w:val="-4"/>
        </w:rPr>
        <w:t>/</w:t>
      </w:r>
      <w:r>
        <w:rPr>
          <w:spacing w:val="-4"/>
        </w:rPr>
        <w:t>修订信托受益权份额的条款和条件，做出估计。于首次</w:t>
      </w:r>
      <w:r>
        <w:rPr>
          <w:spacing w:val="-34"/>
        </w:rPr>
        <w:t> </w:t>
      </w:r>
      <w:r>
        <w:rPr>
          <w:spacing w:val="-34"/>
        </w:rPr>
      </w:r>
      <w:r>
        <w:rPr/>
        <w:t>授予日授予的信托受益权份额的公允价值为人民币</w:t>
      </w:r>
      <w:r>
        <w:rPr>
          <w:spacing w:val="-49"/>
        </w:rPr>
        <w:t> </w:t>
      </w:r>
      <w:r>
        <w:rPr>
          <w:rFonts w:ascii="宋体" w:hAnsi="宋体" w:cs="宋体" w:eastAsia="宋体" w:hint="default"/>
        </w:rPr>
        <w:t>427,285,062</w:t>
      </w:r>
      <w:r>
        <w:rPr>
          <w:rFonts w:ascii="宋体" w:hAnsi="宋体" w:cs="宋体" w:eastAsia="宋体" w:hint="default"/>
          <w:spacing w:val="-49"/>
        </w:rPr>
        <w:t> </w:t>
      </w:r>
      <w:r>
        <w:rPr/>
        <w:t>元。下表列示了所用模型的输入</w:t>
      </w:r>
      <w:r>
        <w:rPr>
          <w:w w:val="100"/>
        </w:rPr>
        <w:t> </w:t>
      </w:r>
      <w:r>
        <w:rPr/>
        <w:t>变量：</w:t>
      </w:r>
    </w:p>
    <w:p>
      <w:pPr>
        <w:spacing w:line="240" w:lineRule="auto" w:before="5"/>
        <w:rPr>
          <w:rFonts w:ascii="宋体" w:hAnsi="宋体" w:cs="宋体" w:eastAsia="宋体" w:hint="default"/>
          <w:sz w:val="27"/>
          <w:szCs w:val="27"/>
        </w:rPr>
      </w:pPr>
    </w:p>
    <w:tbl>
      <w:tblPr>
        <w:tblW w:w="0" w:type="auto"/>
        <w:jc w:val="left"/>
        <w:tblInd w:w="597" w:type="dxa"/>
        <w:tblLayout w:type="fixed"/>
        <w:tblCellMar>
          <w:top w:w="0" w:type="dxa"/>
          <w:left w:w="0" w:type="dxa"/>
          <w:bottom w:w="0" w:type="dxa"/>
          <w:right w:w="0" w:type="dxa"/>
        </w:tblCellMar>
        <w:tblLook w:val="01E0"/>
      </w:tblPr>
      <w:tblGrid>
        <w:gridCol w:w="5057"/>
        <w:gridCol w:w="3462"/>
      </w:tblGrid>
      <w:tr>
        <w:trPr>
          <w:trHeight w:val="241" w:hRule="exact"/>
        </w:trPr>
        <w:tc>
          <w:tcPr>
            <w:tcW w:w="5057" w:type="dxa"/>
            <w:tcBorders>
              <w:top w:val="nil" w:sz="6" w:space="0" w:color="auto"/>
              <w:left w:val="nil" w:sz="6" w:space="0" w:color="auto"/>
              <w:bottom w:val="nil" w:sz="6" w:space="0" w:color="auto"/>
              <w:right w:val="nil" w:sz="6" w:space="0" w:color="auto"/>
            </w:tcBorders>
          </w:tcPr>
          <w:p>
            <w:pPr>
              <w:pStyle w:val="TableParagraph"/>
              <w:spacing w:line="199" w:lineRule="exact"/>
              <w:ind w:left="200" w:right="0"/>
              <w:jc w:val="left"/>
              <w:rPr>
                <w:rFonts w:ascii="宋体" w:hAnsi="宋体" w:cs="宋体" w:eastAsia="宋体" w:hint="default"/>
                <w:sz w:val="20"/>
                <w:szCs w:val="20"/>
              </w:rPr>
            </w:pPr>
            <w:r>
              <w:rPr>
                <w:rFonts w:ascii="宋体" w:hAnsi="宋体" w:cs="宋体" w:eastAsia="宋体" w:hint="default"/>
                <w:sz w:val="20"/>
                <w:szCs w:val="20"/>
              </w:rPr>
              <w:t>预期分红收益率</w:t>
            </w:r>
            <w:r>
              <w:rPr>
                <w:rFonts w:ascii="宋体" w:hAnsi="宋体" w:cs="宋体" w:eastAsia="宋体" w:hint="default"/>
                <w:sz w:val="20"/>
                <w:szCs w:val="20"/>
              </w:rPr>
              <w:t>(%)</w:t>
            </w:r>
          </w:p>
        </w:tc>
        <w:tc>
          <w:tcPr>
            <w:tcW w:w="3462" w:type="dxa"/>
            <w:tcBorders>
              <w:top w:val="nil" w:sz="6" w:space="0" w:color="auto"/>
              <w:left w:val="nil" w:sz="6" w:space="0" w:color="auto"/>
              <w:bottom w:val="nil" w:sz="6" w:space="0" w:color="auto"/>
              <w:right w:val="nil" w:sz="6" w:space="0" w:color="auto"/>
            </w:tcBorders>
          </w:tcPr>
          <w:p>
            <w:pPr>
              <w:pStyle w:val="TableParagraph"/>
              <w:spacing w:line="199" w:lineRule="exact"/>
              <w:ind w:right="199"/>
              <w:jc w:val="right"/>
              <w:rPr>
                <w:rFonts w:ascii="宋体" w:hAnsi="宋体" w:cs="宋体" w:eastAsia="宋体" w:hint="default"/>
                <w:sz w:val="20"/>
                <w:szCs w:val="20"/>
              </w:rPr>
            </w:pPr>
            <w:r>
              <w:rPr>
                <w:rFonts w:ascii="宋体"/>
                <w:w w:val="95"/>
                <w:sz w:val="20"/>
              </w:rPr>
              <w:t>0.00%</w:t>
            </w:r>
            <w:r>
              <w:rPr>
                <w:rFonts w:ascii="宋体"/>
                <w:sz w:val="20"/>
              </w:rPr>
            </w:r>
          </w:p>
        </w:tc>
      </w:tr>
      <w:tr>
        <w:trPr>
          <w:trHeight w:val="283" w:hRule="exact"/>
        </w:trPr>
        <w:tc>
          <w:tcPr>
            <w:tcW w:w="5057" w:type="dxa"/>
            <w:tcBorders>
              <w:top w:val="nil" w:sz="6" w:space="0" w:color="auto"/>
              <w:left w:val="nil" w:sz="6" w:space="0" w:color="auto"/>
              <w:bottom w:val="nil" w:sz="6" w:space="0" w:color="auto"/>
              <w:right w:val="nil" w:sz="6" w:space="0" w:color="auto"/>
            </w:tcBorders>
          </w:tcPr>
          <w:p>
            <w:pPr>
              <w:pStyle w:val="TableParagraph"/>
              <w:spacing w:line="241" w:lineRule="exact"/>
              <w:ind w:left="200" w:right="0"/>
              <w:jc w:val="left"/>
              <w:rPr>
                <w:rFonts w:ascii="宋体" w:hAnsi="宋体" w:cs="宋体" w:eastAsia="宋体" w:hint="default"/>
                <w:sz w:val="20"/>
                <w:szCs w:val="20"/>
              </w:rPr>
            </w:pPr>
            <w:r>
              <w:rPr>
                <w:rFonts w:ascii="宋体" w:hAnsi="宋体" w:cs="宋体" w:eastAsia="宋体" w:hint="default"/>
                <w:sz w:val="20"/>
                <w:szCs w:val="20"/>
              </w:rPr>
              <w:t>预期股价波动率</w:t>
            </w:r>
            <w:r>
              <w:rPr>
                <w:rFonts w:ascii="宋体" w:hAnsi="宋体" w:cs="宋体" w:eastAsia="宋体" w:hint="default"/>
                <w:sz w:val="20"/>
                <w:szCs w:val="20"/>
              </w:rPr>
              <w:t>(%)</w:t>
            </w:r>
          </w:p>
        </w:tc>
        <w:tc>
          <w:tcPr>
            <w:tcW w:w="3462" w:type="dxa"/>
            <w:tcBorders>
              <w:top w:val="nil" w:sz="6" w:space="0" w:color="auto"/>
              <w:left w:val="nil" w:sz="6" w:space="0" w:color="auto"/>
              <w:bottom w:val="nil" w:sz="6" w:space="0" w:color="auto"/>
              <w:right w:val="nil" w:sz="6" w:space="0" w:color="auto"/>
            </w:tcBorders>
          </w:tcPr>
          <w:p>
            <w:pPr>
              <w:pStyle w:val="TableParagraph"/>
              <w:spacing w:line="241" w:lineRule="exact"/>
              <w:ind w:right="200"/>
              <w:jc w:val="right"/>
              <w:rPr>
                <w:rFonts w:ascii="宋体" w:hAnsi="宋体" w:cs="宋体" w:eastAsia="宋体" w:hint="default"/>
                <w:sz w:val="20"/>
                <w:szCs w:val="20"/>
              </w:rPr>
            </w:pPr>
            <w:r>
              <w:rPr>
                <w:rFonts w:ascii="宋体"/>
                <w:w w:val="95"/>
                <w:sz w:val="20"/>
              </w:rPr>
              <w:t>51.50%-63.20%</w:t>
            </w:r>
            <w:r>
              <w:rPr>
                <w:rFonts w:ascii="宋体"/>
                <w:sz w:val="20"/>
              </w:rPr>
            </w:r>
          </w:p>
        </w:tc>
      </w:tr>
      <w:tr>
        <w:trPr>
          <w:trHeight w:val="284" w:hRule="exact"/>
        </w:trPr>
        <w:tc>
          <w:tcPr>
            <w:tcW w:w="5057" w:type="dxa"/>
            <w:tcBorders>
              <w:top w:val="nil" w:sz="6" w:space="0" w:color="auto"/>
              <w:left w:val="nil" w:sz="6" w:space="0" w:color="auto"/>
              <w:bottom w:val="nil" w:sz="6" w:space="0" w:color="auto"/>
              <w:right w:val="nil" w:sz="6" w:space="0" w:color="auto"/>
            </w:tcBorders>
          </w:tcPr>
          <w:p>
            <w:pPr>
              <w:pStyle w:val="TableParagraph"/>
              <w:spacing w:line="241" w:lineRule="exact"/>
              <w:ind w:left="200" w:right="0"/>
              <w:jc w:val="left"/>
              <w:rPr>
                <w:rFonts w:ascii="宋体" w:hAnsi="宋体" w:cs="宋体" w:eastAsia="宋体" w:hint="default"/>
                <w:sz w:val="20"/>
                <w:szCs w:val="20"/>
              </w:rPr>
            </w:pPr>
            <w:r>
              <w:rPr>
                <w:rFonts w:ascii="宋体" w:hAnsi="宋体" w:cs="宋体" w:eastAsia="宋体" w:hint="default"/>
                <w:sz w:val="20"/>
                <w:szCs w:val="20"/>
              </w:rPr>
              <w:t>无风险利率</w:t>
            </w:r>
            <w:r>
              <w:rPr>
                <w:rFonts w:ascii="宋体" w:hAnsi="宋体" w:cs="宋体" w:eastAsia="宋体" w:hint="default"/>
                <w:sz w:val="20"/>
                <w:szCs w:val="20"/>
              </w:rPr>
              <w:t>(%)</w:t>
            </w:r>
          </w:p>
        </w:tc>
        <w:tc>
          <w:tcPr>
            <w:tcW w:w="3462" w:type="dxa"/>
            <w:tcBorders>
              <w:top w:val="nil" w:sz="6" w:space="0" w:color="auto"/>
              <w:left w:val="nil" w:sz="6" w:space="0" w:color="auto"/>
              <w:bottom w:val="nil" w:sz="6" w:space="0" w:color="auto"/>
              <w:right w:val="nil" w:sz="6" w:space="0" w:color="auto"/>
            </w:tcBorders>
          </w:tcPr>
          <w:p>
            <w:pPr>
              <w:pStyle w:val="TableParagraph"/>
              <w:spacing w:line="241" w:lineRule="exact"/>
              <w:ind w:right="200"/>
              <w:jc w:val="right"/>
              <w:rPr>
                <w:rFonts w:ascii="宋体" w:hAnsi="宋体" w:cs="宋体" w:eastAsia="宋体" w:hint="default"/>
                <w:sz w:val="20"/>
                <w:szCs w:val="20"/>
              </w:rPr>
            </w:pPr>
            <w:r>
              <w:rPr>
                <w:rFonts w:ascii="宋体"/>
                <w:w w:val="95"/>
                <w:sz w:val="20"/>
              </w:rPr>
              <w:t>0.157%-1.815%</w:t>
            </w:r>
            <w:r>
              <w:rPr>
                <w:rFonts w:ascii="宋体"/>
                <w:sz w:val="20"/>
              </w:rPr>
            </w:r>
          </w:p>
        </w:tc>
      </w:tr>
      <w:tr>
        <w:trPr>
          <w:trHeight w:val="284" w:hRule="exact"/>
        </w:trPr>
        <w:tc>
          <w:tcPr>
            <w:tcW w:w="5057" w:type="dxa"/>
            <w:tcBorders>
              <w:top w:val="nil" w:sz="6" w:space="0" w:color="auto"/>
              <w:left w:val="nil" w:sz="6" w:space="0" w:color="auto"/>
              <w:bottom w:val="nil" w:sz="6" w:space="0" w:color="auto"/>
              <w:right w:val="nil" w:sz="6" w:space="0" w:color="auto"/>
            </w:tcBorders>
          </w:tcPr>
          <w:p>
            <w:pPr>
              <w:pStyle w:val="TableParagraph"/>
              <w:spacing w:line="243" w:lineRule="exact"/>
              <w:ind w:left="200" w:right="0"/>
              <w:jc w:val="left"/>
              <w:rPr>
                <w:rFonts w:ascii="宋体" w:hAnsi="宋体" w:cs="宋体" w:eastAsia="宋体" w:hint="default"/>
                <w:sz w:val="20"/>
                <w:szCs w:val="20"/>
              </w:rPr>
            </w:pPr>
            <w:r>
              <w:rPr>
                <w:rFonts w:ascii="宋体" w:hAnsi="宋体" w:cs="宋体" w:eastAsia="宋体" w:hint="default"/>
                <w:sz w:val="20"/>
                <w:szCs w:val="20"/>
              </w:rPr>
              <w:t>股票预期期限</w:t>
            </w:r>
            <w:r>
              <w:rPr>
                <w:rFonts w:ascii="宋体" w:hAnsi="宋体" w:cs="宋体" w:eastAsia="宋体" w:hint="default"/>
                <w:sz w:val="20"/>
                <w:szCs w:val="20"/>
              </w:rPr>
              <w:t>(</w:t>
            </w:r>
            <w:r>
              <w:rPr>
                <w:rFonts w:ascii="宋体" w:hAnsi="宋体" w:cs="宋体" w:eastAsia="宋体" w:hint="default"/>
                <w:sz w:val="20"/>
                <w:szCs w:val="20"/>
              </w:rPr>
              <w:t>年</w:t>
            </w:r>
            <w:r>
              <w:rPr>
                <w:rFonts w:ascii="宋体" w:hAnsi="宋体" w:cs="宋体" w:eastAsia="宋体" w:hint="default"/>
                <w:sz w:val="20"/>
                <w:szCs w:val="20"/>
              </w:rPr>
              <w:t>)</w:t>
            </w:r>
          </w:p>
        </w:tc>
        <w:tc>
          <w:tcPr>
            <w:tcW w:w="3462" w:type="dxa"/>
            <w:tcBorders>
              <w:top w:val="nil" w:sz="6" w:space="0" w:color="auto"/>
              <w:left w:val="nil" w:sz="6" w:space="0" w:color="auto"/>
              <w:bottom w:val="nil" w:sz="6" w:space="0" w:color="auto"/>
              <w:right w:val="nil" w:sz="6" w:space="0" w:color="auto"/>
            </w:tcBorders>
          </w:tcPr>
          <w:p>
            <w:pPr>
              <w:pStyle w:val="TableParagraph"/>
              <w:spacing w:line="243" w:lineRule="exact"/>
              <w:ind w:right="198"/>
              <w:jc w:val="right"/>
              <w:rPr>
                <w:rFonts w:ascii="宋体" w:hAnsi="宋体" w:cs="宋体" w:eastAsia="宋体" w:hint="default"/>
                <w:sz w:val="20"/>
                <w:szCs w:val="20"/>
              </w:rPr>
            </w:pPr>
            <w:r>
              <w:rPr>
                <w:rFonts w:ascii="宋体"/>
                <w:sz w:val="20"/>
              </w:rPr>
              <w:t>1-10</w:t>
            </w:r>
          </w:p>
        </w:tc>
      </w:tr>
      <w:tr>
        <w:trPr>
          <w:trHeight w:val="241" w:hRule="exact"/>
        </w:trPr>
        <w:tc>
          <w:tcPr>
            <w:tcW w:w="5057" w:type="dxa"/>
            <w:tcBorders>
              <w:top w:val="nil" w:sz="6" w:space="0" w:color="auto"/>
              <w:left w:val="nil" w:sz="6" w:space="0" w:color="auto"/>
              <w:bottom w:val="nil" w:sz="6" w:space="0" w:color="auto"/>
              <w:right w:val="nil" w:sz="6" w:space="0" w:color="auto"/>
            </w:tcBorders>
          </w:tcPr>
          <w:p>
            <w:pPr>
              <w:pStyle w:val="TableParagraph"/>
              <w:spacing w:line="241" w:lineRule="exact"/>
              <w:ind w:left="200" w:right="0"/>
              <w:jc w:val="left"/>
              <w:rPr>
                <w:rFonts w:ascii="宋体" w:hAnsi="宋体" w:cs="宋体" w:eastAsia="宋体" w:hint="default"/>
                <w:sz w:val="20"/>
                <w:szCs w:val="20"/>
              </w:rPr>
            </w:pPr>
            <w:r>
              <w:rPr>
                <w:rFonts w:ascii="宋体" w:hAnsi="宋体" w:cs="宋体" w:eastAsia="宋体" w:hint="default"/>
                <w:sz w:val="20"/>
                <w:szCs w:val="20"/>
              </w:rPr>
              <w:t>加权平均股票价格</w:t>
            </w:r>
            <w:r>
              <w:rPr>
                <w:rFonts w:ascii="宋体" w:hAnsi="宋体" w:cs="宋体" w:eastAsia="宋体" w:hint="default"/>
                <w:sz w:val="20"/>
                <w:szCs w:val="20"/>
              </w:rPr>
              <w:t>(</w:t>
            </w:r>
            <w:r>
              <w:rPr>
                <w:rFonts w:ascii="宋体" w:hAnsi="宋体" w:cs="宋体" w:eastAsia="宋体" w:hint="default"/>
                <w:sz w:val="20"/>
                <w:szCs w:val="20"/>
              </w:rPr>
              <w:t>人民币元</w:t>
            </w:r>
            <w:r>
              <w:rPr>
                <w:rFonts w:ascii="宋体" w:hAnsi="宋体" w:cs="宋体" w:eastAsia="宋体" w:hint="default"/>
                <w:sz w:val="20"/>
                <w:szCs w:val="20"/>
              </w:rPr>
              <w:t>/</w:t>
            </w:r>
            <w:r>
              <w:rPr>
                <w:rFonts w:ascii="宋体" w:hAnsi="宋体" w:cs="宋体" w:eastAsia="宋体" w:hint="default"/>
                <w:sz w:val="20"/>
                <w:szCs w:val="20"/>
              </w:rPr>
              <w:t>股</w:t>
            </w:r>
            <w:r>
              <w:rPr>
                <w:rFonts w:ascii="宋体" w:hAnsi="宋体" w:cs="宋体" w:eastAsia="宋体" w:hint="default"/>
                <w:sz w:val="20"/>
                <w:szCs w:val="20"/>
              </w:rPr>
              <w:t>)</w:t>
            </w:r>
          </w:p>
        </w:tc>
        <w:tc>
          <w:tcPr>
            <w:tcW w:w="3462" w:type="dxa"/>
            <w:tcBorders>
              <w:top w:val="nil" w:sz="6" w:space="0" w:color="auto"/>
              <w:left w:val="nil" w:sz="6" w:space="0" w:color="auto"/>
              <w:bottom w:val="nil" w:sz="6" w:space="0" w:color="auto"/>
              <w:right w:val="nil" w:sz="6" w:space="0" w:color="auto"/>
            </w:tcBorders>
          </w:tcPr>
          <w:p>
            <w:pPr>
              <w:pStyle w:val="TableParagraph"/>
              <w:spacing w:line="241" w:lineRule="exact"/>
              <w:ind w:right="202"/>
              <w:jc w:val="right"/>
              <w:rPr>
                <w:rFonts w:ascii="宋体" w:hAnsi="宋体" w:cs="宋体" w:eastAsia="宋体" w:hint="default"/>
                <w:sz w:val="20"/>
                <w:szCs w:val="20"/>
              </w:rPr>
            </w:pPr>
            <w:r>
              <w:rPr>
                <w:rFonts w:ascii="宋体"/>
                <w:w w:val="95"/>
                <w:sz w:val="20"/>
              </w:rPr>
              <w:t>24.60</w:t>
            </w:r>
            <w:r>
              <w:rPr>
                <w:rFonts w:ascii="宋体"/>
                <w:sz w:val="20"/>
              </w:rPr>
            </w:r>
          </w:p>
        </w:tc>
      </w:tr>
    </w:tbl>
    <w:p>
      <w:pPr>
        <w:spacing w:line="240" w:lineRule="auto" w:before="10"/>
        <w:rPr>
          <w:rFonts w:ascii="宋体" w:hAnsi="宋体" w:cs="宋体" w:eastAsia="宋体" w:hint="default"/>
          <w:sz w:val="17"/>
          <w:szCs w:val="17"/>
        </w:rPr>
      </w:pPr>
    </w:p>
    <w:p>
      <w:pPr>
        <w:pStyle w:val="BodyText"/>
        <w:spacing w:line="237" w:lineRule="auto" w:before="38"/>
        <w:ind w:left="138" w:right="249"/>
        <w:jc w:val="both"/>
      </w:pPr>
      <w:r>
        <w:rPr>
          <w:spacing w:val="-4"/>
          <w:w w:val="100"/>
        </w:rPr>
        <w:t>除上述首次授予外，向畅捷通美国若干激励对象授予</w:t>
      </w:r>
      <w:r>
        <w:rPr>
          <w:rFonts w:ascii="宋体" w:hAnsi="宋体" w:cs="宋体" w:eastAsia="宋体" w:hint="default"/>
          <w:spacing w:val="-4"/>
          <w:w w:val="100"/>
        </w:rPr>
        <w:t>/</w:t>
      </w:r>
      <w:r>
        <w:rPr>
          <w:spacing w:val="-4"/>
          <w:w w:val="100"/>
        </w:rPr>
        <w:t>修订的信托受益权份额的公允价值基于畅捷</w:t>
      </w:r>
      <w:r>
        <w:rPr>
          <w:spacing w:val="-86"/>
          <w:w w:val="100"/>
        </w:rPr>
        <w:t> </w:t>
      </w:r>
      <w:r>
        <w:rPr>
          <w:spacing w:val="-86"/>
          <w:w w:val="100"/>
        </w:rPr>
      </w:r>
      <w:r>
        <w:rPr>
          <w:spacing w:val="10"/>
        </w:rPr>
        <w:t>通股份于授予</w:t>
      </w:r>
      <w:r>
        <w:rPr>
          <w:rFonts w:ascii="宋体" w:hAnsi="宋体" w:cs="宋体" w:eastAsia="宋体" w:hint="default"/>
          <w:spacing w:val="10"/>
        </w:rPr>
        <w:t>/</w:t>
      </w:r>
      <w:r>
        <w:rPr>
          <w:spacing w:val="10"/>
        </w:rPr>
        <w:t>修订日之市值计算，该等授予项下已授信托受益权份额的公允价值为人民币</w:t>
      </w:r>
      <w:r>
        <w:rPr>
          <w:spacing w:val="6"/>
        </w:rPr>
        <w:t> </w:t>
      </w:r>
      <w:r>
        <w:rPr>
          <w:spacing w:val="6"/>
        </w:rPr>
      </w:r>
      <w:r>
        <w:rPr>
          <w:rFonts w:ascii="宋体" w:hAnsi="宋体" w:cs="宋体" w:eastAsia="宋体" w:hint="default"/>
        </w:rPr>
        <w:t>1,251,036</w:t>
      </w:r>
      <w:r>
        <w:rPr>
          <w:rFonts w:ascii="宋体" w:hAnsi="宋体" w:cs="宋体" w:eastAsia="宋体" w:hint="default"/>
          <w:spacing w:val="-51"/>
        </w:rPr>
        <w:t> </w:t>
      </w:r>
      <w:r>
        <w:rPr/>
        <w:t>元。</w:t>
      </w:r>
    </w:p>
    <w:p>
      <w:pPr>
        <w:spacing w:line="240" w:lineRule="auto" w:before="10"/>
        <w:rPr>
          <w:rFonts w:ascii="宋体" w:hAnsi="宋体" w:cs="宋体" w:eastAsia="宋体" w:hint="default"/>
          <w:sz w:val="22"/>
          <w:szCs w:val="22"/>
        </w:rPr>
      </w:pPr>
    </w:p>
    <w:p>
      <w:pPr>
        <w:pStyle w:val="BodyText"/>
        <w:spacing w:line="272" w:lineRule="exact"/>
        <w:ind w:left="138" w:right="247"/>
        <w:jc w:val="both"/>
      </w:pPr>
      <w:r>
        <w:rPr>
          <w:spacing w:val="-1"/>
        </w:rPr>
        <w:t>于第二次授予日授予</w:t>
      </w:r>
      <w:r>
        <w:rPr>
          <w:rFonts w:ascii="宋体" w:hAnsi="宋体" w:cs="宋体" w:eastAsia="宋体" w:hint="default"/>
          <w:spacing w:val="-1"/>
        </w:rPr>
        <w:t>/</w:t>
      </w:r>
      <w:r>
        <w:rPr>
          <w:spacing w:val="-1"/>
        </w:rPr>
        <w:t>修订的信托受益权份额的公允价值基于畅捷通股份于授予</w:t>
      </w:r>
      <w:r>
        <w:rPr>
          <w:rFonts w:ascii="宋体" w:hAnsi="宋体" w:cs="宋体" w:eastAsia="宋体" w:hint="default"/>
          <w:spacing w:val="-1"/>
        </w:rPr>
        <w:t>/</w:t>
      </w:r>
      <w:r>
        <w:rPr>
          <w:spacing w:val="-1"/>
        </w:rPr>
        <w:t>修订日期之市值</w:t>
      </w:r>
      <w:r>
        <w:rPr>
          <w:spacing w:val="-55"/>
        </w:rPr>
        <w:t> </w:t>
      </w:r>
      <w:r>
        <w:rPr>
          <w:spacing w:val="-55"/>
        </w:rPr>
      </w:r>
      <w:r>
        <w:rPr/>
        <w:t>计算，该等授予项下已授信托受益权份额的公允价值为人民币</w:t>
      </w:r>
      <w:r>
        <w:rPr>
          <w:spacing w:val="-54"/>
        </w:rPr>
        <w:t> </w:t>
      </w:r>
      <w:r>
        <w:rPr>
          <w:rFonts w:ascii="宋体" w:hAnsi="宋体" w:cs="宋体" w:eastAsia="宋体" w:hint="default"/>
        </w:rPr>
        <w:t>14,795,908</w:t>
      </w:r>
      <w:r>
        <w:rPr>
          <w:rFonts w:ascii="宋体" w:hAnsi="宋体" w:cs="宋体" w:eastAsia="宋体" w:hint="default"/>
          <w:spacing w:val="-56"/>
        </w:rPr>
        <w:t> </w:t>
      </w:r>
      <w:r>
        <w:rPr>
          <w:spacing w:val="-3"/>
        </w:rPr>
        <w:t>元。</w:t>
      </w:r>
      <w:r>
        <w:rPr/>
      </w:r>
    </w:p>
    <w:p>
      <w:pPr>
        <w:spacing w:line="240" w:lineRule="auto" w:before="10"/>
        <w:rPr>
          <w:rFonts w:ascii="宋体" w:hAnsi="宋体" w:cs="宋体" w:eastAsia="宋体" w:hint="default"/>
          <w:sz w:val="18"/>
          <w:szCs w:val="18"/>
        </w:rPr>
      </w:pPr>
    </w:p>
    <w:p>
      <w:pPr>
        <w:pStyle w:val="BodyText"/>
        <w:spacing w:line="240" w:lineRule="auto"/>
        <w:ind w:left="138" w:right="248"/>
        <w:jc w:val="both"/>
      </w:pPr>
      <w:r>
        <w:rPr>
          <w:spacing w:val="-1"/>
        </w:rPr>
        <w:t>于第三次授予日授予的信托受益权份额的公允价值基于畅捷通股份于授予日期之市值计算，该等</w:t>
      </w:r>
      <w:r>
        <w:rPr>
          <w:spacing w:val="-55"/>
        </w:rPr>
        <w:t> </w:t>
      </w:r>
      <w:r>
        <w:rPr>
          <w:spacing w:val="-55"/>
        </w:rPr>
      </w:r>
      <w:r>
        <w:rPr/>
        <w:t>授予项下已授信托受益权份额的公允价值为人民币</w:t>
      </w:r>
      <w:r>
        <w:rPr>
          <w:spacing w:val="-56"/>
        </w:rPr>
        <w:t> </w:t>
      </w:r>
      <w:r>
        <w:rPr>
          <w:rFonts w:ascii="宋体" w:hAnsi="宋体" w:cs="宋体" w:eastAsia="宋体" w:hint="default"/>
        </w:rPr>
        <w:t>23,786,325</w:t>
      </w:r>
      <w:r>
        <w:rPr>
          <w:rFonts w:ascii="宋体" w:hAnsi="宋体" w:cs="宋体" w:eastAsia="宋体" w:hint="default"/>
          <w:spacing w:val="-54"/>
        </w:rPr>
        <w:t> </w:t>
      </w:r>
      <w:r>
        <w:rPr>
          <w:spacing w:val="-3"/>
        </w:rPr>
        <w:t>元。</w:t>
      </w:r>
      <w:r>
        <w:rPr/>
      </w:r>
    </w:p>
    <w:p>
      <w:pPr>
        <w:spacing w:line="240" w:lineRule="auto" w:before="6"/>
        <w:rPr>
          <w:rFonts w:ascii="宋体" w:hAnsi="宋体" w:cs="宋体" w:eastAsia="宋体" w:hint="default"/>
          <w:sz w:val="20"/>
          <w:szCs w:val="20"/>
        </w:rPr>
      </w:pPr>
    </w:p>
    <w:p>
      <w:pPr>
        <w:pStyle w:val="BodyText"/>
        <w:spacing w:line="240" w:lineRule="auto"/>
        <w:ind w:left="138" w:right="248"/>
        <w:jc w:val="both"/>
      </w:pPr>
      <w:r>
        <w:rPr>
          <w:spacing w:val="-1"/>
        </w:rPr>
        <w:t>于第四次授予日授予的信托受益权份额的公允价值基于畅捷通股份于授予日期之市值计算，该等</w:t>
      </w:r>
      <w:r>
        <w:rPr>
          <w:spacing w:val="-55"/>
        </w:rPr>
        <w:t> </w:t>
      </w:r>
      <w:r>
        <w:rPr>
          <w:spacing w:val="-55"/>
        </w:rPr>
      </w:r>
      <w:r>
        <w:rPr/>
        <w:t>授予项下已授信托受益权份额的公允价值为人民币</w:t>
      </w:r>
      <w:r>
        <w:rPr>
          <w:spacing w:val="-56"/>
        </w:rPr>
        <w:t> </w:t>
      </w:r>
      <w:r>
        <w:rPr>
          <w:rFonts w:ascii="宋体" w:hAnsi="宋体" w:cs="宋体" w:eastAsia="宋体" w:hint="default"/>
        </w:rPr>
        <w:t>28,415,361</w:t>
      </w:r>
      <w:r>
        <w:rPr>
          <w:rFonts w:ascii="宋体" w:hAnsi="宋体" w:cs="宋体" w:eastAsia="宋体" w:hint="default"/>
          <w:spacing w:val="-54"/>
        </w:rPr>
        <w:t> </w:t>
      </w:r>
      <w:r>
        <w:rPr>
          <w:spacing w:val="-3"/>
        </w:rPr>
        <w:t>元。</w:t>
      </w:r>
      <w:r>
        <w:rPr/>
      </w:r>
    </w:p>
    <w:p>
      <w:pPr>
        <w:spacing w:line="240" w:lineRule="auto" w:before="11"/>
        <w:rPr>
          <w:rFonts w:ascii="宋体" w:hAnsi="宋体" w:cs="宋体" w:eastAsia="宋体" w:hint="default"/>
          <w:sz w:val="20"/>
          <w:szCs w:val="20"/>
        </w:rPr>
      </w:pPr>
    </w:p>
    <w:p>
      <w:pPr>
        <w:pStyle w:val="BodyText"/>
        <w:spacing w:line="237" w:lineRule="auto"/>
        <w:ind w:left="138" w:right="250"/>
        <w:jc w:val="both"/>
      </w:pPr>
      <w:r>
        <w:rPr>
          <w:rFonts w:ascii="宋体" w:hAnsi="宋体" w:cs="宋体" w:eastAsia="宋体" w:hint="default"/>
        </w:rPr>
        <w:t>2017</w:t>
      </w:r>
      <w:r>
        <w:rPr>
          <w:rFonts w:ascii="宋体" w:hAnsi="宋体" w:cs="宋体" w:eastAsia="宋体" w:hint="default"/>
          <w:spacing w:val="-40"/>
        </w:rPr>
        <w:t> </w:t>
      </w:r>
      <w:r>
        <w:rPr>
          <w:spacing w:val="-3"/>
        </w:rPr>
        <w:t>年度，畅捷通委托信托机构购买畅捷通</w:t>
      </w:r>
      <w:r>
        <w:rPr>
          <w:spacing w:val="-37"/>
        </w:rPr>
        <w:t> </w:t>
      </w:r>
      <w:r>
        <w:rPr>
          <w:rFonts w:ascii="宋体" w:hAnsi="宋体" w:cs="宋体" w:eastAsia="宋体" w:hint="default"/>
        </w:rPr>
        <w:t>1,882,400</w:t>
      </w:r>
      <w:r>
        <w:rPr>
          <w:rFonts w:ascii="宋体" w:hAnsi="宋体" w:cs="宋体" w:eastAsia="宋体" w:hint="default"/>
          <w:spacing w:val="-37"/>
        </w:rPr>
        <w:t> </w:t>
      </w:r>
      <w:r>
        <w:rPr>
          <w:spacing w:val="-3"/>
        </w:rPr>
        <w:t>股内资股，购买该等股份的总代价为人民</w:t>
      </w:r>
      <w:r>
        <w:rPr>
          <w:spacing w:val="-98"/>
        </w:rPr>
        <w:t> </w:t>
      </w:r>
      <w:r>
        <w:rPr>
          <w:spacing w:val="-98"/>
        </w:rPr>
      </w:r>
      <w:r>
        <w:rPr/>
        <w:t>币</w:t>
      </w:r>
      <w:r>
        <w:rPr>
          <w:spacing w:val="-43"/>
        </w:rPr>
        <w:t> </w:t>
      </w:r>
      <w:r>
        <w:rPr>
          <w:rFonts w:ascii="宋体" w:hAnsi="宋体" w:cs="宋体" w:eastAsia="宋体" w:hint="default"/>
        </w:rPr>
        <w:t>18,820,280</w:t>
      </w:r>
      <w:r>
        <w:rPr>
          <w:rFonts w:ascii="宋体" w:hAnsi="宋体" w:cs="宋体" w:eastAsia="宋体" w:hint="default"/>
          <w:spacing w:val="-46"/>
        </w:rPr>
        <w:t> </w:t>
      </w:r>
      <w:r>
        <w:rPr/>
        <w:t>元。</w:t>
      </w:r>
      <w:r>
        <w:rPr>
          <w:rFonts w:ascii="宋体" w:hAnsi="宋体" w:cs="宋体" w:eastAsia="宋体" w:hint="default"/>
        </w:rPr>
        <w:t>2016</w:t>
      </w:r>
      <w:r>
        <w:rPr>
          <w:rFonts w:ascii="宋体" w:hAnsi="宋体" w:cs="宋体" w:eastAsia="宋体" w:hint="default"/>
          <w:spacing w:val="-45"/>
        </w:rPr>
        <w:t> </w:t>
      </w:r>
      <w:r>
        <w:rPr/>
        <w:t>年度，畅捷通委托信托机构于公开市场购买畅捷通</w:t>
      </w:r>
      <w:r>
        <w:rPr>
          <w:spacing w:val="-46"/>
        </w:rPr>
        <w:t> </w:t>
      </w:r>
      <w:r>
        <w:rPr>
          <w:rFonts w:ascii="宋体" w:hAnsi="宋体" w:cs="宋体" w:eastAsia="宋体" w:hint="default"/>
        </w:rPr>
        <w:t>1,482,600</w:t>
      </w:r>
      <w:r>
        <w:rPr>
          <w:rFonts w:ascii="宋体" w:hAnsi="宋体" w:cs="宋体" w:eastAsia="宋体" w:hint="default"/>
          <w:spacing w:val="-45"/>
        </w:rPr>
        <w:t> </w:t>
      </w:r>
      <w:r>
        <w:rPr/>
        <w:t>股</w:t>
      </w:r>
      <w:r>
        <w:rPr>
          <w:spacing w:val="-45"/>
        </w:rPr>
        <w:t> </w:t>
      </w:r>
      <w:r>
        <w:rPr>
          <w:rFonts w:ascii="宋体" w:hAnsi="宋体" w:cs="宋体" w:eastAsia="宋体" w:hint="default"/>
        </w:rPr>
        <w:t>H</w:t>
      </w:r>
      <w:r>
        <w:rPr>
          <w:rFonts w:ascii="宋体" w:hAnsi="宋体" w:cs="宋体" w:eastAsia="宋体" w:hint="default"/>
          <w:spacing w:val="-43"/>
        </w:rPr>
        <w:t> </w:t>
      </w:r>
      <w:r>
        <w:rPr>
          <w:spacing w:val="-3"/>
        </w:rPr>
        <w:t>股，</w:t>
      </w:r>
      <w:r>
        <w:rPr>
          <w:spacing w:val="-3"/>
          <w:w w:val="100"/>
        </w:rPr>
        <w:t> </w:t>
      </w:r>
      <w:r>
        <w:rPr/>
        <w:t>购买该等股份的总代价为人民币</w:t>
      </w:r>
      <w:r>
        <w:rPr>
          <w:spacing w:val="-53"/>
        </w:rPr>
        <w:t> </w:t>
      </w:r>
      <w:r>
        <w:rPr>
          <w:rFonts w:ascii="宋体" w:hAnsi="宋体" w:cs="宋体" w:eastAsia="宋体" w:hint="default"/>
        </w:rPr>
        <w:t>14,250,687</w:t>
      </w:r>
      <w:r>
        <w:rPr>
          <w:rFonts w:ascii="宋体" w:hAnsi="宋体" w:cs="宋体" w:eastAsia="宋体" w:hint="default"/>
          <w:spacing w:val="-55"/>
        </w:rPr>
        <w:t> </w:t>
      </w:r>
      <w:r>
        <w:rPr/>
        <w:t>元。</w:t>
      </w:r>
    </w:p>
    <w:p>
      <w:pPr>
        <w:spacing w:line="240" w:lineRule="auto" w:before="9"/>
        <w:rPr>
          <w:rFonts w:ascii="宋体" w:hAnsi="宋体" w:cs="宋体" w:eastAsia="宋体" w:hint="default"/>
          <w:sz w:val="20"/>
          <w:szCs w:val="20"/>
        </w:rPr>
      </w:pPr>
    </w:p>
    <w:p>
      <w:pPr>
        <w:pStyle w:val="BodyText"/>
        <w:spacing w:line="273" w:lineRule="exact"/>
        <w:ind w:left="138" w:right="0"/>
        <w:jc w:val="both"/>
      </w:pPr>
      <w:r>
        <w:rPr>
          <w:rFonts w:ascii="宋体" w:hAnsi="宋体" w:cs="宋体" w:eastAsia="宋体" w:hint="default"/>
        </w:rPr>
        <w:t>2017 </w:t>
      </w:r>
      <w:r>
        <w:rPr/>
        <w:t>年度，部分激励对象因未达到如解锁条件导致该计划下 </w:t>
      </w:r>
      <w:r>
        <w:rPr>
          <w:rFonts w:ascii="宋体" w:hAnsi="宋体" w:cs="宋体" w:eastAsia="宋体" w:hint="default"/>
        </w:rPr>
        <w:t>4,215,000 </w:t>
      </w:r>
      <w:r>
        <w:rPr/>
        <w:t>股目标股票</w:t>
      </w:r>
      <w:r>
        <w:rPr>
          <w:rFonts w:ascii="宋体" w:hAnsi="宋体" w:cs="宋体" w:eastAsia="宋体" w:hint="default"/>
        </w:rPr>
        <w:t>(2016</w:t>
      </w:r>
      <w:r>
        <w:rPr>
          <w:rFonts w:ascii="宋体" w:hAnsi="宋体" w:cs="宋体" w:eastAsia="宋体" w:hint="default"/>
          <w:spacing w:val="4"/>
        </w:rPr>
        <w:t> </w:t>
      </w:r>
      <w:r>
        <w:rPr/>
        <w:t>年：</w:t>
      </w:r>
    </w:p>
    <w:p>
      <w:pPr>
        <w:pStyle w:val="BodyText"/>
        <w:spacing w:line="273" w:lineRule="exact"/>
        <w:ind w:left="138" w:right="0"/>
        <w:jc w:val="both"/>
      </w:pPr>
      <w:r>
        <w:rPr>
          <w:rFonts w:ascii="宋体" w:hAnsi="宋体" w:cs="宋体" w:eastAsia="宋体" w:hint="default"/>
        </w:rPr>
        <w:t>1,649,000</w:t>
      </w:r>
      <w:r>
        <w:rPr>
          <w:rFonts w:ascii="宋体" w:hAnsi="宋体" w:cs="宋体" w:eastAsia="宋体" w:hint="default"/>
          <w:spacing w:val="-54"/>
        </w:rPr>
        <w:t> </w:t>
      </w:r>
      <w:r>
        <w:rPr/>
        <w:t>股</w:t>
      </w:r>
      <w:r>
        <w:rPr>
          <w:rFonts w:ascii="宋体" w:hAnsi="宋体" w:cs="宋体" w:eastAsia="宋体" w:hint="default"/>
        </w:rPr>
        <w:t>)</w:t>
      </w:r>
      <w:r>
        <w:rPr/>
        <w:t>失效。</w:t>
      </w:r>
    </w:p>
    <w:p>
      <w:pPr>
        <w:spacing w:line="240" w:lineRule="auto" w:before="8"/>
        <w:rPr>
          <w:rFonts w:ascii="宋体" w:hAnsi="宋体" w:cs="宋体" w:eastAsia="宋体" w:hint="default"/>
          <w:sz w:val="20"/>
          <w:szCs w:val="20"/>
        </w:rPr>
      </w:pPr>
    </w:p>
    <w:p>
      <w:pPr>
        <w:pStyle w:val="BodyText"/>
        <w:spacing w:line="240" w:lineRule="auto"/>
        <w:ind w:left="138" w:right="247"/>
        <w:jc w:val="both"/>
      </w:pPr>
      <w:r>
        <w:rPr>
          <w:spacing w:val="-1"/>
        </w:rPr>
        <w:t>首次授予中，除部分已终止或解除与畅捷通的劳动合同</w:t>
      </w:r>
      <w:r>
        <w:rPr>
          <w:rFonts w:ascii="宋体" w:hAnsi="宋体" w:cs="宋体" w:eastAsia="宋体" w:hint="default"/>
          <w:spacing w:val="-1"/>
        </w:rPr>
        <w:t>(</w:t>
      </w:r>
      <w:r>
        <w:rPr>
          <w:spacing w:val="-1"/>
        </w:rPr>
        <w:t>该等人士已不具备激励对象资格</w:t>
      </w:r>
      <w:r>
        <w:rPr>
          <w:rFonts w:ascii="宋体" w:hAnsi="宋体" w:cs="宋体" w:eastAsia="宋体" w:hint="default"/>
          <w:spacing w:val="-1"/>
        </w:rPr>
        <w:t>)</w:t>
      </w:r>
      <w:r>
        <w:rPr>
          <w:spacing w:val="-1"/>
        </w:rPr>
        <w:t>的激励</w:t>
      </w:r>
      <w:r>
        <w:rPr>
          <w:spacing w:val="-54"/>
        </w:rPr>
        <w:t> </w:t>
      </w:r>
      <w:r>
        <w:rPr>
          <w:spacing w:val="-54"/>
        </w:rPr>
      </w:r>
      <w:r>
        <w:rPr/>
        <w:t>对象及部分激励对象紧接</w:t>
      </w:r>
      <w:r>
        <w:rPr>
          <w:spacing w:val="-54"/>
        </w:rPr>
        <w:t> </w:t>
      </w:r>
      <w:r>
        <w:rPr>
          <w:rFonts w:ascii="宋体" w:hAnsi="宋体" w:cs="宋体" w:eastAsia="宋体" w:hint="default"/>
        </w:rPr>
        <w:t>2017</w:t>
      </w:r>
      <w:r>
        <w:rPr>
          <w:rFonts w:ascii="宋体" w:hAnsi="宋体" w:cs="宋体" w:eastAsia="宋体" w:hint="default"/>
          <w:spacing w:val="-54"/>
        </w:rPr>
        <w:t> </w:t>
      </w:r>
      <w:r>
        <w:rPr/>
        <w:t>年</w:t>
      </w:r>
      <w:r>
        <w:rPr>
          <w:spacing w:val="-51"/>
        </w:rPr>
        <w:t> </w:t>
      </w:r>
      <w:r>
        <w:rPr>
          <w:rFonts w:ascii="宋体" w:hAnsi="宋体" w:cs="宋体" w:eastAsia="宋体" w:hint="default"/>
        </w:rPr>
        <w:t>6</w:t>
      </w:r>
      <w:r>
        <w:rPr>
          <w:rFonts w:ascii="宋体" w:hAnsi="宋体" w:cs="宋体" w:eastAsia="宋体" w:hint="default"/>
          <w:spacing w:val="-54"/>
        </w:rPr>
        <w:t> </w:t>
      </w:r>
      <w:r>
        <w:rPr/>
        <w:t>月</w:t>
      </w:r>
      <w:r>
        <w:rPr>
          <w:spacing w:val="-51"/>
        </w:rPr>
        <w:t> </w:t>
      </w:r>
      <w:r>
        <w:rPr>
          <w:rFonts w:ascii="宋体" w:hAnsi="宋体" w:cs="宋体" w:eastAsia="宋体" w:hint="default"/>
        </w:rPr>
        <w:t>16</w:t>
      </w:r>
      <w:r>
        <w:rPr>
          <w:rFonts w:ascii="宋体" w:hAnsi="宋体" w:cs="宋体" w:eastAsia="宋体" w:hint="default"/>
          <w:spacing w:val="-51"/>
        </w:rPr>
        <w:t> </w:t>
      </w:r>
      <w:r>
        <w:rPr/>
        <w:t>日前的上一年度个人绩效考核未达到年度业绩完成率及</w:t>
      </w:r>
    </w:p>
    <w:p>
      <w:pPr>
        <w:pStyle w:val="BodyText"/>
        <w:spacing w:line="271" w:lineRule="exact"/>
        <w:ind w:left="138" w:right="0"/>
        <w:jc w:val="both"/>
      </w:pPr>
      <w:r>
        <w:rPr/>
        <w:t>格线外，其余激励对象获授信托受益权份额</w:t>
      </w:r>
      <w:r>
        <w:rPr>
          <w:spacing w:val="-54"/>
        </w:rPr>
        <w:t> </w:t>
      </w:r>
      <w:r>
        <w:rPr>
          <w:rFonts w:ascii="宋体" w:hAnsi="宋体" w:cs="宋体" w:eastAsia="宋体" w:hint="default"/>
        </w:rPr>
        <w:t>30%</w:t>
      </w:r>
      <w:r>
        <w:rPr/>
        <w:t>的解锁条件于</w:t>
      </w:r>
      <w:r>
        <w:rPr>
          <w:spacing w:val="-54"/>
        </w:rPr>
        <w:t> </w:t>
      </w:r>
      <w:r>
        <w:rPr>
          <w:rFonts w:ascii="宋体" w:hAnsi="宋体" w:cs="宋体" w:eastAsia="宋体" w:hint="default"/>
        </w:rPr>
        <w:t>2017</w:t>
      </w:r>
      <w:r>
        <w:rPr>
          <w:rFonts w:ascii="宋体" w:hAnsi="宋体" w:cs="宋体" w:eastAsia="宋体" w:hint="default"/>
          <w:spacing w:val="-54"/>
        </w:rPr>
        <w:t> </w:t>
      </w:r>
      <w:r>
        <w:rPr/>
        <w:t>年</w:t>
      </w:r>
      <w:r>
        <w:rPr>
          <w:spacing w:val="-56"/>
        </w:rPr>
        <w:t> </w:t>
      </w:r>
      <w:r>
        <w:rPr>
          <w:rFonts w:ascii="宋体" w:hAnsi="宋体" w:cs="宋体" w:eastAsia="宋体" w:hint="default"/>
        </w:rPr>
        <w:t>6</w:t>
      </w:r>
      <w:r>
        <w:rPr>
          <w:rFonts w:ascii="宋体" w:hAnsi="宋体" w:cs="宋体" w:eastAsia="宋体" w:hint="default"/>
          <w:spacing w:val="-54"/>
        </w:rPr>
        <w:t> </w:t>
      </w:r>
      <w:r>
        <w:rPr/>
        <w:t>月</w:t>
      </w:r>
      <w:r>
        <w:rPr>
          <w:spacing w:val="-56"/>
        </w:rPr>
        <w:t> </w:t>
      </w:r>
      <w:r>
        <w:rPr>
          <w:rFonts w:ascii="宋体" w:hAnsi="宋体" w:cs="宋体" w:eastAsia="宋体" w:hint="default"/>
        </w:rPr>
        <w:t>16</w:t>
      </w:r>
      <w:r>
        <w:rPr>
          <w:rFonts w:ascii="宋体" w:hAnsi="宋体" w:cs="宋体" w:eastAsia="宋体" w:hint="default"/>
          <w:spacing w:val="-53"/>
        </w:rPr>
        <w:t> </w:t>
      </w:r>
      <w:r>
        <w:rPr/>
        <w:t>日达成。</w:t>
      </w:r>
    </w:p>
    <w:p>
      <w:pPr>
        <w:spacing w:line="240" w:lineRule="auto" w:before="8"/>
        <w:rPr>
          <w:rFonts w:ascii="宋体" w:hAnsi="宋体" w:cs="宋体" w:eastAsia="宋体" w:hint="default"/>
          <w:sz w:val="20"/>
          <w:szCs w:val="20"/>
        </w:rPr>
      </w:pPr>
    </w:p>
    <w:p>
      <w:pPr>
        <w:pStyle w:val="BodyText"/>
        <w:spacing w:line="240" w:lineRule="auto"/>
        <w:ind w:left="138" w:right="248"/>
        <w:jc w:val="both"/>
      </w:pPr>
      <w:r>
        <w:rPr>
          <w:spacing w:val="-1"/>
        </w:rPr>
        <w:t>第二次授予中，除部分已终止或解除与畅捷通的劳动合同</w:t>
      </w:r>
      <w:r>
        <w:rPr>
          <w:rFonts w:ascii="宋体" w:hAnsi="宋体" w:cs="宋体" w:eastAsia="宋体" w:hint="default"/>
          <w:spacing w:val="-1"/>
        </w:rPr>
        <w:t>(</w:t>
      </w:r>
      <w:r>
        <w:rPr>
          <w:spacing w:val="-1"/>
        </w:rPr>
        <w:t>该等人士已不具备激励对象资格</w:t>
      </w:r>
      <w:r>
        <w:rPr>
          <w:rFonts w:ascii="宋体" w:hAnsi="宋体" w:cs="宋体" w:eastAsia="宋体" w:hint="default"/>
          <w:spacing w:val="-1"/>
        </w:rPr>
        <w:t>)</w:t>
      </w:r>
      <w:r>
        <w:rPr>
          <w:spacing w:val="-1"/>
        </w:rPr>
        <w:t>的激</w:t>
      </w:r>
      <w:r>
        <w:rPr>
          <w:spacing w:val="-54"/>
        </w:rPr>
        <w:t> </w:t>
      </w:r>
      <w:r>
        <w:rPr/>
        <w:t>励对象外，其余激励对象获授信托受益权份额</w:t>
      </w:r>
      <w:r>
        <w:rPr>
          <w:spacing w:val="-53"/>
        </w:rPr>
        <w:t> </w:t>
      </w:r>
      <w:r>
        <w:rPr>
          <w:rFonts w:ascii="宋体" w:hAnsi="宋体" w:cs="宋体" w:eastAsia="宋体" w:hint="default"/>
        </w:rPr>
        <w:t>30%</w:t>
      </w:r>
      <w:r>
        <w:rPr/>
        <w:t>的解锁条件于</w:t>
      </w:r>
      <w:r>
        <w:rPr>
          <w:spacing w:val="-53"/>
        </w:rPr>
        <w:t> </w:t>
      </w:r>
      <w:r>
        <w:rPr>
          <w:rFonts w:ascii="宋体" w:hAnsi="宋体" w:cs="宋体" w:eastAsia="宋体" w:hint="default"/>
        </w:rPr>
        <w:t>2017</w:t>
      </w:r>
      <w:r>
        <w:rPr>
          <w:rFonts w:ascii="宋体" w:hAnsi="宋体" w:cs="宋体" w:eastAsia="宋体" w:hint="default"/>
          <w:spacing w:val="-55"/>
        </w:rPr>
        <w:t> </w:t>
      </w:r>
      <w:r>
        <w:rPr/>
        <w:t>年</w:t>
      </w:r>
      <w:r>
        <w:rPr>
          <w:spacing w:val="-53"/>
        </w:rPr>
        <w:t> </w:t>
      </w:r>
      <w:r>
        <w:rPr>
          <w:rFonts w:ascii="宋体" w:hAnsi="宋体" w:cs="宋体" w:eastAsia="宋体" w:hint="default"/>
        </w:rPr>
        <w:t>3</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4"/>
        </w:rPr>
        <w:t> </w:t>
      </w:r>
      <w:r>
        <w:rPr/>
        <w:t>日达成。</w:t>
      </w:r>
    </w:p>
    <w:p>
      <w:pPr>
        <w:spacing w:line="240" w:lineRule="auto" w:before="10"/>
        <w:rPr>
          <w:rFonts w:ascii="宋体" w:hAnsi="宋体" w:cs="宋体" w:eastAsia="宋体" w:hint="default"/>
          <w:sz w:val="22"/>
          <w:szCs w:val="22"/>
        </w:rPr>
      </w:pPr>
    </w:p>
    <w:p>
      <w:pPr>
        <w:pStyle w:val="BodyText"/>
        <w:spacing w:line="272" w:lineRule="exact"/>
        <w:ind w:left="138" w:right="248"/>
        <w:jc w:val="both"/>
      </w:pPr>
      <w:r>
        <w:rPr>
          <w:spacing w:val="-1"/>
        </w:rPr>
        <w:t>第三次授予中，除部分已终止或解除与畅捷通的劳动合同</w:t>
      </w:r>
      <w:r>
        <w:rPr>
          <w:rFonts w:ascii="宋体" w:hAnsi="宋体" w:cs="宋体" w:eastAsia="宋体" w:hint="default"/>
          <w:spacing w:val="-1"/>
        </w:rPr>
        <w:t>(</w:t>
      </w:r>
      <w:r>
        <w:rPr>
          <w:spacing w:val="-1"/>
        </w:rPr>
        <w:t>该等人士已不具备激励对象资格</w:t>
      </w:r>
      <w:r>
        <w:rPr>
          <w:rFonts w:ascii="宋体" w:hAnsi="宋体" w:cs="宋体" w:eastAsia="宋体" w:hint="default"/>
          <w:spacing w:val="-1"/>
        </w:rPr>
        <w:t>)</w:t>
      </w:r>
      <w:r>
        <w:rPr>
          <w:spacing w:val="-1"/>
        </w:rPr>
        <w:t>的激</w:t>
      </w:r>
      <w:r>
        <w:rPr>
          <w:spacing w:val="-54"/>
        </w:rPr>
        <w:t> </w:t>
      </w:r>
      <w:r>
        <w:rPr/>
        <w:t>励对象外，其余激励对象获授信托受益权份额</w:t>
      </w:r>
      <w:r>
        <w:rPr>
          <w:spacing w:val="-54"/>
        </w:rPr>
        <w:t> </w:t>
      </w:r>
      <w:r>
        <w:rPr>
          <w:rFonts w:ascii="宋体" w:hAnsi="宋体" w:cs="宋体" w:eastAsia="宋体" w:hint="default"/>
        </w:rPr>
        <w:t>30%</w:t>
      </w:r>
      <w:r>
        <w:rPr/>
        <w:t>的解锁条件于</w:t>
      </w:r>
      <w:r>
        <w:rPr>
          <w:spacing w:val="-54"/>
        </w:rPr>
        <w:t> </w:t>
      </w:r>
      <w:r>
        <w:rPr>
          <w:rFonts w:ascii="宋体" w:hAnsi="宋体" w:cs="宋体" w:eastAsia="宋体" w:hint="default"/>
        </w:rPr>
        <w:t>2017</w:t>
      </w:r>
      <w:r>
        <w:rPr>
          <w:rFonts w:ascii="宋体" w:hAnsi="宋体" w:cs="宋体" w:eastAsia="宋体" w:hint="default"/>
          <w:spacing w:val="-56"/>
        </w:rPr>
        <w:t> </w:t>
      </w:r>
      <w:r>
        <w:rPr/>
        <w:t>年</w:t>
      </w:r>
      <w:r>
        <w:rPr>
          <w:spacing w:val="-54"/>
        </w:rPr>
        <w:t> </w:t>
      </w:r>
      <w:r>
        <w:rPr>
          <w:rFonts w:ascii="宋体" w:hAnsi="宋体" w:cs="宋体" w:eastAsia="宋体" w:hint="default"/>
        </w:rPr>
        <w:t>12</w:t>
      </w:r>
      <w:r>
        <w:rPr>
          <w:rFonts w:ascii="宋体" w:hAnsi="宋体" w:cs="宋体" w:eastAsia="宋体" w:hint="default"/>
          <w:spacing w:val="-56"/>
        </w:rPr>
        <w:t> </w:t>
      </w:r>
      <w:r>
        <w:rPr/>
        <w:t>月</w:t>
      </w:r>
      <w:r>
        <w:rPr>
          <w:spacing w:val="-53"/>
        </w:rPr>
        <w:t> </w:t>
      </w:r>
      <w:r>
        <w:rPr>
          <w:rFonts w:ascii="宋体" w:hAnsi="宋体" w:cs="宋体" w:eastAsia="宋体" w:hint="default"/>
        </w:rPr>
        <w:t>6</w:t>
      </w:r>
      <w:r>
        <w:rPr>
          <w:rFonts w:ascii="宋体" w:hAnsi="宋体" w:cs="宋体" w:eastAsia="宋体" w:hint="default"/>
          <w:spacing w:val="-54"/>
        </w:rPr>
        <w:t> </w:t>
      </w:r>
      <w:r>
        <w:rPr/>
        <w:t>日达成。</w:t>
      </w:r>
    </w:p>
    <w:p>
      <w:pPr>
        <w:spacing w:after="0" w:line="272" w:lineRule="exact"/>
        <w:jc w:val="both"/>
        <w:sectPr>
          <w:pgSz w:w="11910" w:h="16840"/>
          <w:pgMar w:header="857" w:footer="1195" w:top="1280" w:bottom="1380" w:left="1660" w:right="102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5"/>
          <w:szCs w:val="15"/>
        </w:rPr>
      </w:pPr>
    </w:p>
    <w:p>
      <w:pPr>
        <w:pStyle w:val="BodyText"/>
        <w:spacing w:line="273" w:lineRule="exact"/>
        <w:ind w:left="138" w:right="0"/>
        <w:jc w:val="left"/>
        <w:rPr>
          <w:rFonts w:ascii="宋体" w:hAnsi="宋体" w:cs="宋体" w:eastAsia="宋体" w:hint="default"/>
        </w:rPr>
      </w:pPr>
      <w:r>
        <w:rPr>
          <w:rFonts w:ascii="宋体" w:hAnsi="宋体" w:cs="宋体" w:eastAsia="宋体" w:hint="default"/>
        </w:rPr>
        <w:t>2017</w:t>
      </w:r>
      <w:r>
        <w:rPr>
          <w:rFonts w:ascii="宋体" w:hAnsi="宋体" w:cs="宋体" w:eastAsia="宋体" w:hint="default"/>
          <w:spacing w:val="-54"/>
        </w:rPr>
        <w:t> </w:t>
      </w:r>
      <w:r>
        <w:rPr/>
        <w:t>年度，总额为人民币</w:t>
      </w:r>
      <w:r>
        <w:rPr>
          <w:spacing w:val="-53"/>
        </w:rPr>
        <w:t> </w:t>
      </w:r>
      <w:r>
        <w:rPr>
          <w:rFonts w:ascii="宋体" w:hAnsi="宋体" w:cs="宋体" w:eastAsia="宋体" w:hint="default"/>
        </w:rPr>
        <w:t>73,424,277</w:t>
      </w:r>
      <w:r>
        <w:rPr>
          <w:rFonts w:ascii="宋体" w:hAnsi="宋体" w:cs="宋体" w:eastAsia="宋体" w:hint="default"/>
          <w:spacing w:val="-51"/>
        </w:rPr>
        <w:t> </w:t>
      </w:r>
      <w:r>
        <w:rPr/>
        <w:t>元</w:t>
      </w:r>
      <w:r>
        <w:rPr>
          <w:rFonts w:ascii="宋体" w:hAnsi="宋体" w:cs="宋体" w:eastAsia="宋体" w:hint="default"/>
        </w:rPr>
        <w:t>(2016</w:t>
      </w:r>
      <w:r>
        <w:rPr>
          <w:rFonts w:ascii="宋体" w:hAnsi="宋体" w:cs="宋体" w:eastAsia="宋体" w:hint="default"/>
          <w:spacing w:val="-54"/>
        </w:rPr>
        <w:t> </w:t>
      </w:r>
      <w:r>
        <w:rPr/>
        <w:t>年：人民币</w:t>
      </w:r>
      <w:r>
        <w:rPr>
          <w:spacing w:val="-51"/>
        </w:rPr>
        <w:t> </w:t>
      </w:r>
      <w:r>
        <w:rPr>
          <w:rFonts w:ascii="宋体" w:hAnsi="宋体" w:cs="宋体" w:eastAsia="宋体" w:hint="default"/>
        </w:rPr>
        <w:t>88,935,575</w:t>
      </w:r>
      <w:r>
        <w:rPr>
          <w:rFonts w:ascii="宋体" w:hAnsi="宋体" w:cs="宋体" w:eastAsia="宋体" w:hint="default"/>
          <w:spacing w:val="-52"/>
        </w:rPr>
        <w:t> </w:t>
      </w:r>
      <w:r>
        <w:rPr/>
        <w:t>元</w:t>
      </w:r>
      <w:r>
        <w:rPr>
          <w:rFonts w:ascii="宋体" w:hAnsi="宋体" w:cs="宋体" w:eastAsia="宋体" w:hint="default"/>
        </w:rPr>
        <w:t>)</w:t>
      </w:r>
      <w:r>
        <w:rPr/>
        <w:t>的</w:t>
      </w:r>
      <w:r>
        <w:rPr>
          <w:spacing w:val="-53"/>
        </w:rPr>
        <w:t> </w:t>
      </w:r>
      <w:r>
        <w:rPr>
          <w:rFonts w:ascii="宋体" w:hAnsi="宋体" w:cs="宋体" w:eastAsia="宋体" w:hint="default"/>
        </w:rPr>
        <w:t>4,288,500</w:t>
      </w:r>
      <w:r>
        <w:rPr>
          <w:rFonts w:ascii="宋体" w:hAnsi="宋体" w:cs="宋体" w:eastAsia="宋体" w:hint="default"/>
          <w:spacing w:val="-51"/>
        </w:rPr>
        <w:t> </w:t>
      </w:r>
      <w:r>
        <w:rPr/>
        <w:t>股</w:t>
      </w:r>
      <w:r>
        <w:rPr>
          <w:rFonts w:ascii="宋体" w:hAnsi="宋体" w:cs="宋体" w:eastAsia="宋体" w:hint="default"/>
        </w:rPr>
        <w:t>(2016</w:t>
      </w:r>
    </w:p>
    <w:p>
      <w:pPr>
        <w:pStyle w:val="BodyText"/>
        <w:spacing w:line="240" w:lineRule="auto"/>
        <w:ind w:left="138" w:right="286"/>
        <w:jc w:val="left"/>
      </w:pPr>
      <w:r>
        <w:rPr>
          <w:spacing w:val="10"/>
        </w:rPr>
        <w:t>年：</w:t>
      </w:r>
      <w:r>
        <w:rPr>
          <w:spacing w:val="-76"/>
        </w:rPr>
        <w:t> </w:t>
      </w:r>
      <w:r>
        <w:rPr>
          <w:rFonts w:ascii="宋体" w:hAnsi="宋体" w:cs="宋体" w:eastAsia="宋体" w:hint="default"/>
        </w:rPr>
        <w:t>5,011,500</w:t>
      </w:r>
      <w:r>
        <w:rPr>
          <w:rFonts w:ascii="宋体" w:hAnsi="宋体" w:cs="宋体" w:eastAsia="宋体" w:hint="default"/>
          <w:spacing w:val="72"/>
        </w:rPr>
        <w:t> </w:t>
      </w:r>
      <w:r>
        <w:rPr>
          <w:spacing w:val="10"/>
        </w:rPr>
        <w:t>股</w:t>
      </w:r>
      <w:r>
        <w:rPr>
          <w:rFonts w:ascii="宋体" w:hAnsi="宋体" w:cs="宋体" w:eastAsia="宋体" w:hint="default"/>
          <w:spacing w:val="10"/>
        </w:rPr>
        <w:t>)</w:t>
      </w:r>
      <w:r>
        <w:rPr>
          <w:rFonts w:ascii="宋体" w:hAnsi="宋体" w:cs="宋体" w:eastAsia="宋体" w:hint="default"/>
          <w:spacing w:val="-79"/>
        </w:rPr>
        <w:t> </w:t>
      </w:r>
      <w:r>
        <w:rPr>
          <w:spacing w:val="17"/>
        </w:rPr>
        <w:t>目标股票已根据该计划解锁，</w:t>
      </w:r>
      <w:r>
        <w:rPr>
          <w:spacing w:val="-76"/>
        </w:rPr>
        <w:t> </w:t>
      </w:r>
      <w:r>
        <w:rPr>
          <w:spacing w:val="18"/>
        </w:rPr>
        <w:t>导致自资本公积股份支付中转出人民币</w:t>
      </w:r>
      <w:r>
        <w:rPr>
          <w:spacing w:val="-96"/>
        </w:rPr>
        <w:t> </w:t>
      </w:r>
      <w:r>
        <w:rPr>
          <w:spacing w:val="-96"/>
        </w:rPr>
      </w:r>
      <w:r>
        <w:rPr>
          <w:rFonts w:ascii="宋体" w:hAnsi="宋体" w:cs="宋体" w:eastAsia="宋体" w:hint="default"/>
        </w:rPr>
        <w:t>92,415,859</w:t>
      </w:r>
      <w:r>
        <w:rPr>
          <w:rFonts w:ascii="宋体" w:hAnsi="宋体" w:cs="宋体" w:eastAsia="宋体" w:hint="default"/>
          <w:spacing w:val="-44"/>
        </w:rPr>
        <w:t> </w:t>
      </w:r>
      <w:r>
        <w:rPr/>
        <w:t>元</w:t>
      </w:r>
      <w:r>
        <w:rPr>
          <w:rFonts w:ascii="宋体" w:hAnsi="宋体" w:cs="宋体" w:eastAsia="宋体" w:hint="default"/>
        </w:rPr>
        <w:t>(2016</w:t>
      </w:r>
      <w:r>
        <w:rPr>
          <w:rFonts w:ascii="宋体" w:hAnsi="宋体" w:cs="宋体" w:eastAsia="宋体" w:hint="default"/>
          <w:spacing w:val="-44"/>
        </w:rPr>
        <w:t> </w:t>
      </w:r>
      <w:r>
        <w:rPr/>
        <w:t>年：人民币</w:t>
      </w:r>
      <w:r>
        <w:rPr>
          <w:spacing w:val="-44"/>
        </w:rPr>
        <w:t> </w:t>
      </w:r>
      <w:r>
        <w:rPr>
          <w:rFonts w:ascii="宋体" w:hAnsi="宋体" w:cs="宋体" w:eastAsia="宋体" w:hint="default"/>
        </w:rPr>
        <w:t>121,969,498</w:t>
      </w:r>
      <w:r>
        <w:rPr>
          <w:rFonts w:ascii="宋体" w:hAnsi="宋体" w:cs="宋体" w:eastAsia="宋体" w:hint="default"/>
          <w:spacing w:val="-44"/>
        </w:rPr>
        <w:t> </w:t>
      </w:r>
      <w:r>
        <w:rPr/>
        <w:t>元</w:t>
      </w:r>
      <w:r>
        <w:rPr>
          <w:rFonts w:ascii="宋体" w:hAnsi="宋体" w:cs="宋体" w:eastAsia="宋体" w:hint="default"/>
        </w:rPr>
        <w:t>)</w:t>
      </w:r>
      <w:r>
        <w:rPr/>
        <w:t>，差额人民币</w:t>
      </w:r>
      <w:r>
        <w:rPr>
          <w:spacing w:val="-44"/>
        </w:rPr>
        <w:t> </w:t>
      </w:r>
      <w:r>
        <w:rPr>
          <w:rFonts w:ascii="宋体" w:hAnsi="宋体" w:cs="宋体" w:eastAsia="宋体" w:hint="default"/>
        </w:rPr>
        <w:t>18,991,582</w:t>
      </w:r>
      <w:r>
        <w:rPr>
          <w:rFonts w:ascii="宋体" w:hAnsi="宋体" w:cs="宋体" w:eastAsia="宋体" w:hint="default"/>
          <w:spacing w:val="-47"/>
        </w:rPr>
        <w:t> </w:t>
      </w:r>
      <w:r>
        <w:rPr/>
        <w:t>元</w:t>
      </w:r>
      <w:r>
        <w:rPr>
          <w:rFonts w:ascii="宋体" w:hAnsi="宋体" w:cs="宋体" w:eastAsia="宋体" w:hint="default"/>
        </w:rPr>
        <w:t>(2016</w:t>
      </w:r>
      <w:r>
        <w:rPr>
          <w:rFonts w:ascii="宋体" w:hAnsi="宋体" w:cs="宋体" w:eastAsia="宋体" w:hint="default"/>
          <w:spacing w:val="-46"/>
        </w:rPr>
        <w:t> </w:t>
      </w:r>
      <w:r>
        <w:rPr/>
        <w:t>年：人民币</w:t>
      </w:r>
    </w:p>
    <w:p>
      <w:pPr>
        <w:pStyle w:val="BodyText"/>
        <w:spacing w:line="271" w:lineRule="exact"/>
        <w:ind w:left="138" w:right="0"/>
        <w:jc w:val="left"/>
      </w:pPr>
      <w:r>
        <w:rPr>
          <w:rFonts w:ascii="宋体" w:hAnsi="宋体" w:cs="宋体" w:eastAsia="宋体" w:hint="default"/>
        </w:rPr>
        <w:t>33,033,923</w:t>
      </w:r>
      <w:r>
        <w:rPr>
          <w:rFonts w:ascii="宋体" w:hAnsi="宋体" w:cs="宋体" w:eastAsia="宋体" w:hint="default"/>
          <w:spacing w:val="-53"/>
        </w:rPr>
        <w:t> </w:t>
      </w:r>
      <w:r>
        <w:rPr/>
        <w:t>元</w:t>
      </w:r>
      <w:r>
        <w:rPr>
          <w:rFonts w:ascii="宋体" w:hAnsi="宋体" w:cs="宋体" w:eastAsia="宋体" w:hint="default"/>
        </w:rPr>
        <w:t>)</w:t>
      </w:r>
      <w:r>
        <w:rPr/>
        <w:t>记入资本公积股本溢价。</w:t>
      </w:r>
    </w:p>
    <w:p>
      <w:pPr>
        <w:spacing w:line="240" w:lineRule="auto" w:before="8"/>
        <w:rPr>
          <w:rFonts w:ascii="宋体" w:hAnsi="宋体" w:cs="宋体" w:eastAsia="宋体" w:hint="default"/>
          <w:sz w:val="20"/>
          <w:szCs w:val="20"/>
        </w:rPr>
      </w:pPr>
    </w:p>
    <w:p>
      <w:pPr>
        <w:pStyle w:val="BodyText"/>
        <w:spacing w:line="274" w:lineRule="exact"/>
        <w:ind w:left="138" w:right="0"/>
        <w:jc w:val="left"/>
      </w:pPr>
      <w:r>
        <w:rPr>
          <w:rFonts w:ascii="宋体" w:hAnsi="宋体" w:cs="宋体" w:eastAsia="宋体" w:hint="default"/>
          <w:w w:val="100"/>
        </w:rPr>
        <w:t>2017</w:t>
      </w:r>
      <w:r>
        <w:rPr>
          <w:rFonts w:ascii="宋体" w:hAnsi="宋体" w:cs="宋体" w:eastAsia="宋体" w:hint="default"/>
          <w:spacing w:val="-62"/>
        </w:rPr>
        <w:t> </w:t>
      </w:r>
      <w:r>
        <w:rPr>
          <w:w w:val="100"/>
        </w:rPr>
        <w:t>年</w:t>
      </w:r>
      <w:r>
        <w:rPr>
          <w:spacing w:val="-3"/>
          <w:w w:val="100"/>
        </w:rPr>
        <w:t>度</w:t>
      </w:r>
      <w:r>
        <w:rPr>
          <w:spacing w:val="-106"/>
          <w:w w:val="100"/>
        </w:rPr>
        <w:t>，</w:t>
      </w:r>
      <w:r>
        <w:rPr>
          <w:spacing w:val="-3"/>
          <w:w w:val="100"/>
        </w:rPr>
        <w:t>畅</w:t>
      </w:r>
      <w:r>
        <w:rPr>
          <w:w w:val="100"/>
        </w:rPr>
        <w:t>捷</w:t>
      </w:r>
      <w:r>
        <w:rPr>
          <w:spacing w:val="-3"/>
          <w:w w:val="100"/>
        </w:rPr>
        <w:t>通</w:t>
      </w:r>
      <w:r>
        <w:rPr>
          <w:w w:val="100"/>
        </w:rPr>
        <w:t>已</w:t>
      </w:r>
      <w:r>
        <w:rPr>
          <w:spacing w:val="-3"/>
          <w:w w:val="100"/>
        </w:rPr>
        <w:t>确认</w:t>
      </w:r>
      <w:r>
        <w:rPr>
          <w:w w:val="100"/>
        </w:rPr>
        <w:t>股份</w:t>
      </w:r>
      <w:r>
        <w:rPr>
          <w:spacing w:val="-3"/>
          <w:w w:val="100"/>
        </w:rPr>
        <w:t>支</w:t>
      </w:r>
      <w:r>
        <w:rPr>
          <w:w w:val="100"/>
        </w:rPr>
        <w:t>付</w:t>
      </w:r>
      <w:r>
        <w:rPr>
          <w:spacing w:val="-3"/>
          <w:w w:val="100"/>
        </w:rPr>
        <w:t>费</w:t>
      </w:r>
      <w:r>
        <w:rPr>
          <w:w w:val="100"/>
        </w:rPr>
        <w:t>用</w:t>
      </w:r>
      <w:r>
        <w:rPr>
          <w:spacing w:val="-3"/>
          <w:w w:val="100"/>
        </w:rPr>
        <w:t>人民</w:t>
      </w:r>
      <w:r>
        <w:rPr>
          <w:w w:val="100"/>
        </w:rPr>
        <w:t>币</w:t>
      </w:r>
      <w:r>
        <w:rPr>
          <w:spacing w:val="-60"/>
        </w:rPr>
        <w:t> </w:t>
      </w:r>
      <w:r>
        <w:rPr>
          <w:rFonts w:ascii="宋体" w:hAnsi="宋体" w:cs="宋体" w:eastAsia="宋体" w:hint="default"/>
          <w:w w:val="100"/>
        </w:rPr>
        <w:t>6</w:t>
      </w:r>
      <w:r>
        <w:rPr>
          <w:rFonts w:ascii="宋体" w:hAnsi="宋体" w:cs="宋体" w:eastAsia="宋体" w:hint="default"/>
          <w:spacing w:val="-3"/>
          <w:w w:val="100"/>
        </w:rPr>
        <w:t>2</w:t>
      </w:r>
      <w:r>
        <w:rPr>
          <w:rFonts w:ascii="宋体" w:hAnsi="宋体" w:cs="宋体" w:eastAsia="宋体" w:hint="default"/>
          <w:w w:val="100"/>
        </w:rPr>
        <w:t>,</w:t>
      </w:r>
      <w:r>
        <w:rPr>
          <w:rFonts w:ascii="宋体" w:hAnsi="宋体" w:cs="宋体" w:eastAsia="宋体" w:hint="default"/>
          <w:spacing w:val="-3"/>
          <w:w w:val="100"/>
        </w:rPr>
        <w:t>4</w:t>
      </w:r>
      <w:r>
        <w:rPr>
          <w:rFonts w:ascii="宋体" w:hAnsi="宋体" w:cs="宋体" w:eastAsia="宋体" w:hint="default"/>
          <w:w w:val="100"/>
        </w:rPr>
        <w:t>43,886</w:t>
      </w:r>
      <w:r>
        <w:rPr>
          <w:rFonts w:ascii="宋体" w:hAnsi="宋体" w:cs="宋体" w:eastAsia="宋体" w:hint="default"/>
          <w:spacing w:val="-2"/>
        </w:rPr>
        <w:t> </w:t>
      </w:r>
      <w:r>
        <w:rPr>
          <w:w w:val="100"/>
        </w:rPr>
        <w:t>元</w:t>
      </w:r>
      <w:r>
        <w:rPr>
          <w:rFonts w:ascii="宋体" w:hAnsi="宋体" w:cs="宋体" w:eastAsia="宋体" w:hint="default"/>
          <w:spacing w:val="-3"/>
          <w:w w:val="100"/>
        </w:rPr>
        <w:t>(</w:t>
      </w:r>
      <w:r>
        <w:rPr>
          <w:rFonts w:ascii="宋体" w:hAnsi="宋体" w:cs="宋体" w:eastAsia="宋体" w:hint="default"/>
          <w:w w:val="100"/>
        </w:rPr>
        <w:t>20</w:t>
      </w:r>
      <w:r>
        <w:rPr>
          <w:rFonts w:ascii="宋体" w:hAnsi="宋体" w:cs="宋体" w:eastAsia="宋体" w:hint="default"/>
          <w:spacing w:val="-3"/>
          <w:w w:val="100"/>
        </w:rPr>
        <w:t>1</w:t>
      </w:r>
      <w:r>
        <w:rPr>
          <w:rFonts w:ascii="宋体" w:hAnsi="宋体" w:cs="宋体" w:eastAsia="宋体" w:hint="default"/>
          <w:w w:val="100"/>
        </w:rPr>
        <w:t>6</w:t>
      </w:r>
      <w:r>
        <w:rPr>
          <w:rFonts w:ascii="宋体" w:hAnsi="宋体" w:cs="宋体" w:eastAsia="宋体" w:hint="default"/>
          <w:spacing w:val="-60"/>
        </w:rPr>
        <w:t> </w:t>
      </w:r>
      <w:r>
        <w:rPr>
          <w:spacing w:val="-3"/>
          <w:w w:val="100"/>
        </w:rPr>
        <w:t>年</w:t>
      </w:r>
      <w:r>
        <w:rPr>
          <w:spacing w:val="-106"/>
          <w:w w:val="100"/>
        </w:rPr>
        <w:t>：</w:t>
      </w:r>
      <w:r>
        <w:rPr>
          <w:spacing w:val="-3"/>
          <w:w w:val="100"/>
        </w:rPr>
        <w:t>人民</w:t>
      </w:r>
      <w:r>
        <w:rPr>
          <w:w w:val="100"/>
        </w:rPr>
        <w:t>币</w:t>
      </w:r>
      <w:r>
        <w:rPr>
          <w:spacing w:val="-60"/>
        </w:rPr>
        <w:t> </w:t>
      </w:r>
      <w:r>
        <w:rPr>
          <w:rFonts w:ascii="宋体" w:hAnsi="宋体" w:cs="宋体" w:eastAsia="宋体" w:hint="default"/>
          <w:w w:val="100"/>
        </w:rPr>
        <w:t>1</w:t>
      </w:r>
      <w:r>
        <w:rPr>
          <w:rFonts w:ascii="宋体" w:hAnsi="宋体" w:cs="宋体" w:eastAsia="宋体" w:hint="default"/>
          <w:spacing w:val="-3"/>
          <w:w w:val="100"/>
        </w:rPr>
        <w:t>3</w:t>
      </w:r>
      <w:r>
        <w:rPr>
          <w:rFonts w:ascii="宋体" w:hAnsi="宋体" w:cs="宋体" w:eastAsia="宋体" w:hint="default"/>
          <w:w w:val="100"/>
        </w:rPr>
        <w:t>2,5</w:t>
      </w:r>
      <w:r>
        <w:rPr>
          <w:rFonts w:ascii="宋体" w:hAnsi="宋体" w:cs="宋体" w:eastAsia="宋体" w:hint="default"/>
          <w:spacing w:val="-3"/>
          <w:w w:val="100"/>
        </w:rPr>
        <w:t>5</w:t>
      </w:r>
      <w:r>
        <w:rPr>
          <w:rFonts w:ascii="宋体" w:hAnsi="宋体" w:cs="宋体" w:eastAsia="宋体" w:hint="default"/>
          <w:w w:val="100"/>
        </w:rPr>
        <w:t>6,5</w:t>
      </w:r>
      <w:r>
        <w:rPr>
          <w:rFonts w:ascii="宋体" w:hAnsi="宋体" w:cs="宋体" w:eastAsia="宋体" w:hint="default"/>
          <w:spacing w:val="-3"/>
          <w:w w:val="100"/>
        </w:rPr>
        <w:t>8</w:t>
      </w:r>
      <w:r>
        <w:rPr>
          <w:rFonts w:ascii="宋体" w:hAnsi="宋体" w:cs="宋体" w:eastAsia="宋体" w:hint="default"/>
          <w:w w:val="100"/>
        </w:rPr>
        <w:t>5</w:t>
      </w:r>
      <w:r>
        <w:rPr>
          <w:rFonts w:ascii="宋体" w:hAnsi="宋体" w:cs="宋体" w:eastAsia="宋体" w:hint="default"/>
          <w:spacing w:val="-63"/>
        </w:rPr>
        <w:t> </w:t>
      </w:r>
      <w:r>
        <w:rPr>
          <w:w w:val="100"/>
        </w:rPr>
        <w:t>元</w:t>
      </w:r>
      <w:r>
        <w:rPr>
          <w:rFonts w:ascii="宋体" w:hAnsi="宋体" w:cs="宋体" w:eastAsia="宋体" w:hint="default"/>
          <w:w w:val="100"/>
        </w:rPr>
        <w:t>)</w:t>
      </w:r>
      <w:r>
        <w:rPr>
          <w:w w:val="100"/>
        </w:rPr>
        <w:t>。</w:t>
      </w:r>
    </w:p>
    <w:p>
      <w:pPr>
        <w:pStyle w:val="BodyText"/>
        <w:spacing w:line="272" w:lineRule="exact"/>
        <w:ind w:left="138" w:right="0"/>
        <w:jc w:val="left"/>
      </w:pPr>
      <w:r>
        <w:rPr/>
        <w:t>其中，于损益中确认股份支付费用人民币</w:t>
      </w:r>
      <w:r>
        <w:rPr>
          <w:spacing w:val="-49"/>
        </w:rPr>
        <w:t> </w:t>
      </w:r>
      <w:r>
        <w:rPr>
          <w:rFonts w:ascii="宋体" w:hAnsi="宋体" w:cs="宋体" w:eastAsia="宋体" w:hint="default"/>
        </w:rPr>
        <w:t>58,176,232</w:t>
      </w:r>
      <w:r>
        <w:rPr>
          <w:rFonts w:ascii="宋体" w:hAnsi="宋体" w:cs="宋体" w:eastAsia="宋体" w:hint="default"/>
          <w:spacing w:val="3"/>
        </w:rPr>
        <w:t> </w:t>
      </w:r>
      <w:r>
        <w:rPr/>
        <w:t>元</w:t>
      </w:r>
      <w:r>
        <w:rPr>
          <w:rFonts w:ascii="宋体" w:hAnsi="宋体" w:cs="宋体" w:eastAsia="宋体" w:hint="default"/>
        </w:rPr>
        <w:t>(2016</w:t>
      </w:r>
      <w:r>
        <w:rPr>
          <w:rFonts w:ascii="宋体" w:hAnsi="宋体" w:cs="宋体" w:eastAsia="宋体" w:hint="default"/>
          <w:spacing w:val="-52"/>
        </w:rPr>
        <w:t> </w:t>
      </w:r>
      <w:r>
        <w:rPr/>
        <w:t>年：人民币</w:t>
      </w:r>
      <w:r>
        <w:rPr>
          <w:spacing w:val="-52"/>
        </w:rPr>
        <w:t> </w:t>
      </w:r>
      <w:r>
        <w:rPr>
          <w:rFonts w:ascii="宋体" w:hAnsi="宋体" w:cs="宋体" w:eastAsia="宋体" w:hint="default"/>
        </w:rPr>
        <w:t>131,237,629</w:t>
      </w:r>
      <w:r>
        <w:rPr>
          <w:rFonts w:ascii="宋体" w:hAnsi="宋体" w:cs="宋体" w:eastAsia="宋体" w:hint="default"/>
          <w:spacing w:val="-49"/>
        </w:rPr>
        <w:t> </w:t>
      </w:r>
      <w:r>
        <w:rPr>
          <w:spacing w:val="-3"/>
        </w:rPr>
        <w:t>元</w:t>
      </w:r>
      <w:r>
        <w:rPr>
          <w:rFonts w:ascii="宋体" w:hAnsi="宋体" w:cs="宋体" w:eastAsia="宋体" w:hint="default"/>
          <w:spacing w:val="-3"/>
        </w:rPr>
        <w:t>)</w:t>
      </w:r>
      <w:r>
        <w:rPr>
          <w:spacing w:val="-3"/>
        </w:rPr>
        <w:t>，以</w:t>
      </w:r>
      <w:r>
        <w:rPr/>
      </w:r>
    </w:p>
    <w:p>
      <w:pPr>
        <w:pStyle w:val="BodyText"/>
        <w:spacing w:line="273" w:lineRule="exact"/>
        <w:ind w:left="138" w:right="0"/>
        <w:jc w:val="left"/>
      </w:pPr>
      <w:r>
        <w:rPr/>
        <w:t>资本化计入开发支出的金额为人民币</w:t>
      </w:r>
      <w:r>
        <w:rPr>
          <w:spacing w:val="-54"/>
        </w:rPr>
        <w:t> </w:t>
      </w:r>
      <w:r>
        <w:rPr>
          <w:rFonts w:ascii="宋体" w:hAnsi="宋体" w:cs="宋体" w:eastAsia="宋体" w:hint="default"/>
        </w:rPr>
        <w:t>4,267,654</w:t>
      </w:r>
      <w:r>
        <w:rPr>
          <w:rFonts w:ascii="宋体" w:hAnsi="宋体" w:cs="宋体" w:eastAsia="宋体" w:hint="default"/>
          <w:spacing w:val="-4"/>
        </w:rPr>
        <w:t> </w:t>
      </w:r>
      <w:r>
        <w:rPr/>
        <w:t>元</w:t>
      </w:r>
      <w:r>
        <w:rPr>
          <w:rFonts w:ascii="宋体" w:hAnsi="宋体" w:cs="宋体" w:eastAsia="宋体" w:hint="default"/>
        </w:rPr>
        <w:t>(2016</w:t>
      </w:r>
      <w:r>
        <w:rPr>
          <w:rFonts w:ascii="宋体" w:hAnsi="宋体" w:cs="宋体" w:eastAsia="宋体" w:hint="default"/>
          <w:spacing w:val="-56"/>
        </w:rPr>
        <w:t> </w:t>
      </w:r>
      <w:r>
        <w:rPr/>
        <w:t>年：人民币</w:t>
      </w:r>
      <w:r>
        <w:rPr>
          <w:spacing w:val="-54"/>
        </w:rPr>
        <w:t> </w:t>
      </w:r>
      <w:r>
        <w:rPr>
          <w:rFonts w:ascii="宋体" w:hAnsi="宋体" w:cs="宋体" w:eastAsia="宋体" w:hint="default"/>
        </w:rPr>
        <w:t>1,318,956</w:t>
      </w:r>
      <w:r>
        <w:rPr>
          <w:rFonts w:ascii="宋体" w:hAnsi="宋体" w:cs="宋体" w:eastAsia="宋体" w:hint="default"/>
          <w:spacing w:val="-53"/>
        </w:rPr>
        <w:t> </w:t>
      </w:r>
      <w:r>
        <w:rPr/>
        <w:t>元</w:t>
      </w:r>
      <w:r>
        <w:rPr>
          <w:rFonts w:ascii="宋体" w:hAnsi="宋体" w:cs="宋体" w:eastAsia="宋体" w:hint="default"/>
        </w:rPr>
        <w:t>)</w: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7"/>
          <w:szCs w:val="27"/>
        </w:rPr>
      </w:pPr>
    </w:p>
    <w:p>
      <w:pPr>
        <w:pStyle w:val="Heading3"/>
        <w:spacing w:line="240" w:lineRule="auto"/>
        <w:ind w:left="138" w:right="0"/>
        <w:jc w:val="left"/>
        <w:rPr>
          <w:b w:val="0"/>
          <w:bCs w:val="0"/>
        </w:rPr>
      </w:pPr>
      <w:r>
        <w:rPr>
          <w:rFonts w:ascii="宋体" w:hAnsi="宋体" w:cs="宋体" w:eastAsia="宋体" w:hint="default"/>
        </w:rPr>
        <w:t>5</w:t>
      </w:r>
      <w:r>
        <w:rPr/>
        <w:t>、</w:t>
      </w:r>
      <w:r>
        <w:rPr>
          <w:spacing w:val="2"/>
        </w:rPr>
        <w:t> </w:t>
      </w:r>
      <w:r>
        <w:rPr/>
        <w:t>其他</w:t>
      </w:r>
      <w:r>
        <w:rPr>
          <w:b w:val="0"/>
          <w:bCs w:val="0"/>
        </w:rPr>
      </w:r>
    </w:p>
    <w:p>
      <w:pPr>
        <w:pStyle w:val="BodyText"/>
        <w:tabs>
          <w:tab w:pos="980" w:val="left" w:leader="none"/>
        </w:tabs>
        <w:spacing w:line="240" w:lineRule="auto" w:before="56"/>
        <w:ind w:left="138" w:right="0"/>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tabs>
          <w:tab w:pos="977" w:val="left" w:leader="none"/>
        </w:tabs>
        <w:spacing w:line="290" w:lineRule="auto"/>
        <w:ind w:left="138" w:right="6808"/>
        <w:jc w:val="left"/>
        <w:rPr>
          <w:b w:val="0"/>
          <w:bCs w:val="0"/>
        </w:rPr>
      </w:pPr>
      <w:r>
        <w:rPr/>
        <w:t>十四、</w:t>
        <w:tab/>
        <w:t>承诺及或有事项</w:t>
      </w:r>
      <w:r>
        <w:rPr>
          <w:spacing w:val="-104"/>
        </w:rPr>
        <w:t> </w:t>
      </w:r>
      <w:r>
        <w:rPr>
          <w:spacing w:val="-104"/>
        </w:rPr>
      </w:r>
      <w:r>
        <w:rPr>
          <w:rFonts w:ascii="宋体" w:hAnsi="宋体" w:cs="宋体" w:eastAsia="宋体" w:hint="default"/>
        </w:rPr>
        <w:t>1</w:t>
      </w:r>
      <w:r>
        <w:rPr/>
        <w:t>、</w:t>
      </w:r>
      <w:r>
        <w:rPr>
          <w:spacing w:val="4"/>
        </w:rPr>
        <w:t> </w:t>
      </w:r>
      <w:r>
        <w:rPr/>
        <w:t>重要承诺事项</w:t>
      </w:r>
      <w:r>
        <w:rPr>
          <w:b w:val="0"/>
          <w:bCs w:val="0"/>
        </w:rPr>
      </w:r>
    </w:p>
    <w:p>
      <w:pPr>
        <w:pStyle w:val="BodyText"/>
        <w:spacing w:line="272" w:lineRule="exact" w:before="40"/>
        <w:ind w:left="138" w:right="3207"/>
        <w:jc w:val="left"/>
      </w:pPr>
      <w:r>
        <w:rPr/>
        <w:t>√适用</w:t>
      </w:r>
      <w:r>
        <w:rPr>
          <w:spacing w:val="-2"/>
        </w:rPr>
        <w:t> </w:t>
      </w:r>
      <w:r>
        <w:rPr/>
        <w:t>□不适用</w:t>
      </w:r>
      <w:r>
        <w:rPr>
          <w:w w:val="100"/>
        </w:rPr>
        <w:t> </w:t>
      </w:r>
      <w:r>
        <w:rPr>
          <w:spacing w:val="-2"/>
        </w:rPr>
        <w:t>资产负债表日存在的对外重要承诺、性质、金额</w:t>
      </w:r>
    </w:p>
    <w:p>
      <w:pPr>
        <w:spacing w:line="240" w:lineRule="auto" w:before="8"/>
        <w:rPr>
          <w:rFonts w:ascii="宋体" w:hAnsi="宋体" w:cs="宋体" w:eastAsia="宋体" w:hint="default"/>
          <w:sz w:val="21"/>
          <w:szCs w:val="21"/>
        </w:rPr>
      </w:pPr>
    </w:p>
    <w:tbl>
      <w:tblPr>
        <w:tblW w:w="0" w:type="auto"/>
        <w:jc w:val="left"/>
        <w:tblInd w:w="581" w:type="dxa"/>
        <w:tblLayout w:type="fixed"/>
        <w:tblCellMar>
          <w:top w:w="0" w:type="dxa"/>
          <w:left w:w="0" w:type="dxa"/>
          <w:bottom w:w="0" w:type="dxa"/>
          <w:right w:w="0" w:type="dxa"/>
        </w:tblCellMar>
        <w:tblLook w:val="01E0"/>
      </w:tblPr>
      <w:tblGrid>
        <w:gridCol w:w="3632"/>
        <w:gridCol w:w="2934"/>
        <w:gridCol w:w="2008"/>
      </w:tblGrid>
      <w:tr>
        <w:trPr>
          <w:trHeight w:val="230" w:hRule="exact"/>
        </w:trPr>
        <w:tc>
          <w:tcPr>
            <w:tcW w:w="3632" w:type="dxa"/>
            <w:tcBorders>
              <w:top w:val="nil" w:sz="6" w:space="0" w:color="auto"/>
              <w:left w:val="nil" w:sz="6" w:space="0" w:color="auto"/>
              <w:bottom w:val="nil" w:sz="6" w:space="0" w:color="auto"/>
              <w:right w:val="nil" w:sz="6" w:space="0" w:color="auto"/>
            </w:tcBorders>
          </w:tcPr>
          <w:p>
            <w:pPr/>
          </w:p>
        </w:tc>
        <w:tc>
          <w:tcPr>
            <w:tcW w:w="2934" w:type="dxa"/>
            <w:tcBorders>
              <w:top w:val="nil" w:sz="6" w:space="0" w:color="auto"/>
              <w:left w:val="nil" w:sz="6" w:space="0" w:color="auto"/>
              <w:bottom w:val="nil" w:sz="6" w:space="0" w:color="auto"/>
              <w:right w:val="nil" w:sz="6" w:space="0" w:color="auto"/>
            </w:tcBorders>
          </w:tcPr>
          <w:p>
            <w:pPr>
              <w:pStyle w:val="TableParagraph"/>
              <w:spacing w:line="199" w:lineRule="exact"/>
              <w:ind w:right="403"/>
              <w:jc w:val="right"/>
              <w:rPr>
                <w:rFonts w:ascii="宋体" w:hAnsi="宋体" w:cs="宋体" w:eastAsia="宋体" w:hint="default"/>
                <w:sz w:val="20"/>
                <w:szCs w:val="20"/>
              </w:rPr>
            </w:pPr>
            <w:r>
              <w:rPr>
                <w:rFonts w:ascii="宋体" w:hAnsi="宋体" w:cs="宋体" w:eastAsia="宋体" w:hint="default"/>
                <w:w w:val="95"/>
                <w:sz w:val="20"/>
                <w:szCs w:val="20"/>
              </w:rPr>
              <w:t>2017</w:t>
            </w:r>
            <w:r>
              <w:rPr>
                <w:rFonts w:ascii="宋体" w:hAnsi="宋体" w:cs="宋体" w:eastAsia="宋体" w:hint="default"/>
                <w:w w:val="95"/>
                <w:sz w:val="20"/>
                <w:szCs w:val="20"/>
              </w:rPr>
              <w:t>年</w:t>
            </w:r>
            <w:r>
              <w:rPr>
                <w:rFonts w:ascii="宋体" w:hAnsi="宋体" w:cs="宋体" w:eastAsia="宋体" w:hint="default"/>
                <w:w w:val="95"/>
                <w:sz w:val="20"/>
                <w:szCs w:val="20"/>
              </w:rPr>
              <w:t>12</w:t>
            </w:r>
            <w:r>
              <w:rPr>
                <w:rFonts w:ascii="宋体" w:hAnsi="宋体" w:cs="宋体" w:eastAsia="宋体" w:hint="default"/>
                <w:w w:val="95"/>
                <w:sz w:val="20"/>
                <w:szCs w:val="20"/>
              </w:rPr>
              <w:t>月</w:t>
            </w:r>
            <w:r>
              <w:rPr>
                <w:rFonts w:ascii="宋体" w:hAnsi="宋体" w:cs="宋体" w:eastAsia="宋体" w:hint="default"/>
                <w:w w:val="95"/>
                <w:sz w:val="20"/>
                <w:szCs w:val="20"/>
              </w:rPr>
              <w:t>31</w:t>
            </w:r>
            <w:r>
              <w:rPr>
                <w:rFonts w:ascii="宋体" w:hAnsi="宋体" w:cs="宋体" w:eastAsia="宋体" w:hint="default"/>
                <w:w w:val="95"/>
                <w:sz w:val="20"/>
                <w:szCs w:val="20"/>
              </w:rPr>
              <w:t>日</w:t>
            </w:r>
            <w:r>
              <w:rPr>
                <w:rFonts w:ascii="宋体" w:hAnsi="宋体" w:cs="宋体" w:eastAsia="宋体" w:hint="default"/>
                <w:sz w:val="20"/>
                <w:szCs w:val="20"/>
              </w:rPr>
            </w:r>
          </w:p>
        </w:tc>
        <w:tc>
          <w:tcPr>
            <w:tcW w:w="2008" w:type="dxa"/>
            <w:tcBorders>
              <w:top w:val="nil" w:sz="6" w:space="0" w:color="auto"/>
              <w:left w:val="nil" w:sz="6" w:space="0" w:color="auto"/>
              <w:bottom w:val="nil" w:sz="6" w:space="0" w:color="auto"/>
              <w:right w:val="nil" w:sz="6" w:space="0" w:color="auto"/>
            </w:tcBorders>
          </w:tcPr>
          <w:p>
            <w:pPr>
              <w:pStyle w:val="TableParagraph"/>
              <w:spacing w:line="199" w:lineRule="exact"/>
              <w:ind w:right="198"/>
              <w:jc w:val="right"/>
              <w:rPr>
                <w:rFonts w:ascii="宋体" w:hAnsi="宋体" w:cs="宋体" w:eastAsia="宋体" w:hint="default"/>
                <w:sz w:val="20"/>
                <w:szCs w:val="20"/>
              </w:rPr>
            </w:pPr>
            <w:r>
              <w:rPr>
                <w:rFonts w:ascii="宋体" w:hAnsi="宋体" w:cs="宋体" w:eastAsia="宋体" w:hint="default"/>
                <w:w w:val="95"/>
                <w:sz w:val="20"/>
                <w:szCs w:val="20"/>
              </w:rPr>
              <w:t>2016</w:t>
            </w:r>
            <w:r>
              <w:rPr>
                <w:rFonts w:ascii="宋体" w:hAnsi="宋体" w:cs="宋体" w:eastAsia="宋体" w:hint="default"/>
                <w:w w:val="95"/>
                <w:sz w:val="20"/>
                <w:szCs w:val="20"/>
              </w:rPr>
              <w:t>年</w:t>
            </w:r>
            <w:r>
              <w:rPr>
                <w:rFonts w:ascii="宋体" w:hAnsi="宋体" w:cs="宋体" w:eastAsia="宋体" w:hint="default"/>
                <w:w w:val="95"/>
                <w:sz w:val="20"/>
                <w:szCs w:val="20"/>
              </w:rPr>
              <w:t>12</w:t>
            </w:r>
            <w:r>
              <w:rPr>
                <w:rFonts w:ascii="宋体" w:hAnsi="宋体" w:cs="宋体" w:eastAsia="宋体" w:hint="default"/>
                <w:w w:val="95"/>
                <w:sz w:val="20"/>
                <w:szCs w:val="20"/>
              </w:rPr>
              <w:t>月</w:t>
            </w:r>
            <w:r>
              <w:rPr>
                <w:rFonts w:ascii="宋体" w:hAnsi="宋体" w:cs="宋体" w:eastAsia="宋体" w:hint="default"/>
                <w:w w:val="95"/>
                <w:sz w:val="20"/>
                <w:szCs w:val="20"/>
              </w:rPr>
              <w:t>31</w:t>
            </w:r>
            <w:r>
              <w:rPr>
                <w:rFonts w:ascii="宋体" w:hAnsi="宋体" w:cs="宋体" w:eastAsia="宋体" w:hint="default"/>
                <w:w w:val="95"/>
                <w:sz w:val="20"/>
                <w:szCs w:val="20"/>
              </w:rPr>
              <w:t>日</w:t>
            </w:r>
            <w:r>
              <w:rPr>
                <w:rFonts w:ascii="宋体" w:hAnsi="宋体" w:cs="宋体" w:eastAsia="宋体" w:hint="default"/>
                <w:sz w:val="20"/>
                <w:szCs w:val="20"/>
              </w:rPr>
            </w:r>
          </w:p>
        </w:tc>
      </w:tr>
      <w:tr>
        <w:trPr>
          <w:trHeight w:val="390" w:hRule="exact"/>
        </w:trPr>
        <w:tc>
          <w:tcPr>
            <w:tcW w:w="3632" w:type="dxa"/>
            <w:tcBorders>
              <w:top w:val="nil" w:sz="6" w:space="0" w:color="auto"/>
              <w:left w:val="nil" w:sz="6" w:space="0" w:color="auto"/>
              <w:bottom w:val="nil" w:sz="6" w:space="0" w:color="auto"/>
              <w:right w:val="nil" w:sz="6" w:space="0" w:color="auto"/>
            </w:tcBorders>
          </w:tcPr>
          <w:p>
            <w:pPr>
              <w:pStyle w:val="TableParagraph"/>
              <w:spacing w:line="231" w:lineRule="exact"/>
              <w:ind w:left="200" w:right="0"/>
              <w:jc w:val="left"/>
              <w:rPr>
                <w:rFonts w:ascii="宋体" w:hAnsi="宋体" w:cs="宋体" w:eastAsia="宋体" w:hint="default"/>
                <w:sz w:val="20"/>
                <w:szCs w:val="20"/>
              </w:rPr>
            </w:pPr>
            <w:r>
              <w:rPr>
                <w:rFonts w:ascii="宋体" w:hAnsi="宋体" w:cs="宋体" w:eastAsia="宋体" w:hint="default"/>
                <w:sz w:val="20"/>
                <w:szCs w:val="20"/>
              </w:rPr>
              <w:t>资本承诺</w:t>
            </w:r>
          </w:p>
        </w:tc>
        <w:tc>
          <w:tcPr>
            <w:tcW w:w="2934" w:type="dxa"/>
            <w:tcBorders>
              <w:top w:val="nil" w:sz="6" w:space="0" w:color="auto"/>
              <w:left w:val="nil" w:sz="6" w:space="0" w:color="auto"/>
              <w:bottom w:val="nil" w:sz="6" w:space="0" w:color="auto"/>
              <w:right w:val="nil" w:sz="6" w:space="0" w:color="auto"/>
            </w:tcBorders>
          </w:tcPr>
          <w:p>
            <w:pPr/>
          </w:p>
        </w:tc>
        <w:tc>
          <w:tcPr>
            <w:tcW w:w="2008" w:type="dxa"/>
            <w:tcBorders>
              <w:top w:val="nil" w:sz="6" w:space="0" w:color="auto"/>
              <w:left w:val="nil" w:sz="6" w:space="0" w:color="auto"/>
              <w:bottom w:val="nil" w:sz="6" w:space="0" w:color="auto"/>
              <w:right w:val="nil" w:sz="6" w:space="0" w:color="auto"/>
            </w:tcBorders>
          </w:tcPr>
          <w:p>
            <w:pPr/>
          </w:p>
        </w:tc>
      </w:tr>
      <w:tr>
        <w:trPr>
          <w:trHeight w:val="359" w:hRule="exact"/>
        </w:trPr>
        <w:tc>
          <w:tcPr>
            <w:tcW w:w="3632" w:type="dxa"/>
            <w:tcBorders>
              <w:top w:val="nil" w:sz="6" w:space="0" w:color="auto"/>
              <w:left w:val="nil" w:sz="6" w:space="0" w:color="auto"/>
              <w:bottom w:val="nil" w:sz="6" w:space="0" w:color="auto"/>
              <w:right w:val="nil" w:sz="6" w:space="0" w:color="auto"/>
            </w:tcBorders>
          </w:tcPr>
          <w:p>
            <w:pPr>
              <w:pStyle w:val="TableParagraph"/>
              <w:spacing w:line="240" w:lineRule="auto" w:before="97"/>
              <w:ind w:left="204" w:right="0"/>
              <w:jc w:val="left"/>
              <w:rPr>
                <w:rFonts w:ascii="宋体" w:hAnsi="宋体" w:cs="宋体" w:eastAsia="宋体" w:hint="default"/>
                <w:sz w:val="20"/>
                <w:szCs w:val="20"/>
              </w:rPr>
            </w:pPr>
            <w:r>
              <w:rPr>
                <w:rFonts w:ascii="宋体" w:hAnsi="宋体" w:cs="宋体" w:eastAsia="宋体" w:hint="default"/>
                <w:sz w:val="20"/>
                <w:szCs w:val="20"/>
              </w:rPr>
              <w:t>已签约但未拨备</w:t>
            </w:r>
            <w:r>
              <w:rPr>
                <w:rFonts w:ascii="宋体" w:hAnsi="宋体" w:cs="宋体" w:eastAsia="宋体" w:hint="default"/>
                <w:spacing w:val="-2"/>
                <w:sz w:val="20"/>
                <w:szCs w:val="20"/>
              </w:rPr>
              <w:t> </w:t>
            </w:r>
            <w:r>
              <w:rPr>
                <w:rFonts w:ascii="宋体" w:hAnsi="宋体" w:cs="宋体" w:eastAsia="宋体" w:hint="default"/>
                <w:sz w:val="20"/>
                <w:szCs w:val="20"/>
              </w:rPr>
              <w:t>(</w:t>
            </w:r>
            <w:r>
              <w:rPr>
                <w:rFonts w:ascii="宋体" w:hAnsi="宋体" w:cs="宋体" w:eastAsia="宋体" w:hint="default"/>
                <w:sz w:val="20"/>
                <w:szCs w:val="20"/>
              </w:rPr>
              <w:t>注</w:t>
            </w:r>
            <w:r>
              <w:rPr>
                <w:rFonts w:ascii="宋体" w:hAnsi="宋体" w:cs="宋体" w:eastAsia="宋体" w:hint="default"/>
                <w:sz w:val="20"/>
                <w:szCs w:val="20"/>
              </w:rPr>
              <w:t>1)</w:t>
            </w:r>
          </w:p>
        </w:tc>
        <w:tc>
          <w:tcPr>
            <w:tcW w:w="293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06"/>
              <w:jc w:val="right"/>
              <w:rPr>
                <w:rFonts w:ascii="宋体" w:hAnsi="宋体" w:cs="宋体" w:eastAsia="宋体" w:hint="default"/>
                <w:sz w:val="20"/>
                <w:szCs w:val="20"/>
              </w:rPr>
            </w:pPr>
            <w:r>
              <w:rPr>
                <w:rFonts w:ascii="宋体"/>
                <w:w w:val="99"/>
                <w:sz w:val="20"/>
              </w:rPr>
            </w:r>
            <w:r>
              <w:rPr>
                <w:rFonts w:ascii="宋体"/>
                <w:w w:val="95"/>
                <w:sz w:val="20"/>
                <w:u w:val="thick" w:color="000000"/>
              </w:rPr>
              <w:t>376,784,831</w:t>
            </w:r>
            <w:r>
              <w:rPr>
                <w:rFonts w:ascii="宋体"/>
                <w:w w:val="95"/>
                <w:sz w:val="20"/>
              </w:rPr>
            </w:r>
            <w:r>
              <w:rPr>
                <w:rFonts w:ascii="宋体"/>
                <w:sz w:val="20"/>
              </w:rPr>
            </w:r>
          </w:p>
        </w:tc>
        <w:tc>
          <w:tcPr>
            <w:tcW w:w="200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00"/>
              <w:jc w:val="right"/>
              <w:rPr>
                <w:rFonts w:ascii="宋体" w:hAnsi="宋体" w:cs="宋体" w:eastAsia="宋体" w:hint="default"/>
                <w:sz w:val="20"/>
                <w:szCs w:val="20"/>
              </w:rPr>
            </w:pPr>
            <w:r>
              <w:rPr>
                <w:rFonts w:ascii="宋体"/>
                <w:w w:val="99"/>
                <w:sz w:val="20"/>
              </w:rPr>
            </w:r>
            <w:r>
              <w:rPr>
                <w:rFonts w:ascii="宋体"/>
                <w:w w:val="95"/>
                <w:sz w:val="20"/>
                <w:u w:val="thick" w:color="000000"/>
              </w:rPr>
              <w:t>511,127,944</w:t>
            </w:r>
            <w:r>
              <w:rPr>
                <w:rFonts w:ascii="宋体"/>
                <w:w w:val="95"/>
                <w:sz w:val="20"/>
              </w:rPr>
            </w:r>
            <w:r>
              <w:rPr>
                <w:rFonts w:ascii="宋体"/>
                <w:sz w:val="20"/>
              </w:rPr>
            </w:r>
          </w:p>
        </w:tc>
      </w:tr>
    </w:tbl>
    <w:p>
      <w:pPr>
        <w:spacing w:line="240" w:lineRule="auto" w:before="13"/>
        <w:rPr>
          <w:rFonts w:ascii="宋体" w:hAnsi="宋体" w:cs="宋体" w:eastAsia="宋体" w:hint="default"/>
          <w:sz w:val="17"/>
          <w:szCs w:val="17"/>
        </w:rPr>
      </w:pPr>
    </w:p>
    <w:p>
      <w:pPr>
        <w:pStyle w:val="BodyText"/>
        <w:spacing w:line="237" w:lineRule="auto" w:before="38"/>
        <w:ind w:left="138" w:right="288"/>
        <w:jc w:val="both"/>
      </w:pPr>
      <w:r>
        <w:rPr/>
        <w:t>注</w:t>
      </w:r>
      <w:r>
        <w:rPr>
          <w:spacing w:val="6"/>
        </w:rPr>
        <w:t> </w:t>
      </w:r>
      <w:r>
        <w:rPr>
          <w:rFonts w:ascii="宋体" w:hAnsi="宋体" w:cs="宋体" w:eastAsia="宋体" w:hint="default"/>
        </w:rPr>
        <w:t>1</w:t>
      </w:r>
      <w:r>
        <w:rPr/>
        <w:t>：本集团与中建三局集团有限公司、中国建筑第五局有限公司、泛华建设集团有限公司和铭</w:t>
      </w:r>
      <w:r>
        <w:rPr>
          <w:w w:val="100"/>
        </w:rPr>
        <w:t> </w:t>
      </w:r>
      <w:r>
        <w:rPr>
          <w:spacing w:val="-1"/>
        </w:rPr>
        <w:t>基电子技术</w:t>
      </w:r>
      <w:r>
        <w:rPr>
          <w:rFonts w:ascii="宋体" w:hAnsi="宋体" w:cs="宋体" w:eastAsia="宋体" w:hint="default"/>
          <w:spacing w:val="-1"/>
        </w:rPr>
        <w:t>(</w:t>
      </w:r>
      <w:r>
        <w:rPr>
          <w:spacing w:val="-1"/>
        </w:rPr>
        <w:t>北京</w:t>
      </w:r>
      <w:r>
        <w:rPr>
          <w:rFonts w:ascii="宋体" w:hAnsi="宋体" w:cs="宋体" w:eastAsia="宋体" w:hint="default"/>
          <w:spacing w:val="-1"/>
        </w:rPr>
        <w:t>)</w:t>
      </w:r>
      <w:r>
        <w:rPr>
          <w:spacing w:val="-1"/>
        </w:rPr>
        <w:t>有限公司等签订的与用友软件园一期二期工程施工、工程设计相关合同，共计</w:t>
      </w:r>
      <w:r>
        <w:rPr>
          <w:spacing w:val="-55"/>
        </w:rPr>
        <w:t> </w:t>
      </w:r>
      <w:r>
        <w:rPr>
          <w:spacing w:val="-55"/>
        </w:rPr>
      </w:r>
      <w:r>
        <w:rPr>
          <w:rFonts w:ascii="宋体" w:hAnsi="宋体" w:cs="宋体" w:eastAsia="宋体" w:hint="default"/>
        </w:rPr>
        <w:t>1,789,370,757</w:t>
      </w:r>
      <w:r>
        <w:rPr>
          <w:rFonts w:ascii="宋体" w:hAnsi="宋体" w:cs="宋体" w:eastAsia="宋体" w:hint="default"/>
          <w:spacing w:val="-55"/>
        </w:rPr>
        <w:t> </w:t>
      </w:r>
      <w:r>
        <w:rPr/>
        <w:t>元，已支付</w:t>
      </w:r>
      <w:r>
        <w:rPr>
          <w:spacing w:val="-52"/>
        </w:rPr>
        <w:t> </w:t>
      </w:r>
      <w:r>
        <w:rPr>
          <w:rFonts w:ascii="宋体" w:hAnsi="宋体" w:cs="宋体" w:eastAsia="宋体" w:hint="default"/>
        </w:rPr>
        <w:t>1,723,321,015</w:t>
      </w:r>
      <w:r>
        <w:rPr>
          <w:rFonts w:ascii="宋体" w:hAnsi="宋体" w:cs="宋体" w:eastAsia="宋体" w:hint="default"/>
          <w:spacing w:val="-53"/>
        </w:rPr>
        <w:t> </w:t>
      </w:r>
      <w:r>
        <w:rPr/>
        <w:t>元，资本承诺共计</w:t>
      </w:r>
      <w:r>
        <w:rPr>
          <w:spacing w:val="-53"/>
        </w:rPr>
        <w:t> </w:t>
      </w:r>
      <w:r>
        <w:rPr>
          <w:rFonts w:ascii="宋体" w:hAnsi="宋体" w:cs="宋体" w:eastAsia="宋体" w:hint="default"/>
        </w:rPr>
        <w:t>66,049,742</w:t>
      </w:r>
      <w:r>
        <w:rPr>
          <w:rFonts w:ascii="宋体" w:hAnsi="宋体" w:cs="宋体" w:eastAsia="宋体" w:hint="default"/>
          <w:spacing w:val="-55"/>
        </w:rPr>
        <w:t> </w:t>
      </w:r>
      <w:r>
        <w:rPr>
          <w:spacing w:val="-3"/>
        </w:rPr>
        <w:t>元。</w:t>
      </w:r>
      <w:r>
        <w:rPr/>
      </w:r>
    </w:p>
    <w:p>
      <w:pPr>
        <w:spacing w:line="240" w:lineRule="auto" w:before="11"/>
        <w:rPr>
          <w:rFonts w:ascii="宋体" w:hAnsi="宋体" w:cs="宋体" w:eastAsia="宋体" w:hint="default"/>
          <w:sz w:val="20"/>
          <w:szCs w:val="20"/>
        </w:rPr>
      </w:pPr>
    </w:p>
    <w:p>
      <w:pPr>
        <w:pStyle w:val="BodyText"/>
        <w:spacing w:line="237" w:lineRule="auto"/>
        <w:ind w:left="138" w:right="0"/>
        <w:jc w:val="left"/>
      </w:pPr>
      <w:r>
        <w:rPr/>
        <w:t>本集团与中铁建设集团有限公司、江西建工第一建筑有限责任公司、北京华清元泰新能源技术开</w:t>
      </w:r>
      <w:r>
        <w:rPr>
          <w:spacing w:val="-97"/>
        </w:rPr>
        <w:t> </w:t>
      </w:r>
      <w:r>
        <w:rPr>
          <w:spacing w:val="-97"/>
        </w:rPr>
      </w:r>
      <w:r>
        <w:rPr>
          <w:spacing w:val="-4"/>
          <w:w w:val="100"/>
        </w:rPr>
        <w:t>发有限公司和八冶建设集团有限公司等签订的与用友</w:t>
      </w:r>
      <w:r>
        <w:rPr>
          <w:rFonts w:ascii="宋体" w:hAnsi="宋体" w:cs="宋体" w:eastAsia="宋体" w:hint="default"/>
          <w:spacing w:val="-4"/>
          <w:w w:val="100"/>
        </w:rPr>
        <w:t>(</w:t>
      </w:r>
      <w:r>
        <w:rPr>
          <w:spacing w:val="-4"/>
          <w:w w:val="100"/>
        </w:rPr>
        <w:t>南昌</w:t>
      </w:r>
      <w:r>
        <w:rPr>
          <w:rFonts w:ascii="宋体" w:hAnsi="宋体" w:cs="宋体" w:eastAsia="宋体" w:hint="default"/>
          <w:spacing w:val="-4"/>
          <w:w w:val="100"/>
        </w:rPr>
        <w:t>)</w:t>
      </w:r>
      <w:r>
        <w:rPr>
          <w:spacing w:val="-4"/>
          <w:w w:val="100"/>
        </w:rPr>
        <w:t>产业园工程施工、工程设计相关合同，</w:t>
      </w:r>
      <w:r>
        <w:rPr>
          <w:spacing w:val="-81"/>
          <w:w w:val="100"/>
        </w:rPr>
        <w:t> </w:t>
      </w:r>
      <w:r>
        <w:rPr>
          <w:spacing w:val="-81"/>
          <w:w w:val="100"/>
        </w:rPr>
      </w:r>
      <w:r>
        <w:rPr/>
        <w:t>共计</w:t>
      </w:r>
      <w:r>
        <w:rPr>
          <w:spacing w:val="-54"/>
        </w:rPr>
        <w:t> </w:t>
      </w:r>
      <w:r>
        <w:rPr>
          <w:rFonts w:ascii="宋体" w:hAnsi="宋体" w:cs="宋体" w:eastAsia="宋体" w:hint="default"/>
        </w:rPr>
        <w:t>669,143,287</w:t>
      </w:r>
      <w:r>
        <w:rPr>
          <w:rFonts w:ascii="宋体" w:hAnsi="宋体" w:cs="宋体" w:eastAsia="宋体" w:hint="default"/>
          <w:spacing w:val="-54"/>
        </w:rPr>
        <w:t> </w:t>
      </w:r>
      <w:r>
        <w:rPr/>
        <w:t>元，已支付</w:t>
      </w:r>
      <w:r>
        <w:rPr>
          <w:spacing w:val="-53"/>
        </w:rPr>
        <w:t> </w:t>
      </w:r>
      <w:r>
        <w:rPr>
          <w:rFonts w:ascii="宋体" w:hAnsi="宋体" w:cs="宋体" w:eastAsia="宋体" w:hint="default"/>
        </w:rPr>
        <w:t>449,091,512</w:t>
      </w:r>
      <w:r>
        <w:rPr>
          <w:rFonts w:ascii="宋体" w:hAnsi="宋体" w:cs="宋体" w:eastAsia="宋体" w:hint="default"/>
          <w:spacing w:val="-54"/>
        </w:rPr>
        <w:t> </w:t>
      </w:r>
      <w:r>
        <w:rPr/>
        <w:t>元，资本承诺共计</w:t>
      </w:r>
      <w:r>
        <w:rPr>
          <w:spacing w:val="-54"/>
        </w:rPr>
        <w:t> </w:t>
      </w:r>
      <w:r>
        <w:rPr>
          <w:rFonts w:ascii="宋体" w:hAnsi="宋体" w:cs="宋体" w:eastAsia="宋体" w:hint="default"/>
        </w:rPr>
        <w:t>220,051,775</w:t>
      </w:r>
      <w:r>
        <w:rPr>
          <w:rFonts w:ascii="宋体" w:hAnsi="宋体" w:cs="宋体" w:eastAsia="宋体" w:hint="default"/>
          <w:spacing w:val="-56"/>
        </w:rPr>
        <w:t> </w:t>
      </w:r>
      <w:r>
        <w:rPr/>
        <w:t>元。</w:t>
      </w:r>
    </w:p>
    <w:p>
      <w:pPr>
        <w:spacing w:line="240" w:lineRule="auto" w:before="12"/>
        <w:rPr>
          <w:rFonts w:ascii="宋体" w:hAnsi="宋体" w:cs="宋体" w:eastAsia="宋体" w:hint="default"/>
          <w:sz w:val="19"/>
          <w:szCs w:val="19"/>
        </w:rPr>
      </w:pPr>
    </w:p>
    <w:p>
      <w:pPr>
        <w:pStyle w:val="BodyText"/>
        <w:spacing w:line="237" w:lineRule="auto"/>
        <w:ind w:left="138" w:right="288"/>
        <w:jc w:val="both"/>
      </w:pPr>
      <w:r>
        <w:rPr>
          <w:spacing w:val="-1"/>
        </w:rPr>
        <w:t>本集团与武汉岸房建筑工程有限公司、三来亿博房地产顾问有限公司、上海朴利建筑规划设计有</w:t>
      </w:r>
      <w:r>
        <w:rPr>
          <w:spacing w:val="-55"/>
        </w:rPr>
        <w:t> </w:t>
      </w:r>
      <w:r>
        <w:rPr>
          <w:spacing w:val="-55"/>
        </w:rPr>
      </w:r>
      <w:r>
        <w:rPr>
          <w:spacing w:val="19"/>
        </w:rPr>
        <w:t>限公司等签订的与三亚用友产业园工程设计等相关合同，</w:t>
      </w:r>
      <w:r>
        <w:rPr>
          <w:spacing w:val="-79"/>
        </w:rPr>
        <w:t> </w:t>
      </w:r>
      <w:r>
        <w:rPr>
          <w:spacing w:val="11"/>
        </w:rPr>
        <w:t>共计</w:t>
      </w:r>
      <w:r>
        <w:rPr>
          <w:spacing w:val="62"/>
        </w:rPr>
        <w:t> </w:t>
      </w:r>
      <w:r>
        <w:rPr>
          <w:rFonts w:ascii="宋体" w:hAnsi="宋体" w:cs="宋体" w:eastAsia="宋体" w:hint="default"/>
        </w:rPr>
        <w:t>214,486,446</w:t>
      </w:r>
      <w:r>
        <w:rPr>
          <w:rFonts w:ascii="宋体" w:hAnsi="宋体" w:cs="宋体" w:eastAsia="宋体" w:hint="default"/>
          <w:spacing w:val="53"/>
        </w:rPr>
        <w:t> </w:t>
      </w:r>
      <w:r>
        <w:rPr>
          <w:spacing w:val="10"/>
        </w:rPr>
        <w:t>元，</w:t>
      </w:r>
      <w:r>
        <w:rPr>
          <w:spacing w:val="-79"/>
        </w:rPr>
        <w:t> </w:t>
      </w:r>
      <w:r>
        <w:rPr>
          <w:spacing w:val="14"/>
        </w:rPr>
        <w:t>已支付</w:t>
      </w:r>
      <w:r>
        <w:rPr>
          <w:spacing w:val="-99"/>
        </w:rPr>
        <w:t> </w:t>
      </w:r>
      <w:r>
        <w:rPr>
          <w:spacing w:val="-99"/>
        </w:rPr>
      </w:r>
      <w:r>
        <w:rPr>
          <w:rFonts w:ascii="宋体" w:hAnsi="宋体" w:cs="宋体" w:eastAsia="宋体" w:hint="default"/>
        </w:rPr>
        <w:t>123,803,132</w:t>
      </w:r>
      <w:r>
        <w:rPr>
          <w:rFonts w:ascii="宋体" w:hAnsi="宋体" w:cs="宋体" w:eastAsia="宋体" w:hint="default"/>
          <w:spacing w:val="-54"/>
        </w:rPr>
        <w:t> </w:t>
      </w:r>
      <w:r>
        <w:rPr/>
        <w:t>元，资本承诺共计</w:t>
      </w:r>
      <w:r>
        <w:rPr>
          <w:spacing w:val="-53"/>
        </w:rPr>
        <w:t> </w:t>
      </w:r>
      <w:r>
        <w:rPr>
          <w:rFonts w:ascii="宋体" w:hAnsi="宋体" w:cs="宋体" w:eastAsia="宋体" w:hint="default"/>
        </w:rPr>
        <w:t>90,683,314</w:t>
      </w:r>
      <w:r>
        <w:rPr>
          <w:rFonts w:ascii="宋体" w:hAnsi="宋体" w:cs="宋体" w:eastAsia="宋体" w:hint="default"/>
          <w:spacing w:val="-56"/>
        </w:rPr>
        <w:t> </w:t>
      </w:r>
      <w:r>
        <w:rPr/>
        <w:t>元。</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0"/>
          <w:szCs w:val="20"/>
        </w:rPr>
      </w:pPr>
    </w:p>
    <w:tbl>
      <w:tblPr>
        <w:tblW w:w="0" w:type="auto"/>
        <w:jc w:val="left"/>
        <w:tblInd w:w="655" w:type="dxa"/>
        <w:tblLayout w:type="fixed"/>
        <w:tblCellMar>
          <w:top w:w="0" w:type="dxa"/>
          <w:left w:w="0" w:type="dxa"/>
          <w:bottom w:w="0" w:type="dxa"/>
          <w:right w:w="0" w:type="dxa"/>
        </w:tblCellMar>
        <w:tblLook w:val="01E0"/>
      </w:tblPr>
      <w:tblGrid>
        <w:gridCol w:w="3592"/>
        <w:gridCol w:w="2728"/>
        <w:gridCol w:w="2141"/>
      </w:tblGrid>
      <w:tr>
        <w:trPr>
          <w:trHeight w:val="230" w:hRule="exact"/>
        </w:trPr>
        <w:tc>
          <w:tcPr>
            <w:tcW w:w="3592" w:type="dxa"/>
            <w:tcBorders>
              <w:top w:val="nil" w:sz="6" w:space="0" w:color="auto"/>
              <w:left w:val="nil" w:sz="6" w:space="0" w:color="auto"/>
              <w:bottom w:val="nil" w:sz="6" w:space="0" w:color="auto"/>
              <w:right w:val="nil" w:sz="6" w:space="0" w:color="auto"/>
            </w:tcBorders>
          </w:tcPr>
          <w:p>
            <w:pPr/>
          </w:p>
        </w:tc>
        <w:tc>
          <w:tcPr>
            <w:tcW w:w="2728" w:type="dxa"/>
            <w:tcBorders>
              <w:top w:val="nil" w:sz="6" w:space="0" w:color="auto"/>
              <w:left w:val="nil" w:sz="6" w:space="0" w:color="auto"/>
              <w:bottom w:val="nil" w:sz="6" w:space="0" w:color="auto"/>
              <w:right w:val="nil" w:sz="6" w:space="0" w:color="auto"/>
            </w:tcBorders>
          </w:tcPr>
          <w:p>
            <w:pPr>
              <w:pStyle w:val="TableParagraph"/>
              <w:spacing w:line="199" w:lineRule="exact"/>
              <w:ind w:right="537"/>
              <w:jc w:val="right"/>
              <w:rPr>
                <w:rFonts w:ascii="宋体" w:hAnsi="宋体" w:cs="宋体" w:eastAsia="宋体" w:hint="default"/>
                <w:sz w:val="20"/>
                <w:szCs w:val="20"/>
              </w:rPr>
            </w:pPr>
            <w:r>
              <w:rPr>
                <w:rFonts w:ascii="宋体" w:hAnsi="宋体" w:cs="宋体" w:eastAsia="宋体" w:hint="default"/>
                <w:w w:val="95"/>
                <w:sz w:val="20"/>
                <w:szCs w:val="20"/>
              </w:rPr>
              <w:t>2017</w:t>
            </w:r>
            <w:r>
              <w:rPr>
                <w:rFonts w:ascii="宋体" w:hAnsi="宋体" w:cs="宋体" w:eastAsia="宋体" w:hint="default"/>
                <w:w w:val="95"/>
                <w:sz w:val="20"/>
                <w:szCs w:val="20"/>
              </w:rPr>
              <w:t>年</w:t>
            </w:r>
            <w:r>
              <w:rPr>
                <w:rFonts w:ascii="宋体" w:hAnsi="宋体" w:cs="宋体" w:eastAsia="宋体" w:hint="default"/>
                <w:w w:val="95"/>
                <w:sz w:val="20"/>
                <w:szCs w:val="20"/>
              </w:rPr>
              <w:t>12</w:t>
            </w:r>
            <w:r>
              <w:rPr>
                <w:rFonts w:ascii="宋体" w:hAnsi="宋体" w:cs="宋体" w:eastAsia="宋体" w:hint="default"/>
                <w:w w:val="95"/>
                <w:sz w:val="20"/>
                <w:szCs w:val="20"/>
              </w:rPr>
              <w:t>月</w:t>
            </w:r>
            <w:r>
              <w:rPr>
                <w:rFonts w:ascii="宋体" w:hAnsi="宋体" w:cs="宋体" w:eastAsia="宋体" w:hint="default"/>
                <w:w w:val="95"/>
                <w:sz w:val="20"/>
                <w:szCs w:val="20"/>
              </w:rPr>
              <w:t>31</w:t>
            </w:r>
            <w:r>
              <w:rPr>
                <w:rFonts w:ascii="宋体" w:hAnsi="宋体" w:cs="宋体" w:eastAsia="宋体" w:hint="default"/>
                <w:w w:val="95"/>
                <w:sz w:val="20"/>
                <w:szCs w:val="20"/>
              </w:rPr>
              <w:t>日</w:t>
            </w:r>
            <w:r>
              <w:rPr>
                <w:rFonts w:ascii="宋体" w:hAnsi="宋体" w:cs="宋体" w:eastAsia="宋体" w:hint="default"/>
                <w:sz w:val="20"/>
                <w:szCs w:val="20"/>
              </w:rPr>
            </w:r>
          </w:p>
        </w:tc>
        <w:tc>
          <w:tcPr>
            <w:tcW w:w="2141" w:type="dxa"/>
            <w:tcBorders>
              <w:top w:val="nil" w:sz="6" w:space="0" w:color="auto"/>
              <w:left w:val="nil" w:sz="6" w:space="0" w:color="auto"/>
              <w:bottom w:val="nil" w:sz="6" w:space="0" w:color="auto"/>
              <w:right w:val="nil" w:sz="6" w:space="0" w:color="auto"/>
            </w:tcBorders>
          </w:tcPr>
          <w:p>
            <w:pPr>
              <w:pStyle w:val="TableParagraph"/>
              <w:spacing w:line="199" w:lineRule="exact"/>
              <w:ind w:right="198"/>
              <w:jc w:val="right"/>
              <w:rPr>
                <w:rFonts w:ascii="宋体" w:hAnsi="宋体" w:cs="宋体" w:eastAsia="宋体" w:hint="default"/>
                <w:sz w:val="20"/>
                <w:szCs w:val="20"/>
              </w:rPr>
            </w:pPr>
            <w:r>
              <w:rPr>
                <w:rFonts w:ascii="宋体" w:hAnsi="宋体" w:cs="宋体" w:eastAsia="宋体" w:hint="default"/>
                <w:w w:val="95"/>
                <w:sz w:val="20"/>
                <w:szCs w:val="20"/>
              </w:rPr>
              <w:t>2016</w:t>
            </w:r>
            <w:r>
              <w:rPr>
                <w:rFonts w:ascii="宋体" w:hAnsi="宋体" w:cs="宋体" w:eastAsia="宋体" w:hint="default"/>
                <w:w w:val="95"/>
                <w:sz w:val="20"/>
                <w:szCs w:val="20"/>
              </w:rPr>
              <w:t>年</w:t>
            </w:r>
            <w:r>
              <w:rPr>
                <w:rFonts w:ascii="宋体" w:hAnsi="宋体" w:cs="宋体" w:eastAsia="宋体" w:hint="default"/>
                <w:w w:val="95"/>
                <w:sz w:val="20"/>
                <w:szCs w:val="20"/>
              </w:rPr>
              <w:t>12</w:t>
            </w:r>
            <w:r>
              <w:rPr>
                <w:rFonts w:ascii="宋体" w:hAnsi="宋体" w:cs="宋体" w:eastAsia="宋体" w:hint="default"/>
                <w:w w:val="95"/>
                <w:sz w:val="20"/>
                <w:szCs w:val="20"/>
              </w:rPr>
              <w:t>月</w:t>
            </w:r>
            <w:r>
              <w:rPr>
                <w:rFonts w:ascii="宋体" w:hAnsi="宋体" w:cs="宋体" w:eastAsia="宋体" w:hint="default"/>
                <w:w w:val="95"/>
                <w:sz w:val="20"/>
                <w:szCs w:val="20"/>
              </w:rPr>
              <w:t>31</w:t>
            </w:r>
            <w:r>
              <w:rPr>
                <w:rFonts w:ascii="宋体" w:hAnsi="宋体" w:cs="宋体" w:eastAsia="宋体" w:hint="default"/>
                <w:w w:val="95"/>
                <w:sz w:val="20"/>
                <w:szCs w:val="20"/>
              </w:rPr>
              <w:t>日</w:t>
            </w:r>
            <w:r>
              <w:rPr>
                <w:rFonts w:ascii="宋体" w:hAnsi="宋体" w:cs="宋体" w:eastAsia="宋体" w:hint="default"/>
                <w:sz w:val="20"/>
                <w:szCs w:val="20"/>
              </w:rPr>
            </w:r>
          </w:p>
        </w:tc>
      </w:tr>
      <w:tr>
        <w:trPr>
          <w:trHeight w:val="390" w:hRule="exact"/>
        </w:trPr>
        <w:tc>
          <w:tcPr>
            <w:tcW w:w="3592" w:type="dxa"/>
            <w:tcBorders>
              <w:top w:val="nil" w:sz="6" w:space="0" w:color="auto"/>
              <w:left w:val="nil" w:sz="6" w:space="0" w:color="auto"/>
              <w:bottom w:val="nil" w:sz="6" w:space="0" w:color="auto"/>
              <w:right w:val="nil" w:sz="6" w:space="0" w:color="auto"/>
            </w:tcBorders>
          </w:tcPr>
          <w:p>
            <w:pPr>
              <w:pStyle w:val="TableParagraph"/>
              <w:spacing w:line="231" w:lineRule="exact"/>
              <w:ind w:left="200" w:right="0"/>
              <w:jc w:val="left"/>
              <w:rPr>
                <w:rFonts w:ascii="宋体" w:hAnsi="宋体" w:cs="宋体" w:eastAsia="宋体" w:hint="default"/>
                <w:sz w:val="20"/>
                <w:szCs w:val="20"/>
              </w:rPr>
            </w:pPr>
            <w:r>
              <w:rPr>
                <w:rFonts w:ascii="宋体" w:hAnsi="宋体" w:cs="宋体" w:eastAsia="宋体" w:hint="default"/>
                <w:sz w:val="20"/>
                <w:szCs w:val="20"/>
              </w:rPr>
              <w:t>投资承诺</w:t>
            </w:r>
          </w:p>
        </w:tc>
        <w:tc>
          <w:tcPr>
            <w:tcW w:w="2728" w:type="dxa"/>
            <w:tcBorders>
              <w:top w:val="nil" w:sz="6" w:space="0" w:color="auto"/>
              <w:left w:val="nil" w:sz="6" w:space="0" w:color="auto"/>
              <w:bottom w:val="nil" w:sz="6" w:space="0" w:color="auto"/>
              <w:right w:val="nil" w:sz="6" w:space="0" w:color="auto"/>
            </w:tcBorders>
          </w:tcPr>
          <w:p>
            <w:pPr/>
          </w:p>
        </w:tc>
        <w:tc>
          <w:tcPr>
            <w:tcW w:w="2141" w:type="dxa"/>
            <w:tcBorders>
              <w:top w:val="nil" w:sz="6" w:space="0" w:color="auto"/>
              <w:left w:val="nil" w:sz="6" w:space="0" w:color="auto"/>
              <w:bottom w:val="nil" w:sz="6" w:space="0" w:color="auto"/>
              <w:right w:val="nil" w:sz="6" w:space="0" w:color="auto"/>
            </w:tcBorders>
          </w:tcPr>
          <w:p>
            <w:pPr/>
          </w:p>
        </w:tc>
      </w:tr>
      <w:tr>
        <w:trPr>
          <w:trHeight w:val="390" w:hRule="exact"/>
        </w:trPr>
        <w:tc>
          <w:tcPr>
            <w:tcW w:w="3592" w:type="dxa"/>
            <w:tcBorders>
              <w:top w:val="nil" w:sz="6" w:space="0" w:color="auto"/>
              <w:left w:val="nil" w:sz="6" w:space="0" w:color="auto"/>
              <w:bottom w:val="nil" w:sz="6" w:space="0" w:color="auto"/>
              <w:right w:val="nil" w:sz="6" w:space="0" w:color="auto"/>
            </w:tcBorders>
          </w:tcPr>
          <w:p>
            <w:pPr>
              <w:pStyle w:val="TableParagraph"/>
              <w:spacing w:line="240" w:lineRule="auto" w:before="97"/>
              <w:ind w:left="204" w:right="0"/>
              <w:jc w:val="left"/>
              <w:rPr>
                <w:rFonts w:ascii="宋体" w:hAnsi="宋体" w:cs="宋体" w:eastAsia="宋体" w:hint="default"/>
                <w:sz w:val="20"/>
                <w:szCs w:val="20"/>
              </w:rPr>
            </w:pPr>
            <w:r>
              <w:rPr>
                <w:rFonts w:ascii="宋体" w:hAnsi="宋体" w:cs="宋体" w:eastAsia="宋体" w:hint="default"/>
                <w:sz w:val="20"/>
                <w:szCs w:val="20"/>
              </w:rPr>
              <w:t>已被董事会批准但未签约</w:t>
            </w:r>
          </w:p>
        </w:tc>
        <w:tc>
          <w:tcPr>
            <w:tcW w:w="2728" w:type="dxa"/>
            <w:tcBorders>
              <w:top w:val="nil" w:sz="6" w:space="0" w:color="auto"/>
              <w:left w:val="nil" w:sz="6" w:space="0" w:color="auto"/>
              <w:bottom w:val="nil" w:sz="6" w:space="0" w:color="auto"/>
              <w:right w:val="nil" w:sz="6" w:space="0" w:color="auto"/>
            </w:tcBorders>
          </w:tcPr>
          <w:p>
            <w:pP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00"/>
              <w:jc w:val="right"/>
              <w:rPr>
                <w:rFonts w:ascii="宋体" w:hAnsi="宋体" w:cs="宋体" w:eastAsia="宋体" w:hint="default"/>
                <w:sz w:val="20"/>
                <w:szCs w:val="20"/>
              </w:rPr>
            </w:pPr>
            <w:r>
              <w:rPr>
                <w:rFonts w:ascii="宋体"/>
                <w:w w:val="95"/>
                <w:sz w:val="20"/>
              </w:rPr>
              <w:t>227,500,000</w:t>
            </w:r>
            <w:r>
              <w:rPr>
                <w:rFonts w:ascii="宋体"/>
                <w:sz w:val="20"/>
              </w:rPr>
            </w:r>
          </w:p>
        </w:tc>
      </w:tr>
      <w:tr>
        <w:trPr>
          <w:trHeight w:val="260" w:hRule="exact"/>
        </w:trPr>
        <w:tc>
          <w:tcPr>
            <w:tcW w:w="3592" w:type="dxa"/>
            <w:tcBorders>
              <w:top w:val="nil" w:sz="6" w:space="0" w:color="auto"/>
              <w:left w:val="nil" w:sz="6" w:space="0" w:color="auto"/>
              <w:bottom w:val="nil" w:sz="6" w:space="0" w:color="auto"/>
              <w:right w:val="nil" w:sz="6" w:space="0" w:color="auto"/>
            </w:tcBorders>
          </w:tcPr>
          <w:p>
            <w:pPr>
              <w:pStyle w:val="TableParagraph"/>
              <w:spacing w:line="231" w:lineRule="exact"/>
              <w:ind w:left="204" w:right="0"/>
              <w:jc w:val="left"/>
              <w:rPr>
                <w:rFonts w:ascii="宋体" w:hAnsi="宋体" w:cs="宋体" w:eastAsia="宋体" w:hint="default"/>
                <w:sz w:val="20"/>
                <w:szCs w:val="20"/>
              </w:rPr>
            </w:pPr>
            <w:r>
              <w:rPr>
                <w:rFonts w:ascii="宋体" w:hAnsi="宋体" w:cs="宋体" w:eastAsia="宋体" w:hint="default"/>
                <w:sz w:val="20"/>
                <w:szCs w:val="20"/>
              </w:rPr>
              <w:t>已签约但未履行</w:t>
            </w:r>
            <w:r>
              <w:rPr>
                <w:rFonts w:ascii="宋体" w:hAnsi="宋体" w:cs="宋体" w:eastAsia="宋体" w:hint="default"/>
                <w:sz w:val="20"/>
                <w:szCs w:val="20"/>
              </w:rPr>
              <w:t>(</w:t>
            </w:r>
            <w:r>
              <w:rPr>
                <w:rFonts w:ascii="宋体" w:hAnsi="宋体" w:cs="宋体" w:eastAsia="宋体" w:hint="default"/>
                <w:sz w:val="20"/>
                <w:szCs w:val="20"/>
              </w:rPr>
              <w:t>注</w:t>
            </w:r>
            <w:r>
              <w:rPr>
                <w:rFonts w:ascii="宋体" w:hAnsi="宋体" w:cs="宋体" w:eastAsia="宋体" w:hint="default"/>
                <w:sz w:val="20"/>
                <w:szCs w:val="20"/>
              </w:rPr>
              <w:t>1)</w:t>
            </w:r>
          </w:p>
        </w:tc>
        <w:tc>
          <w:tcPr>
            <w:tcW w:w="2728" w:type="dxa"/>
            <w:tcBorders>
              <w:top w:val="nil" w:sz="6" w:space="0" w:color="auto"/>
              <w:left w:val="nil" w:sz="6" w:space="0" w:color="auto"/>
              <w:bottom w:val="nil" w:sz="6" w:space="0" w:color="auto"/>
              <w:right w:val="nil" w:sz="6" w:space="0" w:color="auto"/>
            </w:tcBorders>
          </w:tcPr>
          <w:p>
            <w:pPr>
              <w:pStyle w:val="TableParagraph"/>
              <w:spacing w:line="231" w:lineRule="exact"/>
              <w:ind w:right="539"/>
              <w:jc w:val="right"/>
              <w:rPr>
                <w:rFonts w:ascii="宋体" w:hAnsi="宋体" w:cs="宋体" w:eastAsia="宋体" w:hint="default"/>
                <w:sz w:val="20"/>
                <w:szCs w:val="20"/>
              </w:rPr>
            </w:pPr>
            <w:r>
              <w:rPr>
                <w:rFonts w:ascii="宋体"/>
                <w:w w:val="95"/>
                <w:sz w:val="20"/>
              </w:rPr>
              <w:t>200,000,000</w:t>
            </w:r>
            <w:r>
              <w:rPr>
                <w:rFonts w:ascii="宋体"/>
                <w:sz w:val="20"/>
              </w:rPr>
            </w:r>
          </w:p>
        </w:tc>
        <w:tc>
          <w:tcPr>
            <w:tcW w:w="2141" w:type="dxa"/>
            <w:tcBorders>
              <w:top w:val="nil" w:sz="6" w:space="0" w:color="auto"/>
              <w:left w:val="nil" w:sz="6" w:space="0" w:color="auto"/>
              <w:bottom w:val="nil" w:sz="6" w:space="0" w:color="auto"/>
              <w:right w:val="nil" w:sz="6" w:space="0" w:color="auto"/>
            </w:tcBorders>
          </w:tcPr>
          <w:p>
            <w:pPr>
              <w:pStyle w:val="TableParagraph"/>
              <w:spacing w:line="231" w:lineRule="exact"/>
              <w:ind w:right="201"/>
              <w:jc w:val="right"/>
              <w:rPr>
                <w:rFonts w:ascii="宋体" w:hAnsi="宋体" w:cs="宋体" w:eastAsia="宋体" w:hint="default"/>
                <w:sz w:val="20"/>
                <w:szCs w:val="20"/>
              </w:rPr>
            </w:pPr>
            <w:r>
              <w:rPr>
                <w:rFonts w:ascii="宋体"/>
                <w:w w:val="95"/>
                <w:sz w:val="20"/>
              </w:rPr>
              <w:t>1,315,000,000</w:t>
            </w:r>
            <w:r>
              <w:rPr>
                <w:rFonts w:ascii="宋体"/>
                <w:sz w:val="20"/>
              </w:rPr>
            </w:r>
          </w:p>
        </w:tc>
      </w:tr>
      <w:tr>
        <w:trPr>
          <w:trHeight w:val="390" w:hRule="exact"/>
        </w:trPr>
        <w:tc>
          <w:tcPr>
            <w:tcW w:w="3592" w:type="dxa"/>
            <w:tcBorders>
              <w:top w:val="nil" w:sz="6" w:space="0" w:color="auto"/>
              <w:left w:val="nil" w:sz="6" w:space="0" w:color="auto"/>
              <w:bottom w:val="nil" w:sz="6" w:space="0" w:color="auto"/>
              <w:right w:val="nil" w:sz="6" w:space="0" w:color="auto"/>
            </w:tcBorders>
          </w:tcPr>
          <w:p>
            <w:pPr>
              <w:pStyle w:val="TableParagraph"/>
              <w:spacing w:line="229" w:lineRule="exact"/>
              <w:ind w:left="204" w:right="0"/>
              <w:jc w:val="left"/>
              <w:rPr>
                <w:rFonts w:ascii="宋体" w:hAnsi="宋体" w:cs="宋体" w:eastAsia="宋体" w:hint="default"/>
                <w:sz w:val="20"/>
                <w:szCs w:val="20"/>
              </w:rPr>
            </w:pPr>
            <w:r>
              <w:rPr>
                <w:rFonts w:ascii="宋体" w:hAnsi="宋体" w:cs="宋体" w:eastAsia="宋体" w:hint="default"/>
                <w:sz w:val="20"/>
                <w:szCs w:val="20"/>
              </w:rPr>
              <w:t>已签约但未完全履行</w:t>
            </w:r>
            <w:r>
              <w:rPr>
                <w:rFonts w:ascii="宋体" w:hAnsi="宋体" w:cs="宋体" w:eastAsia="宋体" w:hint="default"/>
                <w:sz w:val="20"/>
                <w:szCs w:val="20"/>
              </w:rPr>
              <w:t>(</w:t>
            </w:r>
            <w:r>
              <w:rPr>
                <w:rFonts w:ascii="宋体" w:hAnsi="宋体" w:cs="宋体" w:eastAsia="宋体" w:hint="default"/>
                <w:sz w:val="20"/>
                <w:szCs w:val="20"/>
              </w:rPr>
              <w:t>注</w:t>
            </w:r>
            <w:r>
              <w:rPr>
                <w:rFonts w:ascii="宋体" w:hAnsi="宋体" w:cs="宋体" w:eastAsia="宋体" w:hint="default"/>
                <w:sz w:val="20"/>
                <w:szCs w:val="20"/>
              </w:rPr>
              <w:t>2)</w:t>
            </w:r>
          </w:p>
        </w:tc>
        <w:tc>
          <w:tcPr>
            <w:tcW w:w="2728" w:type="dxa"/>
            <w:tcBorders>
              <w:top w:val="nil" w:sz="6" w:space="0" w:color="auto"/>
              <w:left w:val="nil" w:sz="6" w:space="0" w:color="auto"/>
              <w:bottom w:val="nil" w:sz="6" w:space="0" w:color="auto"/>
              <w:right w:val="nil" w:sz="6" w:space="0" w:color="auto"/>
            </w:tcBorders>
          </w:tcPr>
          <w:p>
            <w:pPr>
              <w:pStyle w:val="TableParagraph"/>
              <w:spacing w:line="229" w:lineRule="exact"/>
              <w:ind w:right="539"/>
              <w:jc w:val="right"/>
              <w:rPr>
                <w:rFonts w:ascii="宋体" w:hAnsi="宋体" w:cs="宋体" w:eastAsia="宋体" w:hint="default"/>
                <w:sz w:val="20"/>
                <w:szCs w:val="20"/>
              </w:rPr>
            </w:pPr>
            <w:r>
              <w:rPr>
                <w:rFonts w:ascii="宋体"/>
                <w:w w:val="99"/>
                <w:sz w:val="20"/>
              </w:rPr>
            </w:r>
            <w:r>
              <w:rPr>
                <w:rFonts w:ascii="宋体"/>
                <w:w w:val="95"/>
                <w:sz w:val="20"/>
                <w:u w:val="single" w:color="000000"/>
              </w:rPr>
              <w:t>123,000,000</w:t>
            </w:r>
            <w:r>
              <w:rPr>
                <w:rFonts w:ascii="宋体"/>
                <w:w w:val="95"/>
                <w:sz w:val="20"/>
              </w:rPr>
            </w:r>
            <w:r>
              <w:rPr>
                <w:rFonts w:ascii="宋体"/>
                <w:sz w:val="20"/>
              </w:rPr>
            </w:r>
          </w:p>
        </w:tc>
        <w:tc>
          <w:tcPr>
            <w:tcW w:w="2141" w:type="dxa"/>
            <w:tcBorders>
              <w:top w:val="nil" w:sz="6" w:space="0" w:color="auto"/>
              <w:left w:val="nil" w:sz="6" w:space="0" w:color="auto"/>
              <w:bottom w:val="nil" w:sz="6" w:space="0" w:color="auto"/>
              <w:right w:val="nil" w:sz="6" w:space="0" w:color="auto"/>
            </w:tcBorders>
          </w:tcPr>
          <w:p>
            <w:pPr>
              <w:pStyle w:val="TableParagraph"/>
              <w:tabs>
                <w:tab w:pos="1202" w:val="left" w:leader="none"/>
              </w:tabs>
              <w:spacing w:line="229" w:lineRule="exact"/>
              <w:ind w:right="199"/>
              <w:jc w:val="right"/>
              <w:rPr>
                <w:rFonts w:ascii="宋体" w:hAnsi="宋体" w:cs="宋体" w:eastAsia="宋体" w:hint="default"/>
                <w:sz w:val="20"/>
                <w:szCs w:val="20"/>
              </w:rPr>
            </w:pPr>
            <w:r>
              <w:rPr>
                <w:rFonts w:ascii="宋体"/>
                <w:w w:val="99"/>
                <w:sz w:val="20"/>
              </w:rPr>
            </w:r>
            <w:r>
              <w:rPr>
                <w:rFonts w:ascii="宋体"/>
                <w:w w:val="99"/>
                <w:sz w:val="20"/>
                <w:u w:val="single" w:color="000000"/>
              </w:rPr>
              <w:t> </w:t>
            </w:r>
            <w:r>
              <w:rPr>
                <w:rFonts w:ascii="宋体"/>
                <w:sz w:val="20"/>
                <w:u w:val="single" w:color="000000"/>
              </w:rPr>
              <w:tab/>
            </w:r>
            <w:r>
              <w:rPr>
                <w:rFonts w:ascii="宋体"/>
                <w:w w:val="95"/>
                <w:sz w:val="20"/>
                <w:u w:val="single" w:color="000000"/>
              </w:rPr>
              <w:t>-</w:t>
            </w:r>
            <w:r>
              <w:rPr>
                <w:rFonts w:ascii="宋体"/>
                <w:w w:val="95"/>
                <w:sz w:val="20"/>
              </w:rPr>
            </w:r>
            <w:r>
              <w:rPr>
                <w:rFonts w:ascii="宋体"/>
                <w:sz w:val="20"/>
              </w:rPr>
            </w:r>
          </w:p>
        </w:tc>
      </w:tr>
      <w:tr>
        <w:trPr>
          <w:trHeight w:val="360" w:hRule="exact"/>
        </w:trPr>
        <w:tc>
          <w:tcPr>
            <w:tcW w:w="3592" w:type="dxa"/>
            <w:tcBorders>
              <w:top w:val="nil" w:sz="6" w:space="0" w:color="auto"/>
              <w:left w:val="nil" w:sz="6" w:space="0" w:color="auto"/>
              <w:bottom w:val="nil" w:sz="6" w:space="0" w:color="auto"/>
              <w:right w:val="nil" w:sz="6" w:space="0" w:color="auto"/>
            </w:tcBorders>
          </w:tcPr>
          <w:p>
            <w:pPr/>
          </w:p>
        </w:tc>
        <w:tc>
          <w:tcPr>
            <w:tcW w:w="2728"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539"/>
              <w:jc w:val="right"/>
              <w:rPr>
                <w:rFonts w:ascii="宋体" w:hAnsi="宋体" w:cs="宋体" w:eastAsia="宋体" w:hint="default"/>
                <w:sz w:val="20"/>
                <w:szCs w:val="20"/>
              </w:rPr>
            </w:pPr>
            <w:r>
              <w:rPr>
                <w:rFonts w:ascii="宋体"/>
                <w:w w:val="99"/>
                <w:sz w:val="20"/>
              </w:rPr>
            </w:r>
            <w:r>
              <w:rPr>
                <w:rFonts w:ascii="宋体"/>
                <w:w w:val="95"/>
                <w:sz w:val="20"/>
                <w:u w:val="thick" w:color="000000"/>
              </w:rPr>
              <w:t>323,000,000</w:t>
            </w:r>
            <w:r>
              <w:rPr>
                <w:rFonts w:ascii="宋体"/>
                <w:w w:val="95"/>
                <w:sz w:val="20"/>
              </w:rPr>
            </w:r>
            <w:r>
              <w:rPr>
                <w:rFonts w:ascii="宋体"/>
                <w:sz w:val="20"/>
              </w:rPr>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201"/>
              <w:jc w:val="right"/>
              <w:rPr>
                <w:rFonts w:ascii="宋体" w:hAnsi="宋体" w:cs="宋体" w:eastAsia="宋体" w:hint="default"/>
                <w:sz w:val="20"/>
                <w:szCs w:val="20"/>
              </w:rPr>
            </w:pPr>
            <w:r>
              <w:rPr>
                <w:rFonts w:ascii="宋体"/>
                <w:w w:val="99"/>
                <w:sz w:val="20"/>
              </w:rPr>
            </w:r>
            <w:r>
              <w:rPr>
                <w:rFonts w:ascii="宋体"/>
                <w:w w:val="95"/>
                <w:sz w:val="20"/>
                <w:u w:val="thick" w:color="000000"/>
              </w:rPr>
              <w:t>1,542,500,000</w:t>
            </w:r>
            <w:r>
              <w:rPr>
                <w:rFonts w:ascii="宋体"/>
                <w:w w:val="95"/>
                <w:sz w:val="20"/>
              </w:rPr>
            </w:r>
            <w:r>
              <w:rPr>
                <w:rFonts w:ascii="宋体"/>
                <w:sz w:val="20"/>
              </w:rPr>
            </w:r>
          </w:p>
        </w:tc>
      </w:tr>
    </w:tbl>
    <w:p>
      <w:pPr>
        <w:spacing w:line="240" w:lineRule="auto" w:before="11"/>
        <w:rPr>
          <w:rFonts w:ascii="宋体" w:hAnsi="宋体" w:cs="宋体" w:eastAsia="宋体" w:hint="default"/>
          <w:sz w:val="17"/>
          <w:szCs w:val="17"/>
        </w:rPr>
      </w:pPr>
    </w:p>
    <w:p>
      <w:pPr>
        <w:pStyle w:val="BodyText"/>
        <w:spacing w:line="240" w:lineRule="auto" w:before="36"/>
        <w:ind w:left="138" w:right="284"/>
        <w:jc w:val="left"/>
      </w:pPr>
      <w:r>
        <w:rPr/>
        <w:t>注</w:t>
      </w:r>
      <w:r>
        <w:rPr>
          <w:spacing w:val="-33"/>
        </w:rPr>
        <w:t> </w:t>
      </w:r>
      <w:r>
        <w:rPr>
          <w:rFonts w:ascii="宋体" w:hAnsi="宋体" w:cs="宋体" w:eastAsia="宋体" w:hint="default"/>
        </w:rPr>
        <w:t>1</w:t>
      </w:r>
      <w:r>
        <w:rPr/>
        <w:t>：本公司与江铃汽车集团公司等</w:t>
      </w:r>
      <w:r>
        <w:rPr>
          <w:spacing w:val="-35"/>
        </w:rPr>
        <w:t> </w:t>
      </w:r>
      <w:r>
        <w:rPr>
          <w:rFonts w:ascii="宋体" w:hAnsi="宋体" w:cs="宋体" w:eastAsia="宋体" w:hint="default"/>
        </w:rPr>
        <w:t>6</w:t>
      </w:r>
      <w:r>
        <w:rPr>
          <w:rFonts w:ascii="宋体" w:hAnsi="宋体" w:cs="宋体" w:eastAsia="宋体" w:hint="default"/>
          <w:spacing w:val="-33"/>
        </w:rPr>
        <w:t> </w:t>
      </w:r>
      <w:r>
        <w:rPr/>
        <w:t>家公司共同投资发起设立友泰财产保险股份有限公司，公</w:t>
      </w:r>
      <w:r>
        <w:rPr>
          <w:w w:val="100"/>
        </w:rPr>
        <w:t> </w:t>
      </w:r>
      <w:r>
        <w:rPr/>
        <w:t>司出资额为</w:t>
      </w:r>
      <w:r>
        <w:rPr>
          <w:spacing w:val="-54"/>
        </w:rPr>
        <w:t> </w:t>
      </w:r>
      <w:r>
        <w:rPr>
          <w:rFonts w:ascii="宋体" w:hAnsi="宋体" w:cs="宋体" w:eastAsia="宋体" w:hint="default"/>
        </w:rPr>
        <w:t>2</w:t>
      </w:r>
      <w:r>
        <w:rPr>
          <w:rFonts w:ascii="宋体" w:hAnsi="宋体" w:cs="宋体" w:eastAsia="宋体" w:hint="default"/>
          <w:spacing w:val="-54"/>
        </w:rPr>
        <w:t> </w:t>
      </w:r>
      <w:r>
        <w:rPr/>
        <w:t>亿元人民币，尚未出资。</w:t>
      </w:r>
    </w:p>
    <w:p>
      <w:pPr>
        <w:spacing w:after="0" w:line="240" w:lineRule="auto"/>
        <w:jc w:val="left"/>
        <w:sectPr>
          <w:footerReference w:type="default" r:id="rId86"/>
          <w:pgSz w:w="11910" w:h="16840"/>
          <w:pgMar w:footer="1195" w:header="857" w:top="1280" w:bottom="1380" w:left="1660" w:right="98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8"/>
          <w:szCs w:val="18"/>
        </w:rPr>
      </w:pPr>
    </w:p>
    <w:p>
      <w:pPr>
        <w:pStyle w:val="BodyText"/>
        <w:spacing w:line="272" w:lineRule="exact"/>
        <w:ind w:right="99"/>
        <w:jc w:val="left"/>
      </w:pPr>
      <w:r>
        <w:rPr/>
        <w:t>注</w:t>
      </w:r>
      <w:r>
        <w:rPr>
          <w:spacing w:val="-43"/>
        </w:rPr>
        <w:t> </w:t>
      </w:r>
      <w:r>
        <w:rPr>
          <w:rFonts w:ascii="宋体" w:hAnsi="宋体" w:cs="宋体" w:eastAsia="宋体" w:hint="default"/>
          <w:spacing w:val="-3"/>
        </w:rPr>
        <w:t>2</w:t>
      </w:r>
      <w:r>
        <w:rPr>
          <w:spacing w:val="-3"/>
        </w:rPr>
        <w:t>：本公司与北京中关村大河资本投资管理中心（有限合伙）等</w:t>
      </w:r>
      <w:r>
        <w:rPr>
          <w:spacing w:val="-43"/>
        </w:rPr>
        <w:t> </w:t>
      </w:r>
      <w:r>
        <w:rPr>
          <w:rFonts w:ascii="宋体" w:hAnsi="宋体" w:cs="宋体" w:eastAsia="宋体" w:hint="default"/>
        </w:rPr>
        <w:t>22</w:t>
      </w:r>
      <w:r>
        <w:rPr>
          <w:rFonts w:ascii="宋体" w:hAnsi="宋体" w:cs="宋体" w:eastAsia="宋体" w:hint="default"/>
          <w:spacing w:val="-45"/>
        </w:rPr>
        <w:t> </w:t>
      </w:r>
      <w:r>
        <w:rPr/>
        <w:t>家合伙人共同投资设立北京</w:t>
      </w:r>
      <w:r>
        <w:rPr>
          <w:spacing w:val="-101"/>
        </w:rPr>
        <w:t> </w:t>
      </w:r>
      <w:r>
        <w:rPr>
          <w:spacing w:val="-101"/>
        </w:rPr>
      </w:r>
      <w:r>
        <w:rPr>
          <w:spacing w:val="-3"/>
        </w:rPr>
        <w:t>中关村并购母基金投资中心</w:t>
      </w:r>
      <w:r>
        <w:rPr>
          <w:rFonts w:ascii="宋体" w:hAnsi="宋体" w:cs="宋体" w:eastAsia="宋体" w:hint="default"/>
          <w:spacing w:val="-3"/>
        </w:rPr>
        <w:t>(</w:t>
      </w:r>
      <w:r>
        <w:rPr>
          <w:spacing w:val="-3"/>
        </w:rPr>
        <w:t>有限合伙</w:t>
      </w:r>
      <w:r>
        <w:rPr>
          <w:rFonts w:ascii="宋体" w:hAnsi="宋体" w:cs="宋体" w:eastAsia="宋体" w:hint="default"/>
          <w:spacing w:val="-3"/>
        </w:rPr>
        <w:t>)</w:t>
      </w:r>
      <w:r>
        <w:rPr>
          <w:spacing w:val="-3"/>
        </w:rPr>
        <w:t>，公司出资额为</w:t>
      </w:r>
      <w:r>
        <w:rPr>
          <w:spacing w:val="-37"/>
        </w:rPr>
        <w:t> </w:t>
      </w:r>
      <w:r>
        <w:rPr>
          <w:rFonts w:ascii="宋体" w:hAnsi="宋体" w:cs="宋体" w:eastAsia="宋体" w:hint="default"/>
        </w:rPr>
        <w:t>1.5</w:t>
      </w:r>
      <w:r>
        <w:rPr>
          <w:rFonts w:ascii="宋体" w:hAnsi="宋体" w:cs="宋体" w:eastAsia="宋体" w:hint="default"/>
          <w:spacing w:val="-38"/>
        </w:rPr>
        <w:t> </w:t>
      </w:r>
      <w:r>
        <w:rPr>
          <w:spacing w:val="-6"/>
        </w:rPr>
        <w:t>亿人民币，已出资</w:t>
      </w:r>
      <w:r>
        <w:rPr>
          <w:spacing w:val="-37"/>
        </w:rPr>
        <w:t> </w:t>
      </w:r>
      <w:r>
        <w:rPr>
          <w:rFonts w:ascii="宋体" w:hAnsi="宋体" w:cs="宋体" w:eastAsia="宋体" w:hint="default"/>
        </w:rPr>
        <w:t>0.27</w:t>
      </w:r>
      <w:r>
        <w:rPr>
          <w:rFonts w:ascii="宋体" w:hAnsi="宋体" w:cs="宋体" w:eastAsia="宋体" w:hint="default"/>
          <w:spacing w:val="-38"/>
        </w:rPr>
        <w:t> </w:t>
      </w:r>
      <w:r>
        <w:rPr>
          <w:spacing w:val="-7"/>
        </w:rPr>
        <w:t>亿元，投资承</w:t>
      </w:r>
    </w:p>
    <w:p>
      <w:pPr>
        <w:pStyle w:val="BodyText"/>
        <w:spacing w:line="249" w:lineRule="exact"/>
        <w:ind w:right="99"/>
        <w:jc w:val="left"/>
      </w:pPr>
      <w:r>
        <w:rPr/>
        <w:t>诺为</w:t>
      </w:r>
      <w:r>
        <w:rPr>
          <w:spacing w:val="-52"/>
        </w:rPr>
        <w:t> </w:t>
      </w:r>
      <w:r>
        <w:rPr>
          <w:rFonts w:ascii="宋体" w:hAnsi="宋体" w:cs="宋体" w:eastAsia="宋体" w:hint="default"/>
        </w:rPr>
        <w:t>1.23</w:t>
      </w:r>
      <w:r>
        <w:rPr>
          <w:rFonts w:ascii="宋体" w:hAnsi="宋体" w:cs="宋体" w:eastAsia="宋体" w:hint="default"/>
          <w:spacing w:val="-54"/>
        </w:rPr>
        <w:t> </w:t>
      </w:r>
      <w:r>
        <w:rPr/>
        <w:t>亿元。</w:t>
      </w:r>
    </w:p>
    <w:p>
      <w:pPr>
        <w:pStyle w:val="BodyText"/>
        <w:spacing w:line="604" w:lineRule="exact" w:before="20"/>
        <w:ind w:right="762"/>
        <w:jc w:val="left"/>
        <w:rPr>
          <w:rFonts w:ascii="宋体" w:hAnsi="宋体" w:cs="宋体" w:eastAsia="宋体" w:hint="default"/>
        </w:rPr>
      </w:pPr>
      <w:r>
        <w:rPr/>
        <w:t>于</w:t>
      </w:r>
      <w:r>
        <w:rPr>
          <w:spacing w:val="-53"/>
        </w:rPr>
        <w:t> </w:t>
      </w:r>
      <w:r>
        <w:rPr>
          <w:rFonts w:ascii="宋体" w:hAnsi="宋体" w:cs="宋体" w:eastAsia="宋体" w:hint="default"/>
        </w:rPr>
        <w:t>2017</w:t>
      </w:r>
      <w:r>
        <w:rPr>
          <w:rFonts w:ascii="宋体" w:hAnsi="宋体" w:cs="宋体" w:eastAsia="宋体" w:hint="default"/>
          <w:spacing w:val="-53"/>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日，除上述已披露的事项外，本集团无其他需作披露的重大承诺事项。</w:t>
      </w:r>
      <w:r>
        <w:rPr>
          <w:w w:val="100"/>
        </w:rPr>
        <w:t> </w:t>
      </w:r>
      <w:r>
        <w:rPr>
          <w:rFonts w:ascii="宋体" w:hAnsi="宋体" w:cs="宋体" w:eastAsia="宋体" w:hint="default"/>
          <w:b/>
          <w:bCs/>
        </w:rPr>
        <w:t>2</w:t>
      </w:r>
      <w:r>
        <w:rPr>
          <w:rFonts w:ascii="宋体" w:hAnsi="宋体" w:cs="宋体" w:eastAsia="宋体" w:hint="default"/>
          <w:b/>
          <w:bCs/>
        </w:rPr>
        <w:t>、</w:t>
      </w:r>
      <w:r>
        <w:rPr>
          <w:rFonts w:ascii="宋体" w:hAnsi="宋体" w:cs="宋体" w:eastAsia="宋体" w:hint="default"/>
          <w:b/>
          <w:bCs/>
          <w:spacing w:val="3"/>
        </w:rPr>
        <w:t> </w:t>
      </w:r>
      <w:r>
        <w:rPr>
          <w:rFonts w:ascii="宋体" w:hAnsi="宋体" w:cs="宋体" w:eastAsia="宋体" w:hint="default"/>
          <w:b/>
          <w:bCs/>
        </w:rPr>
        <w:t>或有事项</w:t>
      </w:r>
      <w:r>
        <w:rPr>
          <w:rFonts w:ascii="宋体" w:hAnsi="宋体" w:cs="宋体" w:eastAsia="宋体" w:hint="default"/>
        </w:rPr>
      </w:r>
    </w:p>
    <w:p>
      <w:pPr>
        <w:pStyle w:val="Heading3"/>
        <w:spacing w:line="240" w:lineRule="exact"/>
        <w:ind w:right="99"/>
        <w:jc w:val="left"/>
        <w:rPr>
          <w:b w:val="0"/>
          <w:bCs w:val="0"/>
        </w:rPr>
      </w:pPr>
      <w:r>
        <w:rPr>
          <w:rFonts w:ascii="宋体" w:hAnsi="宋体" w:cs="宋体" w:eastAsia="宋体" w:hint="default"/>
        </w:rPr>
        <w:t>(1).</w:t>
      </w:r>
      <w:r>
        <w:rPr>
          <w:rFonts w:ascii="宋体" w:hAnsi="宋体" w:cs="宋体" w:eastAsia="宋体" w:hint="default"/>
          <w:spacing w:val="86"/>
        </w:rPr>
        <w:t> </w:t>
      </w:r>
      <w:r>
        <w:rPr/>
        <w:t>资产负债表日存在的重要或有事项</w:t>
      </w:r>
      <w:r>
        <w:rPr>
          <w:b w:val="0"/>
          <w:bCs w:val="0"/>
        </w:rPr>
      </w:r>
    </w:p>
    <w:p>
      <w:pPr>
        <w:pStyle w:val="BodyText"/>
        <w:tabs>
          <w:tab w:pos="1060" w:val="left" w:leader="none"/>
        </w:tabs>
        <w:spacing w:line="240" w:lineRule="auto" w:before="58"/>
        <w:ind w:right="99"/>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right="99"/>
        <w:jc w:val="left"/>
        <w:rPr>
          <w:b w:val="0"/>
          <w:bCs w:val="0"/>
        </w:rPr>
      </w:pPr>
      <w:r>
        <w:rPr>
          <w:rFonts w:ascii="宋体" w:hAnsi="宋体" w:cs="宋体" w:eastAsia="宋体" w:hint="default"/>
        </w:rPr>
        <w:t>(2).</w:t>
      </w:r>
      <w:r>
        <w:rPr>
          <w:rFonts w:ascii="宋体" w:hAnsi="宋体" w:cs="宋体" w:eastAsia="宋体" w:hint="default"/>
          <w:spacing w:val="83"/>
        </w:rPr>
        <w:t> </w:t>
      </w:r>
      <w:r>
        <w:rPr/>
        <w:t>公司没有需要披露的重要或有事项，也应予以说明：</w:t>
      </w:r>
      <w:r>
        <w:rPr>
          <w:b w:val="0"/>
          <w:bCs w:val="0"/>
        </w:rPr>
      </w:r>
    </w:p>
    <w:p>
      <w:pPr>
        <w:pStyle w:val="BodyText"/>
        <w:tabs>
          <w:tab w:pos="1060" w:val="left" w:leader="none"/>
        </w:tabs>
        <w:spacing w:line="272" w:lineRule="exact" w:before="84"/>
        <w:ind w:right="4231"/>
        <w:jc w:val="left"/>
      </w:pPr>
      <w:r>
        <w:rPr>
          <w:spacing w:val="-1"/>
        </w:rPr>
        <w:t>√适用</w:t>
        <w:tab/>
      </w:r>
      <w:r>
        <w:rPr>
          <w:spacing w:val="-2"/>
        </w:rPr>
        <w:t>□不适用</w:t>
      </w:r>
      <w:r>
        <w:rPr>
          <w:spacing w:val="-99"/>
        </w:rPr>
        <w:t> </w:t>
      </w:r>
      <w:r>
        <w:rPr>
          <w:spacing w:val="-99"/>
        </w:rPr>
      </w:r>
      <w:r>
        <w:rPr>
          <w:spacing w:val="-2"/>
        </w:rPr>
        <w:t>截至资产负债表日，本集团并无应披露的或有事项。</w:t>
      </w:r>
    </w:p>
    <w:p>
      <w:pPr>
        <w:spacing w:line="240" w:lineRule="auto" w:before="3"/>
        <w:rPr>
          <w:rFonts w:ascii="宋体" w:hAnsi="宋体" w:cs="宋体" w:eastAsia="宋体" w:hint="default"/>
          <w:sz w:val="22"/>
          <w:szCs w:val="22"/>
        </w:rPr>
      </w:pPr>
    </w:p>
    <w:p>
      <w:pPr>
        <w:pStyle w:val="Heading3"/>
        <w:spacing w:line="240" w:lineRule="auto"/>
        <w:ind w:right="99"/>
        <w:jc w:val="left"/>
        <w:rPr>
          <w:b w:val="0"/>
          <w:bCs w:val="0"/>
        </w:rPr>
      </w:pPr>
      <w:r>
        <w:rPr>
          <w:rFonts w:ascii="宋体" w:hAnsi="宋体" w:cs="宋体" w:eastAsia="宋体" w:hint="default"/>
        </w:rPr>
        <w:t>3</w:t>
      </w:r>
      <w:r>
        <w:rPr/>
        <w:t>、</w:t>
      </w:r>
      <w:r>
        <w:rPr>
          <w:spacing w:val="2"/>
        </w:rPr>
        <w:t> </w:t>
      </w:r>
      <w:r>
        <w:rPr/>
        <w:t>其他</w:t>
      </w:r>
      <w:r>
        <w:rPr>
          <w:b w:val="0"/>
          <w:bCs w:val="0"/>
        </w:rPr>
      </w:r>
    </w:p>
    <w:p>
      <w:pPr>
        <w:pStyle w:val="BodyText"/>
        <w:tabs>
          <w:tab w:pos="1060" w:val="left" w:leader="none"/>
        </w:tabs>
        <w:spacing w:line="240" w:lineRule="auto" w:before="56"/>
        <w:ind w:right="99"/>
        <w:jc w:val="left"/>
      </w:pPr>
      <w:r>
        <w:rPr>
          <w:spacing w:val="-1"/>
        </w:rPr>
        <w:t>□适用</w:t>
        <w:tab/>
      </w:r>
      <w:r>
        <w:rPr>
          <w:spacing w:val="-2"/>
        </w:rPr>
        <w:t>√不适用</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footerReference w:type="default" r:id="rId87"/>
          <w:pgSz w:w="11910" w:h="16840"/>
          <w:pgMar w:footer="1195" w:header="857" w:top="1280" w:bottom="1380" w:left="1580" w:right="1040"/>
          <w:pgNumType w:start="191"/>
        </w:sectPr>
      </w:pPr>
    </w:p>
    <w:p>
      <w:pPr>
        <w:pStyle w:val="Heading3"/>
        <w:tabs>
          <w:tab w:pos="1057" w:val="left" w:leader="none"/>
        </w:tabs>
        <w:spacing w:line="240" w:lineRule="auto" w:before="36"/>
        <w:ind w:right="-16"/>
        <w:jc w:val="left"/>
        <w:rPr>
          <w:b w:val="0"/>
          <w:bCs w:val="0"/>
        </w:rPr>
      </w:pPr>
      <w:r>
        <w:rPr/>
        <w:t>十五、</w:t>
        <w:tab/>
        <w:t>资产负债表日后事项</w:t>
      </w:r>
      <w:r>
        <w:rPr>
          <w:b w:val="0"/>
          <w:bCs w:val="0"/>
        </w:rPr>
      </w:r>
    </w:p>
    <w:p>
      <w:pPr>
        <w:pStyle w:val="Heading3"/>
        <w:spacing w:line="240" w:lineRule="auto" w:before="58"/>
        <w:ind w:right="-16"/>
        <w:jc w:val="left"/>
        <w:rPr>
          <w:b w:val="0"/>
          <w:bCs w:val="0"/>
        </w:rPr>
      </w:pPr>
      <w:r>
        <w:rPr>
          <w:rFonts w:ascii="Calibri" w:hAnsi="Calibri" w:cs="Calibri" w:eastAsia="Calibri" w:hint="default"/>
        </w:rPr>
        <w:t>1</w:t>
      </w:r>
      <w:r>
        <w:rPr/>
        <w:t>、</w:t>
      </w:r>
      <w:r>
        <w:rPr>
          <w:spacing w:val="4"/>
        </w:rPr>
        <w:t> </w:t>
      </w:r>
      <w:r>
        <w:rPr/>
        <w:t>重要的非调整事项</w:t>
      </w:r>
      <w:r>
        <w:rPr>
          <w:b w:val="0"/>
          <w:bCs w:val="0"/>
        </w:rPr>
      </w:r>
    </w:p>
    <w:p>
      <w:pPr>
        <w:pStyle w:val="BodyText"/>
        <w:spacing w:line="240" w:lineRule="auto" w:before="29"/>
        <w:ind w:right="-16"/>
        <w:jc w:val="left"/>
      </w:pPr>
      <w:r>
        <w:rPr/>
        <w:t>□适用</w:t>
      </w:r>
      <w:r>
        <w:rPr>
          <w:spacing w:val="-1"/>
        </w:rPr>
        <w:t> </w:t>
      </w:r>
      <w:r>
        <w:rPr/>
        <w:t>√不适用</w:t>
      </w:r>
    </w:p>
    <w:p>
      <w:pPr>
        <w:pStyle w:val="Heading3"/>
        <w:spacing w:line="240" w:lineRule="auto" w:before="58"/>
        <w:ind w:right="-16"/>
        <w:jc w:val="left"/>
        <w:rPr>
          <w:b w:val="0"/>
          <w:bCs w:val="0"/>
        </w:rPr>
      </w:pPr>
      <w:r>
        <w:rPr>
          <w:rFonts w:ascii="Calibri" w:hAnsi="Calibri" w:cs="Calibri" w:eastAsia="Calibri" w:hint="default"/>
        </w:rPr>
        <w:t>2</w:t>
      </w:r>
      <w:r>
        <w:rPr/>
        <w:t>、</w:t>
      </w:r>
      <w:r>
        <w:rPr>
          <w:spacing w:val="3"/>
        </w:rPr>
        <w:t> </w:t>
      </w:r>
      <w:r>
        <w:rPr/>
        <w:t>利润分配情况</w:t>
      </w:r>
      <w:r>
        <w:rPr>
          <w:b w:val="0"/>
          <w:bCs w:val="0"/>
        </w:rPr>
      </w:r>
    </w:p>
    <w:p>
      <w:pPr>
        <w:pStyle w:val="BodyText"/>
        <w:spacing w:line="240" w:lineRule="auto" w:before="30"/>
        <w:ind w:right="-16"/>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5"/>
          <w:szCs w:val="25"/>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2959" w:space="3774"/>
            <w:col w:w="2557"/>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4525"/>
        <w:gridCol w:w="4525"/>
      </w:tblGrid>
      <w:tr>
        <w:trPr>
          <w:trHeight w:val="410"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拟分配的利润或股利</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219,183,934</w:t>
            </w:r>
          </w:p>
        </w:tc>
      </w:tr>
      <w:tr>
        <w:trPr>
          <w:trHeight w:val="389"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经审议批准宣告发放的利润或股利</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BodyText"/>
        <w:spacing w:line="237" w:lineRule="auto" w:before="38"/>
        <w:ind w:right="230"/>
        <w:jc w:val="both"/>
      </w:pPr>
      <w:r>
        <w:rPr>
          <w:rFonts w:ascii="宋体" w:hAnsi="宋体" w:cs="宋体" w:eastAsia="宋体" w:hint="default"/>
        </w:rPr>
        <w:t>2017</w:t>
      </w:r>
      <w:r>
        <w:rPr>
          <w:rFonts w:ascii="宋体" w:hAnsi="宋体" w:cs="宋体" w:eastAsia="宋体" w:hint="default"/>
          <w:spacing w:val="-54"/>
        </w:rPr>
        <w:t> </w:t>
      </w:r>
      <w:r>
        <w:rPr/>
        <w:t>年度公司实现净利润</w:t>
      </w:r>
      <w:r>
        <w:rPr>
          <w:spacing w:val="-54"/>
        </w:rPr>
        <w:t> </w:t>
      </w:r>
      <w:r>
        <w:rPr>
          <w:rFonts w:ascii="宋体" w:hAnsi="宋体" w:cs="宋体" w:eastAsia="宋体" w:hint="default"/>
        </w:rPr>
        <w:t>329,392,628</w:t>
      </w:r>
      <w:r>
        <w:rPr>
          <w:rFonts w:ascii="宋体" w:hAnsi="宋体" w:cs="宋体" w:eastAsia="宋体" w:hint="default"/>
          <w:spacing w:val="3"/>
        </w:rPr>
        <w:t> </w:t>
      </w:r>
      <w:r>
        <w:rPr>
          <w:spacing w:val="-6"/>
        </w:rPr>
        <w:t>元。公司以</w:t>
      </w:r>
      <w:r>
        <w:rPr>
          <w:spacing w:val="-51"/>
        </w:rPr>
        <w:t> </w:t>
      </w:r>
      <w:r>
        <w:rPr>
          <w:rFonts w:ascii="宋体" w:hAnsi="宋体" w:cs="宋体" w:eastAsia="宋体" w:hint="default"/>
        </w:rPr>
        <w:t>2017</w:t>
      </w:r>
      <w:r>
        <w:rPr>
          <w:rFonts w:ascii="宋体" w:hAnsi="宋体" w:cs="宋体" w:eastAsia="宋体" w:hint="default"/>
          <w:spacing w:val="-52"/>
        </w:rPr>
        <w:t> </w:t>
      </w:r>
      <w:r>
        <w:rPr/>
        <w:t>年度净利润</w:t>
      </w:r>
      <w:r>
        <w:rPr>
          <w:spacing w:val="-54"/>
        </w:rPr>
        <w:t> </w:t>
      </w:r>
      <w:r>
        <w:rPr>
          <w:rFonts w:ascii="宋体" w:hAnsi="宋体" w:cs="宋体" w:eastAsia="宋体" w:hint="default"/>
        </w:rPr>
        <w:t>329,392,628</w:t>
      </w:r>
      <w:r>
        <w:rPr>
          <w:rFonts w:ascii="宋体" w:hAnsi="宋体" w:cs="宋体" w:eastAsia="宋体" w:hint="default"/>
          <w:spacing w:val="3"/>
        </w:rPr>
        <w:t> </w:t>
      </w:r>
      <w:r>
        <w:rPr>
          <w:spacing w:val="-5"/>
        </w:rPr>
        <w:t>元为基数，提</w:t>
      </w:r>
      <w:r>
        <w:rPr>
          <w:w w:val="100"/>
        </w:rPr>
        <w:t> </w:t>
      </w:r>
      <w:r>
        <w:rPr/>
        <w:t>取</w:t>
      </w:r>
      <w:r>
        <w:rPr>
          <w:spacing w:val="-52"/>
        </w:rPr>
        <w:t> </w:t>
      </w:r>
      <w:r>
        <w:rPr>
          <w:rFonts w:ascii="宋体" w:hAnsi="宋体" w:cs="宋体" w:eastAsia="宋体" w:hint="default"/>
        </w:rPr>
        <w:t>10%</w:t>
      </w:r>
      <w:r>
        <w:rPr/>
        <w:t>的法定盈余公积金</w:t>
      </w:r>
      <w:r>
        <w:rPr>
          <w:spacing w:val="-52"/>
        </w:rPr>
        <w:t> </w:t>
      </w:r>
      <w:r>
        <w:rPr>
          <w:rFonts w:ascii="宋体" w:hAnsi="宋体" w:cs="宋体" w:eastAsia="宋体" w:hint="default"/>
        </w:rPr>
        <w:t>32,939,263</w:t>
      </w:r>
      <w:r>
        <w:rPr>
          <w:rFonts w:ascii="宋体" w:hAnsi="宋体" w:cs="宋体" w:eastAsia="宋体" w:hint="default"/>
          <w:spacing w:val="-55"/>
        </w:rPr>
        <w:t> </w:t>
      </w:r>
      <w:r>
        <w:rPr/>
        <w:t>元，提取</w:t>
      </w:r>
      <w:r>
        <w:rPr>
          <w:spacing w:val="-52"/>
        </w:rPr>
        <w:t> </w:t>
      </w:r>
      <w:r>
        <w:rPr>
          <w:rFonts w:ascii="宋体" w:hAnsi="宋体" w:cs="宋体" w:eastAsia="宋体" w:hint="default"/>
        </w:rPr>
        <w:t>5%</w:t>
      </w:r>
      <w:r>
        <w:rPr/>
        <w:t>任意盈余公积金</w:t>
      </w:r>
      <w:r>
        <w:rPr>
          <w:spacing w:val="-52"/>
        </w:rPr>
        <w:t> </w:t>
      </w:r>
      <w:r>
        <w:rPr>
          <w:rFonts w:ascii="宋体" w:hAnsi="宋体" w:cs="宋体" w:eastAsia="宋体" w:hint="default"/>
        </w:rPr>
        <w:t>16,469,631</w:t>
      </w:r>
      <w:r>
        <w:rPr>
          <w:rFonts w:ascii="宋体" w:hAnsi="宋体" w:cs="宋体" w:eastAsia="宋体" w:hint="default"/>
          <w:spacing w:val="-54"/>
        </w:rPr>
        <w:t> </w:t>
      </w:r>
      <w:r>
        <w:rPr/>
        <w:t>元，加往年累积的</w:t>
      </w:r>
      <w:r>
        <w:rPr>
          <w:w w:val="100"/>
        </w:rPr>
        <w:t> </w:t>
      </w:r>
      <w:r>
        <w:rPr/>
        <w:t>未分配利润</w:t>
      </w:r>
      <w:r>
        <w:rPr>
          <w:spacing w:val="-48"/>
        </w:rPr>
        <w:t> </w:t>
      </w:r>
      <w:r>
        <w:rPr>
          <w:rFonts w:ascii="宋体" w:hAnsi="宋体" w:cs="宋体" w:eastAsia="宋体" w:hint="default"/>
        </w:rPr>
        <w:t>1,165,917,627975,569,312</w:t>
      </w:r>
      <w:r>
        <w:rPr>
          <w:rFonts w:ascii="宋体" w:hAnsi="宋体" w:cs="宋体" w:eastAsia="宋体" w:hint="default"/>
          <w:spacing w:val="-50"/>
        </w:rPr>
        <w:t> </w:t>
      </w:r>
      <w:r>
        <w:rPr>
          <w:spacing w:val="-5"/>
        </w:rPr>
        <w:t>元，本次实际可供分配的利润为</w:t>
      </w:r>
      <w:r>
        <w:rPr>
          <w:spacing w:val="-48"/>
        </w:rPr>
        <w:t> </w:t>
      </w:r>
      <w:r>
        <w:rPr>
          <w:rFonts w:ascii="宋体" w:hAnsi="宋体" w:cs="宋体" w:eastAsia="宋体" w:hint="default"/>
        </w:rPr>
        <w:t>1,445,901,361</w:t>
      </w:r>
      <w:r>
        <w:rPr>
          <w:rFonts w:ascii="宋体" w:hAnsi="宋体" w:cs="宋体" w:eastAsia="宋体" w:hint="default"/>
          <w:spacing w:val="-50"/>
        </w:rPr>
        <w:t> </w:t>
      </w:r>
      <w:r>
        <w:rPr>
          <w:spacing w:val="-12"/>
        </w:rPr>
        <w:t>元；公司</w:t>
      </w:r>
    </w:p>
    <w:p>
      <w:pPr>
        <w:pStyle w:val="BodyText"/>
        <w:spacing w:line="272" w:lineRule="exact"/>
        <w:ind w:right="0"/>
        <w:jc w:val="both"/>
      </w:pPr>
      <w:r>
        <w:rPr/>
        <w:t>以股权登记日总股本为基数，</w:t>
      </w:r>
      <w:r>
        <w:rPr>
          <w:rFonts w:ascii="宋体" w:hAnsi="宋体" w:cs="宋体" w:eastAsia="宋体" w:hint="default"/>
        </w:rPr>
        <w:t>255,553,046</w:t>
      </w:r>
      <w:r>
        <w:rPr>
          <w:rFonts w:ascii="宋体" w:hAnsi="宋体" w:cs="宋体" w:eastAsia="宋体" w:hint="default"/>
          <w:spacing w:val="-59"/>
        </w:rPr>
        <w:t> </w:t>
      </w:r>
      <w:r>
        <w:rPr>
          <w:spacing w:val="-5"/>
        </w:rPr>
        <w:t>元；公司以</w:t>
      </w:r>
      <w:r>
        <w:rPr>
          <w:spacing w:val="-56"/>
        </w:rPr>
        <w:t> </w:t>
      </w:r>
      <w:r>
        <w:rPr>
          <w:rFonts w:ascii="宋体" w:hAnsi="宋体" w:cs="宋体" w:eastAsia="宋体" w:hint="default"/>
        </w:rPr>
        <w:t>2017</w:t>
      </w:r>
      <w:r>
        <w:rPr>
          <w:rFonts w:ascii="宋体" w:hAnsi="宋体" w:cs="宋体" w:eastAsia="宋体" w:hint="default"/>
          <w:spacing w:val="-57"/>
        </w:rPr>
        <w:t> </w:t>
      </w:r>
      <w:r>
        <w:rPr/>
        <w:t>年末总股本</w:t>
      </w:r>
      <w:r>
        <w:rPr>
          <w:spacing w:val="-59"/>
        </w:rPr>
        <w:t> </w:t>
      </w:r>
      <w:r>
        <w:rPr>
          <w:rFonts w:ascii="宋体" w:hAnsi="宋体" w:cs="宋体" w:eastAsia="宋体" w:hint="default"/>
        </w:rPr>
        <w:t>1,464,217,811</w:t>
      </w:r>
      <w:r>
        <w:rPr>
          <w:rFonts w:ascii="宋体" w:hAnsi="宋体" w:cs="宋体" w:eastAsia="宋体" w:hint="default"/>
          <w:spacing w:val="-59"/>
        </w:rPr>
        <w:t> </w:t>
      </w:r>
      <w:r>
        <w:rPr/>
        <w:t>股扣除将</w:t>
      </w:r>
    </w:p>
    <w:p>
      <w:pPr>
        <w:pStyle w:val="BodyText"/>
        <w:spacing w:line="271" w:lineRule="exact"/>
        <w:ind w:right="0"/>
        <w:jc w:val="both"/>
      </w:pPr>
      <w:r>
        <w:rPr/>
        <w:t>注销的回购股份</w:t>
      </w:r>
      <w:r>
        <w:rPr>
          <w:spacing w:val="-53"/>
        </w:rPr>
        <w:t> </w:t>
      </w:r>
      <w:r>
        <w:rPr>
          <w:rFonts w:ascii="宋体" w:hAnsi="宋体" w:cs="宋体" w:eastAsia="宋体" w:hint="default"/>
        </w:rPr>
        <w:t>2,991,583</w:t>
      </w:r>
      <w:r>
        <w:rPr>
          <w:rFonts w:ascii="宋体" w:hAnsi="宋体" w:cs="宋体" w:eastAsia="宋体" w:hint="default"/>
          <w:spacing w:val="-52"/>
        </w:rPr>
        <w:t> </w:t>
      </w:r>
      <w:r>
        <w:rPr/>
        <w:t>股后的</w:t>
      </w:r>
      <w:r>
        <w:rPr>
          <w:spacing w:val="-52"/>
        </w:rPr>
        <w:t> </w:t>
      </w:r>
      <w:r>
        <w:rPr>
          <w:rFonts w:ascii="宋体" w:hAnsi="宋体" w:cs="宋体" w:eastAsia="宋体" w:hint="default"/>
        </w:rPr>
        <w:t>1,461,226,228</w:t>
      </w:r>
      <w:r>
        <w:rPr>
          <w:rFonts w:ascii="宋体" w:hAnsi="宋体" w:cs="宋体" w:eastAsia="宋体" w:hint="default"/>
          <w:spacing w:val="-55"/>
        </w:rPr>
        <w:t> </w:t>
      </w:r>
      <w:r>
        <w:rPr/>
        <w:t>股为基数</w:t>
      </w:r>
      <w:r>
        <w:rPr>
          <w:rFonts w:ascii="宋体" w:hAnsi="宋体" w:cs="宋体" w:eastAsia="宋体" w:hint="default"/>
        </w:rPr>
        <w:t>,</w:t>
      </w:r>
      <w:r>
        <w:rPr/>
        <w:t>拟向全体股东每</w:t>
      </w:r>
      <w:r>
        <w:rPr>
          <w:spacing w:val="-52"/>
        </w:rPr>
        <w:t> </w:t>
      </w:r>
      <w:r>
        <w:rPr>
          <w:rFonts w:ascii="宋体" w:hAnsi="宋体" w:cs="宋体" w:eastAsia="宋体" w:hint="default"/>
        </w:rPr>
        <w:t>10</w:t>
      </w:r>
      <w:r>
        <w:rPr>
          <w:rFonts w:ascii="宋体" w:hAnsi="宋体" w:cs="宋体" w:eastAsia="宋体" w:hint="default"/>
          <w:spacing w:val="-55"/>
        </w:rPr>
        <w:t> </w:t>
      </w:r>
      <w:r>
        <w:rPr/>
        <w:t>股派发现金股利</w:t>
      </w:r>
    </w:p>
    <w:p>
      <w:pPr>
        <w:pStyle w:val="BodyText"/>
        <w:spacing w:line="273" w:lineRule="exact"/>
        <w:ind w:right="0"/>
        <w:jc w:val="both"/>
      </w:pPr>
      <w:r>
        <w:rPr>
          <w:rFonts w:ascii="宋体" w:hAnsi="宋体" w:cs="宋体" w:eastAsia="宋体" w:hint="default"/>
        </w:rPr>
        <w:t>1.5</w:t>
      </w:r>
      <w:r>
        <w:rPr>
          <w:rFonts w:ascii="宋体" w:hAnsi="宋体" w:cs="宋体" w:eastAsia="宋体" w:hint="default"/>
          <w:spacing w:val="-53"/>
        </w:rPr>
        <w:t> </w:t>
      </w:r>
      <w:r>
        <w:rPr/>
        <w:t>元</w:t>
      </w:r>
      <w:r>
        <w:rPr>
          <w:rFonts w:ascii="宋体" w:hAnsi="宋体" w:cs="宋体" w:eastAsia="宋体" w:hint="default"/>
        </w:rPr>
        <w:t>(</w:t>
      </w:r>
      <w:r>
        <w:rPr/>
        <w:t>含税</w:t>
      </w:r>
      <w:r>
        <w:rPr>
          <w:rFonts w:ascii="宋体" w:hAnsi="宋体" w:cs="宋体" w:eastAsia="宋体" w:hint="default"/>
        </w:rPr>
        <w:t>)</w:t>
      </w:r>
      <w:r>
        <w:rPr/>
        <w:t>。</w:t>
      </w:r>
    </w:p>
    <w:p>
      <w:pPr>
        <w:spacing w:line="240" w:lineRule="auto" w:before="8"/>
        <w:rPr>
          <w:rFonts w:ascii="宋体" w:hAnsi="宋体" w:cs="宋体" w:eastAsia="宋体" w:hint="default"/>
          <w:sz w:val="20"/>
          <w:szCs w:val="20"/>
        </w:rPr>
      </w:pPr>
    </w:p>
    <w:p>
      <w:pPr>
        <w:pStyle w:val="BodyText"/>
        <w:spacing w:line="240" w:lineRule="auto"/>
        <w:ind w:right="99"/>
        <w:jc w:val="left"/>
      </w:pPr>
      <w:r>
        <w:rPr/>
        <w:t>公</w:t>
      </w:r>
      <w:r>
        <w:rPr>
          <w:spacing w:val="-70"/>
        </w:rPr>
        <w:t> </w:t>
      </w:r>
      <w:r>
        <w:rPr/>
        <w:t>司</w:t>
      </w:r>
      <w:r>
        <w:rPr>
          <w:spacing w:val="-72"/>
        </w:rPr>
        <w:t> </w:t>
      </w:r>
      <w:r>
        <w:rPr/>
        <w:t>以</w:t>
      </w:r>
      <w:r>
        <w:rPr>
          <w:spacing w:val="35"/>
        </w:rPr>
        <w:t> </w:t>
      </w:r>
      <w:r>
        <w:rPr>
          <w:rFonts w:ascii="宋体" w:hAnsi="宋体" w:cs="宋体" w:eastAsia="宋体" w:hint="default"/>
        </w:rPr>
        <w:t>2017</w:t>
      </w:r>
      <w:r>
        <w:rPr>
          <w:rFonts w:ascii="宋体" w:hAnsi="宋体" w:cs="宋体" w:eastAsia="宋体" w:hint="default"/>
          <w:spacing w:val="38"/>
        </w:rPr>
        <w:t> </w:t>
      </w:r>
      <w:r>
        <w:rPr/>
        <w:t>年</w:t>
      </w:r>
      <w:r>
        <w:rPr>
          <w:spacing w:val="-72"/>
        </w:rPr>
        <w:t> </w:t>
      </w:r>
      <w:r>
        <w:rPr/>
        <w:t>末</w:t>
      </w:r>
      <w:r>
        <w:rPr>
          <w:spacing w:val="-72"/>
        </w:rPr>
        <w:t> </w:t>
      </w:r>
      <w:r>
        <w:rPr/>
        <w:t>总</w:t>
      </w:r>
      <w:r>
        <w:rPr>
          <w:spacing w:val="-70"/>
        </w:rPr>
        <w:t> </w:t>
      </w:r>
      <w:r>
        <w:rPr/>
        <w:t>股</w:t>
      </w:r>
      <w:r>
        <w:rPr>
          <w:spacing w:val="-72"/>
        </w:rPr>
        <w:t> </w:t>
      </w:r>
      <w:r>
        <w:rPr/>
        <w:t>本</w:t>
      </w:r>
      <w:r>
        <w:rPr>
          <w:spacing w:val="40"/>
        </w:rPr>
        <w:t> </w:t>
      </w:r>
      <w:r>
        <w:rPr>
          <w:rFonts w:ascii="宋体" w:hAnsi="宋体" w:cs="宋体" w:eastAsia="宋体" w:hint="default"/>
        </w:rPr>
        <w:t>1,464,217,811</w:t>
      </w:r>
      <w:r>
        <w:rPr>
          <w:rFonts w:ascii="宋体" w:hAnsi="宋体" w:cs="宋体" w:eastAsia="宋体" w:hint="default"/>
          <w:spacing w:val="38"/>
        </w:rPr>
        <w:t> </w:t>
      </w:r>
      <w:r>
        <w:rPr/>
        <w:t>股</w:t>
      </w:r>
      <w:r>
        <w:rPr>
          <w:spacing w:val="-72"/>
        </w:rPr>
        <w:t> </w:t>
      </w:r>
      <w:r>
        <w:rPr/>
        <w:t>扣</w:t>
      </w:r>
      <w:r>
        <w:rPr>
          <w:spacing w:val="-72"/>
        </w:rPr>
        <w:t> </w:t>
      </w:r>
      <w:r>
        <w:rPr/>
        <w:t>除</w:t>
      </w:r>
      <w:r>
        <w:rPr>
          <w:spacing w:val="-70"/>
        </w:rPr>
        <w:t> </w:t>
      </w:r>
      <w:r>
        <w:rPr/>
        <w:t>将</w:t>
      </w:r>
      <w:r>
        <w:rPr>
          <w:spacing w:val="-72"/>
        </w:rPr>
        <w:t> </w:t>
      </w:r>
      <w:r>
        <w:rPr/>
        <w:t>注</w:t>
      </w:r>
      <w:r>
        <w:rPr>
          <w:spacing w:val="-72"/>
        </w:rPr>
        <w:t> </w:t>
      </w:r>
      <w:r>
        <w:rPr/>
        <w:t>销</w:t>
      </w:r>
      <w:r>
        <w:rPr>
          <w:spacing w:val="-70"/>
        </w:rPr>
        <w:t> </w:t>
      </w:r>
      <w:r>
        <w:rPr/>
        <w:t>的</w:t>
      </w:r>
      <w:r>
        <w:rPr>
          <w:spacing w:val="-72"/>
        </w:rPr>
        <w:t> </w:t>
      </w:r>
      <w:r>
        <w:rPr/>
        <w:t>回</w:t>
      </w:r>
      <w:r>
        <w:rPr>
          <w:spacing w:val="-72"/>
        </w:rPr>
        <w:t> </w:t>
      </w:r>
      <w:r>
        <w:rPr/>
        <w:t>购</w:t>
      </w:r>
      <w:r>
        <w:rPr>
          <w:spacing w:val="-70"/>
        </w:rPr>
        <w:t> </w:t>
      </w:r>
      <w:r>
        <w:rPr/>
        <w:t>股</w:t>
      </w:r>
      <w:r>
        <w:rPr>
          <w:spacing w:val="-72"/>
        </w:rPr>
        <w:t> </w:t>
      </w:r>
      <w:r>
        <w:rPr/>
        <w:t>份</w:t>
      </w:r>
      <w:r>
        <w:rPr>
          <w:spacing w:val="39"/>
        </w:rPr>
        <w:t> </w:t>
      </w:r>
      <w:r>
        <w:rPr>
          <w:rFonts w:ascii="宋体" w:hAnsi="宋体" w:cs="宋体" w:eastAsia="宋体" w:hint="default"/>
        </w:rPr>
        <w:t>2,991,583</w:t>
      </w:r>
      <w:r>
        <w:rPr>
          <w:rFonts w:ascii="宋体" w:hAnsi="宋体" w:cs="宋体" w:eastAsia="宋体" w:hint="default"/>
          <w:spacing w:val="35"/>
        </w:rPr>
        <w:t> </w:t>
      </w:r>
      <w:r>
        <w:rPr/>
        <w:t>股</w:t>
      </w:r>
      <w:r>
        <w:rPr>
          <w:spacing w:val="-72"/>
        </w:rPr>
        <w:t> </w:t>
      </w:r>
      <w:r>
        <w:rPr/>
        <w:t>后</w:t>
      </w:r>
      <w:r>
        <w:rPr>
          <w:spacing w:val="-70"/>
        </w:rPr>
        <w:t> </w:t>
      </w:r>
      <w:r>
        <w:rPr/>
        <w:t>的</w:t>
      </w:r>
      <w:r>
        <w:rPr>
          <w:w w:val="100"/>
        </w:rPr>
        <w:t> </w:t>
      </w:r>
      <w:r>
        <w:rPr>
          <w:rFonts w:ascii="宋体" w:hAnsi="宋体" w:cs="宋体" w:eastAsia="宋体" w:hint="default"/>
        </w:rPr>
        <w:t>1,461,226,228</w:t>
      </w:r>
      <w:r>
        <w:rPr>
          <w:rFonts w:ascii="宋体" w:hAnsi="宋体" w:cs="宋体" w:eastAsia="宋体" w:hint="default"/>
          <w:spacing w:val="-50"/>
        </w:rPr>
        <w:t> </w:t>
      </w:r>
      <w:r>
        <w:rPr>
          <w:spacing w:val="-3"/>
        </w:rPr>
        <w:t>股为基数，拟向全体股东每</w:t>
      </w:r>
      <w:r>
        <w:rPr>
          <w:spacing w:val="-47"/>
        </w:rPr>
        <w:t> </w:t>
      </w:r>
      <w:r>
        <w:rPr>
          <w:rFonts w:ascii="宋体" w:hAnsi="宋体" w:cs="宋体" w:eastAsia="宋体" w:hint="default"/>
        </w:rPr>
        <w:t>10</w:t>
      </w:r>
      <w:r>
        <w:rPr>
          <w:rFonts w:ascii="宋体" w:hAnsi="宋体" w:cs="宋体" w:eastAsia="宋体" w:hint="default"/>
          <w:spacing w:val="-50"/>
        </w:rPr>
        <w:t> </w:t>
      </w:r>
      <w:r>
        <w:rPr/>
        <w:t>股转增</w:t>
      </w:r>
      <w:r>
        <w:rPr>
          <w:spacing w:val="-46"/>
        </w:rPr>
        <w:t> </w:t>
      </w:r>
      <w:r>
        <w:rPr>
          <w:rFonts w:ascii="宋体" w:hAnsi="宋体" w:cs="宋体" w:eastAsia="宋体" w:hint="default"/>
        </w:rPr>
        <w:t>3</w:t>
      </w:r>
      <w:r>
        <w:rPr>
          <w:rFonts w:ascii="宋体" w:hAnsi="宋体" w:cs="宋体" w:eastAsia="宋体" w:hint="default"/>
          <w:spacing w:val="-47"/>
        </w:rPr>
        <w:t> </w:t>
      </w:r>
      <w:r>
        <w:rPr>
          <w:spacing w:val="-4"/>
        </w:rPr>
        <w:t>股，共计转增</w:t>
      </w:r>
      <w:r>
        <w:rPr>
          <w:spacing w:val="-47"/>
        </w:rPr>
        <w:t> </w:t>
      </w:r>
      <w:r>
        <w:rPr>
          <w:rFonts w:ascii="宋体" w:hAnsi="宋体" w:cs="宋体" w:eastAsia="宋体" w:hint="default"/>
        </w:rPr>
        <w:t>438,367,868</w:t>
      </w:r>
      <w:r>
        <w:rPr>
          <w:rFonts w:ascii="宋体" w:hAnsi="宋体" w:cs="宋体" w:eastAsia="宋体" w:hint="default"/>
          <w:spacing w:val="-50"/>
        </w:rPr>
        <w:t> </w:t>
      </w:r>
      <w:r>
        <w:rPr>
          <w:spacing w:val="-4"/>
        </w:rPr>
        <w:t>股，转增股本</w:t>
      </w:r>
    </w:p>
    <w:p>
      <w:pPr>
        <w:pStyle w:val="BodyText"/>
        <w:spacing w:line="271" w:lineRule="exact"/>
        <w:ind w:right="0"/>
        <w:jc w:val="both"/>
      </w:pPr>
      <w:r>
        <w:rPr/>
        <w:t>后，公司总股本</w:t>
      </w:r>
      <w:r>
        <w:rPr>
          <w:spacing w:val="-53"/>
        </w:rPr>
        <w:t> </w:t>
      </w:r>
      <w:r>
        <w:rPr>
          <w:rFonts w:ascii="宋体" w:hAnsi="宋体" w:cs="宋体" w:eastAsia="宋体" w:hint="default"/>
        </w:rPr>
        <w:t>1,899,594,096</w:t>
      </w:r>
      <w:r>
        <w:rPr>
          <w:rFonts w:ascii="宋体" w:hAnsi="宋体" w:cs="宋体" w:eastAsia="宋体" w:hint="default"/>
          <w:spacing w:val="-1"/>
        </w:rPr>
        <w:t> </w:t>
      </w:r>
      <w:r>
        <w:rPr/>
        <w:t>股，资本公积余额</w:t>
      </w:r>
      <w:r>
        <w:rPr>
          <w:spacing w:val="-4"/>
        </w:rPr>
        <w:t> </w:t>
      </w:r>
      <w:r>
        <w:rPr>
          <w:rFonts w:ascii="宋体" w:hAnsi="宋体" w:cs="宋体" w:eastAsia="宋体" w:hint="default"/>
        </w:rPr>
        <w:t>1,249,914,539</w:t>
      </w:r>
      <w:r>
        <w:rPr>
          <w:rFonts w:ascii="宋体" w:hAnsi="宋体" w:cs="宋体" w:eastAsia="宋体" w:hint="default"/>
          <w:spacing w:val="-55"/>
        </w:rPr>
        <w:t> </w:t>
      </w:r>
      <w:r>
        <w:rPr/>
        <w:t>元。</w:t>
      </w:r>
    </w:p>
    <w:p>
      <w:pPr>
        <w:spacing w:line="240" w:lineRule="auto" w:before="3"/>
        <w:rPr>
          <w:rFonts w:ascii="宋体" w:hAnsi="宋体" w:cs="宋体" w:eastAsia="宋体" w:hint="default"/>
          <w:sz w:val="25"/>
          <w:szCs w:val="25"/>
        </w:rPr>
      </w:pPr>
    </w:p>
    <w:p>
      <w:pPr>
        <w:pStyle w:val="Heading3"/>
        <w:spacing w:line="240" w:lineRule="auto"/>
        <w:ind w:right="0"/>
        <w:jc w:val="both"/>
        <w:rPr>
          <w:b w:val="0"/>
          <w:bCs w:val="0"/>
        </w:rPr>
      </w:pPr>
      <w:r>
        <w:rPr>
          <w:rFonts w:ascii="Calibri" w:hAnsi="Calibri" w:cs="Calibri" w:eastAsia="Calibri" w:hint="default"/>
        </w:rPr>
        <w:t>3</w:t>
      </w:r>
      <w:r>
        <w:rPr/>
        <w:t>、</w:t>
      </w:r>
      <w:r>
        <w:rPr>
          <w:spacing w:val="2"/>
        </w:rPr>
        <w:t> </w:t>
      </w:r>
      <w:r>
        <w:rPr/>
        <w:t>销售退回</w:t>
      </w:r>
      <w:r>
        <w:rPr>
          <w:b w:val="0"/>
          <w:bCs w:val="0"/>
        </w:rPr>
      </w:r>
    </w:p>
    <w:p>
      <w:pPr>
        <w:pStyle w:val="BodyText"/>
        <w:spacing w:line="240" w:lineRule="auto" w:before="32"/>
        <w:ind w:right="0"/>
        <w:jc w:val="both"/>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right="0"/>
        <w:jc w:val="both"/>
        <w:rPr>
          <w:b w:val="0"/>
          <w:bCs w:val="0"/>
        </w:rPr>
      </w:pPr>
      <w:r>
        <w:rPr>
          <w:rFonts w:ascii="Calibri" w:hAnsi="Calibri" w:cs="Calibri" w:eastAsia="Calibri" w:hint="default"/>
        </w:rPr>
        <w:t>4</w:t>
      </w:r>
      <w:r>
        <w:rPr/>
        <w:t>、</w:t>
      </w:r>
      <w:r>
        <w:rPr>
          <w:spacing w:val="-1"/>
        </w:rPr>
        <w:t> </w:t>
      </w:r>
      <w:r>
        <w:rPr/>
        <w:t>其他资产负债表日后事项说明</w:t>
      </w:r>
      <w:r>
        <w:rPr>
          <w:b w:val="0"/>
          <w:bCs w:val="0"/>
        </w:rPr>
      </w:r>
    </w:p>
    <w:p>
      <w:pPr>
        <w:pStyle w:val="BodyText"/>
        <w:spacing w:line="240" w:lineRule="auto" w:before="29"/>
        <w:ind w:right="0"/>
        <w:jc w:val="both"/>
      </w:pPr>
      <w:r>
        <w:rPr/>
        <w:t>□适用</w:t>
      </w:r>
      <w:r>
        <w:rPr>
          <w:spacing w:val="104"/>
        </w:rPr>
        <w:t> </w:t>
      </w:r>
      <w:r>
        <w:rPr/>
        <w:t>√不适用</w:t>
      </w:r>
    </w:p>
    <w:p>
      <w:pPr>
        <w:spacing w:after="0" w:line="240" w:lineRule="auto"/>
        <w:jc w:val="both"/>
        <w:sectPr>
          <w:type w:val="continuous"/>
          <w:pgSz w:w="11910" w:h="16840"/>
          <w:pgMar w:top="1320" w:bottom="1380" w:left="1580" w:right="1040"/>
        </w:sectPr>
      </w:pPr>
    </w:p>
    <w:p>
      <w:pPr>
        <w:spacing w:line="240" w:lineRule="auto" w:before="4"/>
        <w:rPr>
          <w:rFonts w:ascii="宋体" w:hAnsi="宋体" w:cs="宋体" w:eastAsia="宋体" w:hint="default"/>
          <w:sz w:val="12"/>
          <w:szCs w:val="12"/>
        </w:rPr>
      </w:pPr>
    </w:p>
    <w:p>
      <w:pPr>
        <w:pStyle w:val="Heading3"/>
        <w:spacing w:line="290" w:lineRule="auto" w:before="36"/>
        <w:ind w:left="138" w:right="6872"/>
        <w:jc w:val="both"/>
        <w:rPr>
          <w:b w:val="0"/>
          <w:bCs w:val="0"/>
        </w:rPr>
      </w:pPr>
      <w:r>
        <w:rPr/>
        <w:t>十六、</w:t>
      </w:r>
      <w:r>
        <w:rPr>
          <w:spacing w:val="103"/>
        </w:rPr>
        <w:t> </w:t>
      </w:r>
      <w:r>
        <w:rPr/>
        <w:t>其他重要事项</w:t>
      </w:r>
      <w:r>
        <w:rPr>
          <w:w w:val="100"/>
        </w:rPr>
        <w:t> </w:t>
      </w:r>
      <w:r>
        <w:rPr>
          <w:rFonts w:ascii="宋体" w:hAnsi="宋体" w:cs="宋体" w:eastAsia="宋体" w:hint="default"/>
        </w:rPr>
        <w:t>1</w:t>
      </w:r>
      <w:r>
        <w:rPr/>
        <w:t>、</w:t>
      </w:r>
      <w:r>
        <w:rPr>
          <w:spacing w:val="5"/>
        </w:rPr>
        <w:t> </w:t>
      </w:r>
      <w:r>
        <w:rPr/>
        <w:t>前期会计差错更正</w:t>
      </w:r>
      <w:r>
        <w:rPr>
          <w:w w:val="100"/>
        </w:rPr>
        <w:t> </w:t>
      </w:r>
      <w:r>
        <w:rPr>
          <w:rFonts w:ascii="宋体" w:hAnsi="宋体" w:cs="宋体" w:eastAsia="宋体" w:hint="default"/>
        </w:rPr>
        <w:t>(1).</w:t>
      </w:r>
      <w:r>
        <w:rPr>
          <w:rFonts w:ascii="宋体" w:hAnsi="宋体" w:cs="宋体" w:eastAsia="宋体" w:hint="default"/>
          <w:spacing w:val="74"/>
        </w:rPr>
        <w:t> </w:t>
      </w:r>
      <w:r>
        <w:rPr/>
        <w:t>追溯重述法</w:t>
      </w:r>
      <w:r>
        <w:rPr>
          <w:b w:val="0"/>
          <w:bCs w:val="0"/>
        </w:rPr>
      </w:r>
    </w:p>
    <w:p>
      <w:pPr>
        <w:spacing w:line="290" w:lineRule="auto" w:before="14"/>
        <w:ind w:left="138" w:right="7311"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2"/>
          <w:sz w:val="21"/>
          <w:szCs w:val="21"/>
        </w:rPr>
        <w:t> </w:t>
      </w:r>
      <w:r>
        <w:rPr>
          <w:rFonts w:ascii="宋体" w:hAnsi="宋体" w:cs="宋体" w:eastAsia="宋体" w:hint="default"/>
          <w:sz w:val="21"/>
          <w:szCs w:val="21"/>
        </w:rPr>
        <w:t>√不适用</w:t>
      </w:r>
      <w:r>
        <w:rPr>
          <w:rFonts w:ascii="宋体" w:hAnsi="宋体" w:cs="宋体" w:eastAsia="宋体" w:hint="default"/>
          <w:w w:val="100"/>
          <w:sz w:val="21"/>
          <w:szCs w:val="21"/>
        </w:rPr>
        <w:t> </w:t>
      </w:r>
      <w:r>
        <w:rPr>
          <w:rFonts w:ascii="宋体" w:hAnsi="宋体" w:cs="宋体" w:eastAsia="宋体" w:hint="default"/>
          <w:b/>
          <w:bCs/>
          <w:sz w:val="21"/>
          <w:szCs w:val="21"/>
        </w:rPr>
        <w:t>(2).</w:t>
      </w:r>
      <w:r>
        <w:rPr>
          <w:rFonts w:ascii="宋体" w:hAnsi="宋体" w:cs="宋体" w:eastAsia="宋体" w:hint="default"/>
          <w:b/>
          <w:bCs/>
          <w:spacing w:val="74"/>
          <w:sz w:val="21"/>
          <w:szCs w:val="21"/>
        </w:rPr>
        <w:t> </w:t>
      </w:r>
      <w:r>
        <w:rPr>
          <w:rFonts w:ascii="宋体" w:hAnsi="宋体" w:cs="宋体" w:eastAsia="宋体" w:hint="default"/>
          <w:b/>
          <w:bCs/>
          <w:sz w:val="21"/>
          <w:szCs w:val="21"/>
        </w:rPr>
        <w:t>未来适用法</w:t>
      </w:r>
      <w:r>
        <w:rPr>
          <w:rFonts w:ascii="宋体" w:hAnsi="宋体" w:cs="宋体" w:eastAsia="宋体" w:hint="default"/>
          <w:sz w:val="21"/>
          <w:szCs w:val="21"/>
        </w:rPr>
      </w:r>
    </w:p>
    <w:p>
      <w:pPr>
        <w:spacing w:line="290" w:lineRule="auto" w:before="14"/>
        <w:ind w:left="138" w:right="7394"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
          <w:sz w:val="21"/>
          <w:szCs w:val="21"/>
        </w:rPr>
        <w:t> </w:t>
      </w:r>
      <w:r>
        <w:rPr>
          <w:rFonts w:ascii="宋体" w:hAnsi="宋体" w:cs="宋体" w:eastAsia="宋体" w:hint="default"/>
          <w:sz w:val="21"/>
          <w:szCs w:val="21"/>
        </w:rPr>
        <w:t>√不适用</w:t>
      </w:r>
      <w:r>
        <w:rPr>
          <w:rFonts w:ascii="宋体" w:hAnsi="宋体" w:cs="宋体" w:eastAsia="宋体" w:hint="default"/>
          <w:w w:val="100"/>
          <w:sz w:val="21"/>
          <w:szCs w:val="21"/>
        </w:rPr>
        <w:t> </w:t>
      </w: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债务重组</w:t>
      </w:r>
      <w:r>
        <w:rPr>
          <w:rFonts w:ascii="宋体" w:hAnsi="宋体" w:cs="宋体" w:eastAsia="宋体" w:hint="default"/>
          <w:sz w:val="21"/>
          <w:szCs w:val="21"/>
        </w:rPr>
      </w:r>
    </w:p>
    <w:p>
      <w:pPr>
        <w:pStyle w:val="BodyText"/>
        <w:spacing w:line="240" w:lineRule="auto" w:before="14"/>
        <w:ind w:left="138" w:right="0"/>
        <w:jc w:val="both"/>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left="138" w:right="0"/>
        <w:jc w:val="both"/>
        <w:rPr>
          <w:b w:val="0"/>
          <w:bCs w:val="0"/>
        </w:rPr>
      </w:pPr>
      <w:r>
        <w:rPr>
          <w:rFonts w:ascii="宋体" w:hAnsi="宋体" w:cs="宋体" w:eastAsia="宋体" w:hint="default"/>
        </w:rPr>
        <w:t>3</w:t>
      </w:r>
      <w:r>
        <w:rPr/>
        <w:t>、</w:t>
      </w:r>
      <w:r>
        <w:rPr>
          <w:spacing w:val="3"/>
        </w:rPr>
        <w:t> </w:t>
      </w:r>
      <w:r>
        <w:rPr/>
        <w:t>资产置换</w:t>
      </w:r>
      <w:r>
        <w:rPr>
          <w:b w:val="0"/>
          <w:bCs w:val="0"/>
        </w:rPr>
      </w:r>
    </w:p>
    <w:p>
      <w:pPr>
        <w:pStyle w:val="Heading3"/>
        <w:spacing w:line="240" w:lineRule="auto" w:before="57"/>
        <w:ind w:left="138" w:right="0"/>
        <w:jc w:val="both"/>
        <w:rPr>
          <w:b w:val="0"/>
          <w:bCs w:val="0"/>
        </w:rPr>
      </w:pPr>
      <w:r>
        <w:rPr>
          <w:rFonts w:ascii="宋体" w:hAnsi="宋体" w:cs="宋体" w:eastAsia="宋体" w:hint="default"/>
        </w:rPr>
        <w:t>(1). </w:t>
      </w:r>
      <w:r>
        <w:rPr>
          <w:rFonts w:ascii="宋体" w:hAnsi="宋体" w:cs="宋体" w:eastAsia="宋体" w:hint="default"/>
          <w:spacing w:val="11"/>
        </w:rPr>
        <w:t> </w:t>
      </w:r>
      <w:r>
        <w:rPr/>
        <w:t>非货币性资产交换</w:t>
      </w:r>
      <w:r>
        <w:rPr>
          <w:b w:val="0"/>
          <w:bCs w:val="0"/>
        </w:rPr>
      </w:r>
    </w:p>
    <w:p>
      <w:pPr>
        <w:pStyle w:val="BodyText"/>
        <w:spacing w:line="240" w:lineRule="auto" w:before="135"/>
        <w:ind w:left="138" w:right="0"/>
        <w:jc w:val="both"/>
      </w:pPr>
      <w:r>
        <w:rPr/>
        <w:t>□适用</w:t>
      </w:r>
      <w:r>
        <w:rPr>
          <w:spacing w:val="104"/>
        </w:rPr>
        <w:t> </w:t>
      </w:r>
      <w:r>
        <w:rPr/>
        <w:t>√不适用</w:t>
      </w:r>
    </w:p>
    <w:p>
      <w:pPr>
        <w:spacing w:line="240" w:lineRule="auto" w:before="12"/>
        <w:rPr>
          <w:rFonts w:ascii="宋体" w:hAnsi="宋体" w:cs="宋体" w:eastAsia="宋体" w:hint="default"/>
          <w:sz w:val="25"/>
          <w:szCs w:val="25"/>
        </w:rPr>
      </w:pPr>
    </w:p>
    <w:p>
      <w:pPr>
        <w:pStyle w:val="Heading3"/>
        <w:spacing w:line="240" w:lineRule="auto"/>
        <w:ind w:left="138" w:right="0"/>
        <w:jc w:val="both"/>
        <w:rPr>
          <w:b w:val="0"/>
          <w:bCs w:val="0"/>
        </w:rPr>
      </w:pPr>
      <w:r>
        <w:rPr>
          <w:rFonts w:ascii="宋体" w:hAnsi="宋体" w:cs="宋体" w:eastAsia="宋体" w:hint="default"/>
        </w:rPr>
        <w:t>(2). </w:t>
      </w:r>
      <w:r>
        <w:rPr>
          <w:rFonts w:ascii="宋体" w:hAnsi="宋体" w:cs="宋体" w:eastAsia="宋体" w:hint="default"/>
          <w:spacing w:val="10"/>
        </w:rPr>
        <w:t> </w:t>
      </w:r>
      <w:r>
        <w:rPr/>
        <w:t>其他资产置换</w:t>
      </w:r>
      <w:r>
        <w:rPr>
          <w:b w:val="0"/>
          <w:bCs w:val="0"/>
        </w:rPr>
      </w:r>
    </w:p>
    <w:p>
      <w:pPr>
        <w:pStyle w:val="BodyText"/>
        <w:spacing w:line="240" w:lineRule="auto" w:before="58"/>
        <w:ind w:left="138" w:right="0"/>
        <w:jc w:val="both"/>
      </w:pPr>
      <w:r>
        <w:rPr/>
        <w:t>□适用</w:t>
      </w:r>
      <w:r>
        <w:rPr>
          <w:spacing w:val="104"/>
        </w:rPr>
        <w:t> </w:t>
      </w:r>
      <w:r>
        <w:rPr/>
        <w:t>√不适用</w:t>
      </w:r>
    </w:p>
    <w:p>
      <w:pPr>
        <w:spacing w:line="240" w:lineRule="auto" w:before="3"/>
        <w:rPr>
          <w:rFonts w:ascii="宋体" w:hAnsi="宋体" w:cs="宋体" w:eastAsia="宋体" w:hint="default"/>
          <w:sz w:val="25"/>
          <w:szCs w:val="25"/>
        </w:rPr>
      </w:pPr>
    </w:p>
    <w:p>
      <w:pPr>
        <w:pStyle w:val="Heading3"/>
        <w:spacing w:line="240" w:lineRule="auto"/>
        <w:ind w:left="138" w:right="0"/>
        <w:jc w:val="both"/>
        <w:rPr>
          <w:b w:val="0"/>
          <w:bCs w:val="0"/>
        </w:rPr>
      </w:pPr>
      <w:r>
        <w:rPr>
          <w:rFonts w:ascii="宋体" w:hAnsi="宋体" w:cs="宋体" w:eastAsia="宋体" w:hint="default"/>
        </w:rPr>
        <w:t>4</w:t>
      </w:r>
      <w:r>
        <w:rPr/>
        <w:t>、</w:t>
      </w:r>
      <w:r>
        <w:rPr>
          <w:spacing w:val="3"/>
        </w:rPr>
        <w:t> </w:t>
      </w:r>
      <w:r>
        <w:rPr/>
        <w:t>年金计划</w:t>
      </w:r>
      <w:r>
        <w:rPr>
          <w:b w:val="0"/>
          <w:bCs w:val="0"/>
        </w:rPr>
      </w:r>
    </w:p>
    <w:p>
      <w:pPr>
        <w:pStyle w:val="BodyText"/>
        <w:spacing w:line="240" w:lineRule="auto" w:before="56"/>
        <w:ind w:left="138" w:right="0"/>
        <w:jc w:val="both"/>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left="138" w:right="0"/>
        <w:jc w:val="both"/>
        <w:rPr>
          <w:b w:val="0"/>
          <w:bCs w:val="0"/>
        </w:rPr>
      </w:pPr>
      <w:r>
        <w:rPr>
          <w:rFonts w:ascii="宋体" w:hAnsi="宋体" w:cs="宋体" w:eastAsia="宋体" w:hint="default"/>
        </w:rPr>
        <w:t>5</w:t>
      </w:r>
      <w:r>
        <w:rPr/>
        <w:t>、</w:t>
      </w:r>
      <w:r>
        <w:rPr>
          <w:spacing w:val="3"/>
        </w:rPr>
        <w:t> </w:t>
      </w:r>
      <w:r>
        <w:rPr/>
        <w:t>终止经营</w:t>
      </w:r>
      <w:r>
        <w:rPr>
          <w:b w:val="0"/>
          <w:bCs w:val="0"/>
        </w:rPr>
      </w:r>
    </w:p>
    <w:p>
      <w:pPr>
        <w:pStyle w:val="BodyText"/>
        <w:spacing w:line="240" w:lineRule="auto" w:before="56"/>
        <w:ind w:left="138" w:right="0"/>
        <w:jc w:val="both"/>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pStyle w:val="Heading3"/>
        <w:spacing w:line="240" w:lineRule="auto"/>
        <w:ind w:left="138" w:right="0"/>
        <w:jc w:val="both"/>
        <w:rPr>
          <w:b w:val="0"/>
          <w:bCs w:val="0"/>
        </w:rPr>
      </w:pPr>
      <w:r>
        <w:rPr>
          <w:rFonts w:ascii="宋体" w:hAnsi="宋体" w:cs="宋体" w:eastAsia="宋体" w:hint="default"/>
        </w:rPr>
        <w:t>6</w:t>
      </w:r>
      <w:r>
        <w:rPr/>
        <w:t>、</w:t>
      </w:r>
      <w:r>
        <w:rPr>
          <w:spacing w:val="3"/>
        </w:rPr>
        <w:t> </w:t>
      </w:r>
      <w:r>
        <w:rPr/>
        <w:t>分部信息</w:t>
      </w:r>
      <w:r>
        <w:rPr>
          <w:b w:val="0"/>
          <w:bCs w:val="0"/>
        </w:rPr>
      </w:r>
    </w:p>
    <w:p>
      <w:pPr>
        <w:pStyle w:val="Heading3"/>
        <w:spacing w:line="240" w:lineRule="auto" w:before="56"/>
        <w:ind w:left="138" w:right="0"/>
        <w:jc w:val="both"/>
        <w:rPr>
          <w:b w:val="0"/>
          <w:bCs w:val="0"/>
        </w:rPr>
      </w:pPr>
      <w:r>
        <w:rPr>
          <w:rFonts w:ascii="宋体" w:hAnsi="宋体" w:cs="宋体" w:eastAsia="宋体" w:hint="default"/>
        </w:rPr>
        <w:t>(1). </w:t>
      </w:r>
      <w:r>
        <w:rPr>
          <w:rFonts w:ascii="宋体" w:hAnsi="宋体" w:cs="宋体" w:eastAsia="宋体" w:hint="default"/>
          <w:spacing w:val="7"/>
        </w:rPr>
        <w:t> </w:t>
      </w:r>
      <w:r>
        <w:rPr/>
        <w:t>报告分部的确定依据与会计政策：</w:t>
      </w:r>
      <w:r>
        <w:rPr>
          <w:b w:val="0"/>
          <w:bCs w:val="0"/>
        </w:rPr>
      </w:r>
    </w:p>
    <w:p>
      <w:pPr>
        <w:pStyle w:val="BodyText"/>
        <w:spacing w:line="240" w:lineRule="auto" w:before="58"/>
        <w:ind w:left="138" w:right="0"/>
        <w:jc w:val="both"/>
      </w:pPr>
      <w:r>
        <w:rPr/>
        <w:t>□适用</w:t>
      </w:r>
      <w:r>
        <w:rPr>
          <w:spacing w:val="104"/>
        </w:rPr>
        <w:t> </w:t>
      </w:r>
      <w:r>
        <w:rPr/>
        <w:t>√不适用</w:t>
      </w:r>
    </w:p>
    <w:p>
      <w:pPr>
        <w:spacing w:line="240" w:lineRule="auto" w:before="3"/>
        <w:rPr>
          <w:rFonts w:ascii="宋体" w:hAnsi="宋体" w:cs="宋体" w:eastAsia="宋体" w:hint="default"/>
          <w:sz w:val="25"/>
          <w:szCs w:val="25"/>
        </w:rPr>
      </w:pPr>
    </w:p>
    <w:p>
      <w:pPr>
        <w:pStyle w:val="Heading3"/>
        <w:spacing w:line="240" w:lineRule="auto"/>
        <w:ind w:left="138" w:right="0"/>
        <w:jc w:val="both"/>
        <w:rPr>
          <w:b w:val="0"/>
          <w:bCs w:val="0"/>
        </w:rPr>
      </w:pPr>
      <w:r>
        <w:rPr>
          <w:rFonts w:ascii="宋体" w:hAnsi="宋体" w:cs="宋体" w:eastAsia="宋体" w:hint="default"/>
        </w:rPr>
        <w:t>(2). </w:t>
      </w:r>
      <w:r>
        <w:rPr>
          <w:rFonts w:ascii="宋体" w:hAnsi="宋体" w:cs="宋体" w:eastAsia="宋体" w:hint="default"/>
          <w:spacing w:val="11"/>
        </w:rPr>
        <w:t> </w:t>
      </w:r>
      <w:r>
        <w:rPr/>
        <w:t>报告分部的财务信息</w:t>
      </w:r>
      <w:r>
        <w:rPr>
          <w:b w:val="0"/>
          <w:bCs w:val="0"/>
        </w:rPr>
      </w:r>
    </w:p>
    <w:p>
      <w:pPr>
        <w:pStyle w:val="BodyText"/>
        <w:spacing w:line="240" w:lineRule="auto" w:before="56"/>
        <w:ind w:left="138" w:right="0"/>
        <w:jc w:val="both"/>
      </w:pPr>
      <w:r>
        <w:rPr/>
        <w:t>□适用</w:t>
      </w:r>
      <w:r>
        <w:rPr>
          <w:spacing w:val="104"/>
        </w:rPr>
        <w:t> </w:t>
      </w:r>
      <w:r>
        <w:rPr/>
        <w:t>√不适用</w:t>
      </w:r>
    </w:p>
    <w:p>
      <w:pPr>
        <w:pStyle w:val="Heading3"/>
        <w:spacing w:line="240" w:lineRule="auto" w:before="58"/>
        <w:ind w:left="138" w:right="0"/>
        <w:jc w:val="both"/>
        <w:rPr>
          <w:b w:val="0"/>
          <w:bCs w:val="0"/>
        </w:rPr>
      </w:pPr>
      <w:r>
        <w:rPr>
          <w:rFonts w:ascii="宋体" w:hAnsi="宋体" w:cs="宋体" w:eastAsia="宋体" w:hint="default"/>
        </w:rPr>
        <w:t>(3). </w:t>
      </w:r>
      <w:r>
        <w:rPr>
          <w:rFonts w:ascii="宋体" w:hAnsi="宋体" w:cs="宋体" w:eastAsia="宋体" w:hint="default"/>
          <w:spacing w:val="4"/>
        </w:rPr>
        <w:t> </w:t>
      </w:r>
      <w:r>
        <w:rPr/>
        <w:t>公司无报告分部的，或者不能披露各报告分部的资产总额和负债总额的，应说明原因</w:t>
      </w:r>
      <w:r>
        <w:rPr>
          <w:b w:val="0"/>
          <w:bCs w:val="0"/>
        </w:rPr>
      </w:r>
    </w:p>
    <w:p>
      <w:pPr>
        <w:pStyle w:val="BodyText"/>
        <w:spacing w:line="275" w:lineRule="exact" w:before="56"/>
        <w:ind w:left="138" w:right="0"/>
        <w:jc w:val="both"/>
      </w:pPr>
      <w:r>
        <w:rPr/>
        <w:t>√适用</w:t>
      </w:r>
      <w:r>
        <w:rPr>
          <w:spacing w:val="104"/>
        </w:rPr>
        <w:t> </w:t>
      </w:r>
      <w:r>
        <w:rPr/>
        <w:t>□不适用</w:t>
      </w:r>
    </w:p>
    <w:p>
      <w:pPr>
        <w:pStyle w:val="BodyText"/>
        <w:spacing w:line="272" w:lineRule="exact" w:before="27"/>
        <w:ind w:left="138" w:right="0"/>
        <w:jc w:val="left"/>
      </w:pPr>
      <w:r>
        <w:rPr/>
        <w:t>由于本集团收入逾</w:t>
      </w:r>
      <w:r>
        <w:rPr>
          <w:spacing w:val="-27"/>
        </w:rPr>
        <w:t> </w:t>
      </w:r>
      <w:r>
        <w:rPr>
          <w:rFonts w:ascii="宋体" w:hAnsi="宋体" w:cs="宋体" w:eastAsia="宋体" w:hint="default"/>
          <w:spacing w:val="-4"/>
        </w:rPr>
        <w:t>90%</w:t>
      </w:r>
      <w:r>
        <w:rPr>
          <w:spacing w:val="-4"/>
        </w:rPr>
        <w:t>来自于中国境内的客户，而且本集团资产逾</w:t>
      </w:r>
      <w:r>
        <w:rPr>
          <w:spacing w:val="-27"/>
        </w:rPr>
        <w:t> </w:t>
      </w:r>
      <w:r>
        <w:rPr>
          <w:rFonts w:ascii="宋体" w:hAnsi="宋体" w:cs="宋体" w:eastAsia="宋体" w:hint="default"/>
          <w:spacing w:val="-5"/>
        </w:rPr>
        <w:t>90%</w:t>
      </w:r>
      <w:r>
        <w:rPr>
          <w:spacing w:val="-5"/>
        </w:rPr>
        <w:t>位于中国境内，所以无须列</w:t>
      </w:r>
      <w:r>
        <w:rPr>
          <w:spacing w:val="-95"/>
        </w:rPr>
        <w:t> </w:t>
      </w:r>
      <w:r>
        <w:rPr>
          <w:spacing w:val="-95"/>
        </w:rPr>
      </w:r>
      <w:r>
        <w:rPr/>
        <w:t>报更详细的地区分部信息。</w:t>
      </w:r>
    </w:p>
    <w:p>
      <w:pPr>
        <w:spacing w:line="240" w:lineRule="auto" w:before="10"/>
        <w:rPr>
          <w:rFonts w:ascii="宋体" w:hAnsi="宋体" w:cs="宋体" w:eastAsia="宋体" w:hint="default"/>
          <w:sz w:val="18"/>
          <w:szCs w:val="18"/>
        </w:rPr>
      </w:pPr>
    </w:p>
    <w:p>
      <w:pPr>
        <w:pStyle w:val="BodyText"/>
        <w:spacing w:line="240" w:lineRule="auto"/>
        <w:ind w:left="138" w:right="0"/>
        <w:jc w:val="left"/>
      </w:pPr>
      <w:r>
        <w:rPr>
          <w:spacing w:val="-2"/>
        </w:rPr>
        <w:t>由于本集团的收入和资产逾</w:t>
      </w:r>
      <w:r>
        <w:rPr/>
        <w:t> </w:t>
      </w:r>
      <w:r>
        <w:rPr>
          <w:rFonts w:ascii="宋体" w:hAnsi="宋体" w:cs="宋体" w:eastAsia="宋体" w:hint="default"/>
          <w:spacing w:val="-2"/>
        </w:rPr>
        <w:t>90%</w:t>
      </w:r>
      <w:r>
        <w:rPr>
          <w:spacing w:val="-2"/>
        </w:rPr>
        <w:t>与软件销售及相关技术服务有关，所以无须列报更详细的业务分</w:t>
      </w:r>
      <w:r>
        <w:rPr>
          <w:spacing w:val="-76"/>
        </w:rPr>
        <w:t> </w:t>
      </w:r>
      <w:r>
        <w:rPr>
          <w:spacing w:val="-76"/>
        </w:rPr>
      </w:r>
      <w:r>
        <w:rPr/>
        <w:t>部信息。</w:t>
      </w:r>
    </w:p>
    <w:p>
      <w:pPr>
        <w:spacing w:line="240" w:lineRule="auto" w:before="3"/>
        <w:rPr>
          <w:rFonts w:ascii="宋体" w:hAnsi="宋体" w:cs="宋体" w:eastAsia="宋体" w:hint="default"/>
          <w:sz w:val="25"/>
          <w:szCs w:val="25"/>
        </w:rPr>
      </w:pPr>
    </w:p>
    <w:p>
      <w:pPr>
        <w:pStyle w:val="Heading3"/>
        <w:spacing w:line="240" w:lineRule="auto"/>
        <w:ind w:left="138" w:right="0"/>
        <w:jc w:val="both"/>
        <w:rPr>
          <w:b w:val="0"/>
          <w:bCs w:val="0"/>
        </w:rPr>
      </w:pPr>
      <w:r>
        <w:rPr>
          <w:rFonts w:ascii="宋体" w:hAnsi="宋体" w:cs="宋体" w:eastAsia="宋体" w:hint="default"/>
        </w:rPr>
        <w:t>(4). </w:t>
      </w:r>
      <w:r>
        <w:rPr>
          <w:rFonts w:ascii="宋体" w:hAnsi="宋体" w:cs="宋体" w:eastAsia="宋体" w:hint="default"/>
          <w:spacing w:val="10"/>
        </w:rPr>
        <w:t> </w:t>
      </w:r>
      <w:r>
        <w:rPr/>
        <w:t>其他说明：</w:t>
      </w:r>
      <w:r>
        <w:rPr>
          <w:b w:val="0"/>
          <w:bCs w:val="0"/>
        </w:rPr>
      </w:r>
    </w:p>
    <w:p>
      <w:pPr>
        <w:pStyle w:val="BodyText"/>
        <w:spacing w:line="240" w:lineRule="auto" w:before="56"/>
        <w:ind w:left="138" w:right="0"/>
        <w:jc w:val="both"/>
      </w:pPr>
      <w:r>
        <w:rPr/>
        <w:t>□适用</w:t>
      </w:r>
      <w:r>
        <w:rPr>
          <w:spacing w:val="104"/>
        </w:rPr>
        <w:t> </w:t>
      </w:r>
      <w:r>
        <w:rPr/>
        <w:t>√不适用</w:t>
      </w:r>
    </w:p>
    <w:p>
      <w:pPr>
        <w:spacing w:line="240" w:lineRule="auto" w:before="3"/>
        <w:rPr>
          <w:rFonts w:ascii="宋体" w:hAnsi="宋体" w:cs="宋体" w:eastAsia="宋体" w:hint="default"/>
          <w:sz w:val="25"/>
          <w:szCs w:val="25"/>
        </w:rPr>
      </w:pPr>
    </w:p>
    <w:p>
      <w:pPr>
        <w:pStyle w:val="Heading3"/>
        <w:spacing w:line="240" w:lineRule="auto"/>
        <w:ind w:left="138" w:right="0"/>
        <w:jc w:val="both"/>
        <w:rPr>
          <w:b w:val="0"/>
          <w:bCs w:val="0"/>
        </w:rPr>
      </w:pPr>
      <w:r>
        <w:rPr>
          <w:rFonts w:ascii="宋体" w:hAnsi="宋体" w:cs="宋体" w:eastAsia="宋体" w:hint="default"/>
        </w:rPr>
        <w:t>7</w:t>
      </w:r>
      <w:r>
        <w:rPr/>
        <w:t>、</w:t>
      </w:r>
      <w:r>
        <w:rPr>
          <w:spacing w:val="3"/>
        </w:rPr>
        <w:t> </w:t>
      </w:r>
      <w:r>
        <w:rPr/>
        <w:t>其他对投资者决策有影响的重要交易和事项</w:t>
      </w:r>
      <w:r>
        <w:rPr>
          <w:b w:val="0"/>
          <w:bCs w:val="0"/>
        </w:rPr>
      </w:r>
    </w:p>
    <w:p>
      <w:pPr>
        <w:pStyle w:val="BodyText"/>
        <w:spacing w:line="240" w:lineRule="auto" w:before="133"/>
        <w:ind w:left="138" w:right="0"/>
        <w:jc w:val="both"/>
      </w:pPr>
      <w:r>
        <w:rPr/>
        <w:t>□适用</w:t>
      </w:r>
      <w:r>
        <w:rPr>
          <w:spacing w:val="104"/>
        </w:rPr>
        <w:t> </w:t>
      </w:r>
      <w:r>
        <w:rPr/>
        <w:t>√不适用</w:t>
      </w:r>
    </w:p>
    <w:p>
      <w:pPr>
        <w:spacing w:after="0" w:line="240" w:lineRule="auto"/>
        <w:jc w:val="both"/>
        <w:sectPr>
          <w:pgSz w:w="11910" w:h="16840"/>
          <w:pgMar w:header="857" w:footer="1195" w:top="1280" w:bottom="1380" w:left="1660" w:right="1120"/>
        </w:sectPr>
      </w:pPr>
    </w:p>
    <w:p>
      <w:pPr>
        <w:spacing w:line="240" w:lineRule="auto" w:before="4"/>
        <w:rPr>
          <w:rFonts w:ascii="宋体" w:hAnsi="宋体" w:cs="宋体" w:eastAsia="宋体" w:hint="default"/>
          <w:sz w:val="12"/>
          <w:szCs w:val="12"/>
        </w:rPr>
      </w:pPr>
    </w:p>
    <w:p>
      <w:pPr>
        <w:pStyle w:val="Heading3"/>
        <w:spacing w:line="240" w:lineRule="auto" w:before="36"/>
        <w:ind w:left="1418" w:right="0"/>
        <w:jc w:val="left"/>
        <w:rPr>
          <w:b w:val="0"/>
          <w:bCs w:val="0"/>
        </w:rPr>
      </w:pPr>
      <w:r>
        <w:rPr>
          <w:rFonts w:ascii="宋体" w:hAnsi="宋体" w:cs="宋体" w:eastAsia="宋体" w:hint="default"/>
        </w:rPr>
        <w:t>8</w:t>
      </w:r>
      <w:r>
        <w:rPr/>
        <w:t>、</w:t>
      </w:r>
      <w:r>
        <w:rPr>
          <w:spacing w:val="2"/>
        </w:rPr>
        <w:t> </w:t>
      </w:r>
      <w:r>
        <w:rPr/>
        <w:t>其他</w:t>
      </w:r>
      <w:r>
        <w:rPr>
          <w:b w:val="0"/>
          <w:bCs w:val="0"/>
        </w:rPr>
      </w:r>
    </w:p>
    <w:p>
      <w:pPr>
        <w:pStyle w:val="BodyText"/>
        <w:tabs>
          <w:tab w:pos="2260" w:val="left" w:leader="none"/>
        </w:tabs>
        <w:spacing w:line="240" w:lineRule="auto" w:before="58"/>
        <w:ind w:left="1418" w:right="0"/>
        <w:jc w:val="left"/>
      </w:pPr>
      <w:r>
        <w:rPr>
          <w:spacing w:val="-1"/>
        </w:rPr>
        <w:t>□适用</w:t>
        <w:tab/>
      </w:r>
      <w:r>
        <w:rPr>
          <w:spacing w:val="-2"/>
        </w:rPr>
        <w:t>√不适用</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57" w:footer="1195" w:top="1280" w:bottom="1380" w:left="380" w:right="300"/>
        </w:sectPr>
      </w:pPr>
    </w:p>
    <w:p>
      <w:pPr>
        <w:pStyle w:val="Heading3"/>
        <w:tabs>
          <w:tab w:pos="2257" w:val="left" w:leader="none"/>
        </w:tabs>
        <w:spacing w:line="290" w:lineRule="auto" w:before="36"/>
        <w:ind w:left="1418" w:right="0"/>
        <w:jc w:val="left"/>
        <w:rPr>
          <w:b w:val="0"/>
          <w:bCs w:val="0"/>
        </w:rPr>
      </w:pPr>
      <w:r>
        <w:rPr/>
        <w:t>十七、</w:t>
        <w:tab/>
      </w:r>
      <w:r>
        <w:rPr>
          <w:spacing w:val="-1"/>
        </w:rPr>
        <w:t>母公司财务报表主要项目注释</w:t>
      </w:r>
      <w:r>
        <w:rPr>
          <w:spacing w:val="-94"/>
        </w:rPr>
        <w:t> </w:t>
      </w:r>
      <w:r>
        <w:rPr>
          <w:spacing w:val="-94"/>
        </w:rPr>
      </w:r>
      <w:r>
        <w:rPr>
          <w:rFonts w:ascii="宋体" w:hAnsi="宋体" w:cs="宋体" w:eastAsia="宋体" w:hint="default"/>
        </w:rPr>
        <w:t>1</w:t>
      </w:r>
      <w:r>
        <w:rPr/>
        <w:t>、</w:t>
      </w:r>
      <w:r>
        <w:rPr>
          <w:spacing w:val="3"/>
        </w:rPr>
        <w:t> </w:t>
      </w:r>
      <w:r>
        <w:rPr/>
        <w:t>应收账款</w:t>
      </w:r>
      <w:r>
        <w:rPr>
          <w:b w:val="0"/>
          <w:bCs w:val="0"/>
        </w:rPr>
      </w:r>
    </w:p>
    <w:p>
      <w:pPr>
        <w:pStyle w:val="Heading3"/>
        <w:tabs>
          <w:tab w:pos="2257" w:val="left" w:leader="none"/>
        </w:tabs>
        <w:spacing w:line="240" w:lineRule="auto" w:before="14"/>
        <w:ind w:left="1559" w:right="0"/>
        <w:jc w:val="left"/>
        <w:rPr>
          <w:b w:val="0"/>
          <w:bCs w:val="0"/>
        </w:rPr>
      </w:pPr>
      <w:r>
        <w:rPr>
          <w:rFonts w:ascii="宋体" w:hAnsi="宋体" w:cs="宋体" w:eastAsia="宋体" w:hint="default"/>
          <w:w w:val="95"/>
        </w:rPr>
        <w:t>(1).</w:t>
        <w:tab/>
      </w:r>
      <w:r>
        <w:rPr/>
        <w:t>应收账款分类披露：</w:t>
      </w:r>
      <w:r>
        <w:rPr>
          <w:b w:val="0"/>
          <w:bCs w:val="0"/>
        </w:rPr>
      </w:r>
    </w:p>
    <w:p>
      <w:pPr>
        <w:pStyle w:val="BodyText"/>
        <w:tabs>
          <w:tab w:pos="2260" w:val="left" w:leader="none"/>
        </w:tabs>
        <w:spacing w:line="240" w:lineRule="auto" w:before="56"/>
        <w:ind w:left="1418" w:right="0"/>
        <w:jc w:val="left"/>
      </w:pPr>
      <w:r>
        <w:rPr>
          <w:spacing w:val="-1"/>
        </w:rPr>
        <w:t>√适用</w:t>
        <w:tab/>
      </w:r>
      <w:r>
        <w:rPr>
          <w:spacing w:val="-2"/>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9"/>
          <w:szCs w:val="19"/>
        </w:rPr>
      </w:pPr>
    </w:p>
    <w:p>
      <w:pPr>
        <w:pStyle w:val="BodyText"/>
        <w:spacing w:line="240" w:lineRule="auto"/>
        <w:ind w:left="1418" w:right="0"/>
        <w:jc w:val="left"/>
      </w:pPr>
      <w:r>
        <w:rPr/>
        <w:t>单位：元币种：人民币</w:t>
      </w:r>
    </w:p>
    <w:p>
      <w:pPr>
        <w:spacing w:after="0" w:line="240" w:lineRule="auto"/>
        <w:jc w:val="left"/>
        <w:sectPr>
          <w:type w:val="continuous"/>
          <w:pgSz w:w="11910" w:h="16840"/>
          <w:pgMar w:top="1320" w:bottom="1380" w:left="380" w:right="300"/>
          <w:cols w:num="2" w:equalWidth="0">
            <w:col w:w="4999" w:space="1733"/>
            <w:col w:w="4498"/>
          </w:cols>
        </w:sectPr>
      </w:pPr>
    </w:p>
    <w:p>
      <w:pPr>
        <w:spacing w:line="240" w:lineRule="auto" w:before="4"/>
        <w:rPr>
          <w:rFonts w:ascii="宋体" w:hAnsi="宋体" w:cs="宋体" w:eastAsia="宋体" w:hint="default"/>
          <w:sz w:val="2"/>
          <w:szCs w:val="2"/>
        </w:rPr>
      </w:pPr>
    </w:p>
    <w:tbl>
      <w:tblPr>
        <w:tblW w:w="0" w:type="auto"/>
        <w:jc w:val="left"/>
        <w:tblInd w:w="100" w:type="dxa"/>
        <w:tblLayout w:type="fixed"/>
        <w:tblCellMar>
          <w:top w:w="0" w:type="dxa"/>
          <w:left w:w="0" w:type="dxa"/>
          <w:bottom w:w="0" w:type="dxa"/>
          <w:right w:w="0" w:type="dxa"/>
        </w:tblCellMar>
        <w:tblLook w:val="01E0"/>
      </w:tblPr>
      <w:tblGrid>
        <w:gridCol w:w="2424"/>
        <w:gridCol w:w="1052"/>
        <w:gridCol w:w="490"/>
        <w:gridCol w:w="1051"/>
        <w:gridCol w:w="509"/>
        <w:gridCol w:w="1052"/>
        <w:gridCol w:w="1054"/>
        <w:gridCol w:w="506"/>
        <w:gridCol w:w="1054"/>
        <w:gridCol w:w="521"/>
        <w:gridCol w:w="1296"/>
      </w:tblGrid>
      <w:tr>
        <w:trPr>
          <w:trHeight w:val="283" w:hRule="exact"/>
        </w:trPr>
        <w:tc>
          <w:tcPr>
            <w:tcW w:w="242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种类</w:t>
            </w:r>
          </w:p>
        </w:tc>
        <w:tc>
          <w:tcPr>
            <w:tcW w:w="4153" w:type="dxa"/>
            <w:gridSpan w:val="5"/>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4431" w:type="dxa"/>
            <w:gridSpan w:val="5"/>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83" w:hRule="exact"/>
        </w:trPr>
        <w:tc>
          <w:tcPr>
            <w:tcW w:w="2424" w:type="dxa"/>
            <w:vMerge/>
            <w:tcBorders>
              <w:left w:val="single" w:sz="4" w:space="0" w:color="000000"/>
              <w:right w:val="single" w:sz="4" w:space="0" w:color="000000"/>
            </w:tcBorders>
          </w:tcPr>
          <w:p>
            <w:pPr/>
          </w:p>
        </w:tc>
        <w:tc>
          <w:tcPr>
            <w:tcW w:w="15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4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5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55"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052"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72" w:lineRule="exact"/>
              <w:ind w:left="311" w:right="305"/>
              <w:jc w:val="left"/>
              <w:rPr>
                <w:rFonts w:ascii="宋体" w:hAnsi="宋体" w:cs="宋体" w:eastAsia="宋体" w:hint="default"/>
                <w:sz w:val="21"/>
                <w:szCs w:val="21"/>
              </w:rPr>
            </w:pPr>
            <w:r>
              <w:rPr>
                <w:rFonts w:ascii="宋体" w:hAnsi="宋体" w:cs="宋体" w:eastAsia="宋体" w:hint="default"/>
                <w:sz w:val="21"/>
                <w:szCs w:val="21"/>
              </w:rPr>
              <w:t>账面</w:t>
            </w:r>
            <w:r>
              <w:rPr>
                <w:rFonts w:ascii="宋体" w:hAnsi="宋体" w:cs="宋体" w:eastAsia="宋体" w:hint="default"/>
                <w:spacing w:val="-103"/>
                <w:sz w:val="21"/>
                <w:szCs w:val="21"/>
              </w:rPr>
              <w:t> </w:t>
            </w:r>
            <w:r>
              <w:rPr>
                <w:rFonts w:ascii="宋体" w:hAnsi="宋体" w:cs="宋体" w:eastAsia="宋体" w:hint="default"/>
                <w:sz w:val="21"/>
                <w:szCs w:val="21"/>
              </w:rPr>
              <w:t>价值</w:t>
            </w:r>
          </w:p>
        </w:tc>
        <w:tc>
          <w:tcPr>
            <w:tcW w:w="15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55"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5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6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296"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72" w:lineRule="exact"/>
              <w:ind w:left="429" w:right="432"/>
              <w:jc w:val="center"/>
              <w:rPr>
                <w:rFonts w:ascii="宋体" w:hAnsi="宋体" w:cs="宋体" w:eastAsia="宋体" w:hint="default"/>
                <w:sz w:val="21"/>
                <w:szCs w:val="21"/>
              </w:rPr>
            </w:pPr>
            <w:r>
              <w:rPr>
                <w:rFonts w:ascii="宋体" w:hAnsi="宋体" w:cs="宋体" w:eastAsia="宋体" w:hint="default"/>
                <w:sz w:val="21"/>
                <w:szCs w:val="21"/>
              </w:rPr>
              <w:t>账面</w:t>
            </w:r>
            <w:r>
              <w:rPr>
                <w:rFonts w:ascii="宋体" w:hAnsi="宋体" w:cs="宋体" w:eastAsia="宋体" w:hint="default"/>
                <w:w w:val="100"/>
                <w:sz w:val="21"/>
                <w:szCs w:val="21"/>
              </w:rPr>
              <w:t> </w:t>
            </w:r>
            <w:r>
              <w:rPr>
                <w:rFonts w:ascii="宋体" w:hAnsi="宋体" w:cs="宋体" w:eastAsia="宋体" w:hint="default"/>
                <w:sz w:val="21"/>
                <w:szCs w:val="21"/>
              </w:rPr>
              <w:t>价值</w:t>
            </w:r>
          </w:p>
        </w:tc>
      </w:tr>
      <w:tr>
        <w:trPr>
          <w:trHeight w:val="826" w:hRule="exact"/>
        </w:trPr>
        <w:tc>
          <w:tcPr>
            <w:tcW w:w="2424" w:type="dxa"/>
            <w:vMerge/>
            <w:tcBorders>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81" w:right="26" w:hanging="53"/>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pacing w:val="-103"/>
                <w:sz w:val="21"/>
                <w:szCs w:val="21"/>
              </w:rPr>
              <w:t> </w:t>
            </w:r>
            <w:r>
              <w:rPr>
                <w:rFonts w:ascii="宋体" w:hAnsi="宋体" w:cs="宋体" w:eastAsia="宋体" w:hint="default"/>
                <w:sz w:val="21"/>
                <w:szCs w:val="21"/>
              </w:rPr>
              <w:t>(%)</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311"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50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38" w:right="0"/>
              <w:jc w:val="left"/>
              <w:rPr>
                <w:rFonts w:ascii="宋体" w:hAnsi="宋体" w:cs="宋体" w:eastAsia="宋体" w:hint="default"/>
                <w:sz w:val="21"/>
                <w:szCs w:val="21"/>
              </w:rPr>
            </w:pPr>
            <w:r>
              <w:rPr>
                <w:rFonts w:ascii="宋体" w:hAnsi="宋体" w:cs="宋体" w:eastAsia="宋体" w:hint="default"/>
                <w:sz w:val="21"/>
                <w:szCs w:val="21"/>
              </w:rPr>
              <w:t>计提</w:t>
            </w:r>
          </w:p>
          <w:p>
            <w:pPr>
              <w:pStyle w:val="TableParagraph"/>
              <w:spacing w:line="240" w:lineRule="auto"/>
              <w:ind w:left="91" w:right="36" w:hanging="53"/>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pacing w:val="-103"/>
                <w:sz w:val="21"/>
                <w:szCs w:val="21"/>
              </w:rPr>
              <w:t> </w:t>
            </w:r>
            <w:r>
              <w:rPr>
                <w:rFonts w:ascii="宋体" w:hAnsi="宋体" w:cs="宋体" w:eastAsia="宋体" w:hint="default"/>
                <w:sz w:val="21"/>
                <w:szCs w:val="21"/>
              </w:rPr>
              <w:t>(%)</w:t>
            </w:r>
          </w:p>
        </w:tc>
        <w:tc>
          <w:tcPr>
            <w:tcW w:w="1052" w:type="dxa"/>
            <w:vMerge/>
            <w:tcBorders>
              <w:left w:val="single" w:sz="4" w:space="0" w:color="000000"/>
              <w:bottom w:val="single" w:sz="4" w:space="0" w:color="000000"/>
              <w:right w:val="single" w:sz="4" w:space="0" w:color="000000"/>
            </w:tcBorders>
          </w:tcPr>
          <w:p>
            <w:pP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312"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88" w:right="36" w:hanging="53"/>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pacing w:val="-103"/>
                <w:sz w:val="21"/>
                <w:szCs w:val="21"/>
              </w:rPr>
              <w:t> </w:t>
            </w:r>
            <w:r>
              <w:rPr>
                <w:rFonts w:ascii="宋体" w:hAnsi="宋体" w:cs="宋体" w:eastAsia="宋体" w:hint="default"/>
                <w:sz w:val="21"/>
                <w:szCs w:val="21"/>
              </w:rPr>
              <w:t>(%)</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3"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43" w:right="0"/>
              <w:jc w:val="left"/>
              <w:rPr>
                <w:rFonts w:ascii="宋体" w:hAnsi="宋体" w:cs="宋体" w:eastAsia="宋体" w:hint="default"/>
                <w:sz w:val="21"/>
                <w:szCs w:val="21"/>
              </w:rPr>
            </w:pPr>
            <w:r>
              <w:rPr>
                <w:rFonts w:ascii="宋体" w:hAnsi="宋体" w:cs="宋体" w:eastAsia="宋体" w:hint="default"/>
                <w:sz w:val="21"/>
                <w:szCs w:val="21"/>
              </w:rPr>
              <w:t>计提</w:t>
            </w:r>
          </w:p>
          <w:p>
            <w:pPr>
              <w:pStyle w:val="TableParagraph"/>
              <w:spacing w:line="240" w:lineRule="auto"/>
              <w:ind w:left="96" w:right="43" w:hanging="53"/>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pacing w:val="-103"/>
                <w:sz w:val="21"/>
                <w:szCs w:val="21"/>
              </w:rPr>
              <w:t> </w:t>
            </w:r>
            <w:r>
              <w:rPr>
                <w:rFonts w:ascii="宋体" w:hAnsi="宋体" w:cs="宋体" w:eastAsia="宋体" w:hint="default"/>
                <w:sz w:val="21"/>
                <w:szCs w:val="21"/>
              </w:rPr>
              <w:t>(%)</w:t>
            </w:r>
          </w:p>
        </w:tc>
        <w:tc>
          <w:tcPr>
            <w:tcW w:w="1296" w:type="dxa"/>
            <w:vMerge/>
            <w:tcBorders>
              <w:left w:val="single" w:sz="4" w:space="0" w:color="000000"/>
              <w:bottom w:val="single" w:sz="4" w:space="0" w:color="000000"/>
              <w:right w:val="single" w:sz="4" w:space="0" w:color="000000"/>
            </w:tcBorders>
          </w:tcPr>
          <w:p>
            <w:pPr/>
          </w:p>
        </w:tc>
      </w:tr>
      <w:tr>
        <w:trPr>
          <w:trHeight w:val="478" w:hRule="exact"/>
        </w:trPr>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 w:right="0"/>
              <w:jc w:val="left"/>
              <w:rPr>
                <w:rFonts w:ascii="宋体" w:hAnsi="宋体" w:cs="宋体" w:eastAsia="宋体" w:hint="default"/>
                <w:sz w:val="18"/>
                <w:szCs w:val="18"/>
              </w:rPr>
            </w:pPr>
            <w:r>
              <w:rPr>
                <w:rFonts w:ascii="宋体" w:hAnsi="宋体" w:cs="宋体" w:eastAsia="宋体" w:hint="default"/>
                <w:sz w:val="18"/>
                <w:szCs w:val="18"/>
              </w:rPr>
              <w:t>单项金额重大并单独计提坏账</w:t>
            </w: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准备的应收账款</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8" w:right="0"/>
              <w:jc w:val="center"/>
              <w:rPr>
                <w:rFonts w:ascii="宋体" w:hAnsi="宋体" w:cs="宋体" w:eastAsia="宋体" w:hint="default"/>
                <w:sz w:val="18"/>
                <w:szCs w:val="18"/>
              </w:rPr>
            </w:pPr>
            <w:r>
              <w:rPr>
                <w:rFonts w:ascii="宋体"/>
                <w:sz w:val="18"/>
              </w:rPr>
              <w:t>43,005,449</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
              <w:jc w:val="right"/>
              <w:rPr>
                <w:rFonts w:ascii="宋体" w:hAnsi="宋体" w:cs="宋体" w:eastAsia="宋体" w:hint="default"/>
                <w:sz w:val="18"/>
                <w:szCs w:val="18"/>
              </w:rPr>
            </w:pPr>
            <w:r>
              <w:rPr>
                <w:rFonts w:ascii="宋体"/>
                <w:sz w:val="18"/>
              </w:rPr>
              <w:t>4</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43,005,449</w:t>
            </w:r>
          </w:p>
        </w:tc>
        <w:tc>
          <w:tcPr>
            <w:tcW w:w="50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100</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39,363,423</w:t>
            </w:r>
          </w:p>
        </w:tc>
        <w:tc>
          <w:tcPr>
            <w:tcW w:w="50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
              <w:jc w:val="right"/>
              <w:rPr>
                <w:rFonts w:ascii="宋体" w:hAnsi="宋体" w:cs="宋体" w:eastAsia="宋体" w:hint="default"/>
                <w:sz w:val="18"/>
                <w:szCs w:val="18"/>
              </w:rPr>
            </w:pPr>
            <w:r>
              <w:rPr>
                <w:rFonts w:ascii="宋体"/>
                <w:sz w:val="18"/>
              </w:rPr>
              <w:t>4</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0" w:right="0"/>
              <w:jc w:val="center"/>
              <w:rPr>
                <w:rFonts w:ascii="宋体" w:hAnsi="宋体" w:cs="宋体" w:eastAsia="宋体" w:hint="default"/>
                <w:sz w:val="18"/>
                <w:szCs w:val="18"/>
              </w:rPr>
            </w:pPr>
            <w:r>
              <w:rPr>
                <w:rFonts w:ascii="宋体"/>
                <w:sz w:val="18"/>
              </w:rPr>
              <w:t>39,363,423</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z w:val="18"/>
              </w:rPr>
              <w:t>100</w:t>
            </w:r>
          </w:p>
        </w:tc>
        <w:tc>
          <w:tcPr>
            <w:tcW w:w="1296"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6" w:right="0"/>
              <w:jc w:val="left"/>
              <w:rPr>
                <w:rFonts w:ascii="宋体" w:hAnsi="宋体" w:cs="宋体" w:eastAsia="宋体" w:hint="default"/>
                <w:sz w:val="18"/>
                <w:szCs w:val="18"/>
              </w:rPr>
            </w:pPr>
            <w:r>
              <w:rPr>
                <w:rFonts w:ascii="宋体" w:hAnsi="宋体" w:cs="宋体" w:eastAsia="宋体" w:hint="default"/>
                <w:sz w:val="18"/>
                <w:szCs w:val="18"/>
              </w:rPr>
              <w:t>按信用风险特征组合计提坏账</w:t>
            </w:r>
          </w:p>
          <w:p>
            <w:pPr>
              <w:pStyle w:val="TableParagraph"/>
              <w:spacing w:line="234" w:lineRule="exact"/>
              <w:ind w:left="26" w:right="0"/>
              <w:jc w:val="left"/>
              <w:rPr>
                <w:rFonts w:ascii="宋体" w:hAnsi="宋体" w:cs="宋体" w:eastAsia="宋体" w:hint="default"/>
                <w:sz w:val="18"/>
                <w:szCs w:val="18"/>
              </w:rPr>
            </w:pPr>
            <w:r>
              <w:rPr>
                <w:rFonts w:ascii="宋体" w:hAnsi="宋体" w:cs="宋体" w:eastAsia="宋体" w:hint="default"/>
                <w:sz w:val="18"/>
                <w:szCs w:val="18"/>
              </w:rPr>
              <w:t>准备的应收账款</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909,073,134</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93</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264,412,303</w:t>
            </w:r>
          </w:p>
        </w:tc>
        <w:tc>
          <w:tcPr>
            <w:tcW w:w="50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29</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2"/>
              <w:jc w:val="right"/>
              <w:rPr>
                <w:rFonts w:ascii="宋体" w:hAnsi="宋体" w:cs="宋体" w:eastAsia="宋体" w:hint="default"/>
                <w:sz w:val="18"/>
                <w:szCs w:val="18"/>
              </w:rPr>
            </w:pPr>
            <w:r>
              <w:rPr>
                <w:rFonts w:ascii="宋体"/>
                <w:spacing w:val="-1"/>
                <w:sz w:val="18"/>
              </w:rPr>
              <w:t>644,660,831</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887,596,106</w:t>
            </w:r>
          </w:p>
        </w:tc>
        <w:tc>
          <w:tcPr>
            <w:tcW w:w="50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92</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227,188,589</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z w:val="18"/>
              </w:rPr>
              <w:t>26</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6"/>
              <w:jc w:val="right"/>
              <w:rPr>
                <w:rFonts w:ascii="宋体" w:hAnsi="宋体" w:cs="宋体" w:eastAsia="宋体" w:hint="default"/>
                <w:sz w:val="18"/>
                <w:szCs w:val="18"/>
              </w:rPr>
            </w:pPr>
            <w:r>
              <w:rPr>
                <w:rFonts w:ascii="宋体"/>
                <w:spacing w:val="-1"/>
                <w:sz w:val="18"/>
              </w:rPr>
              <w:t>660,407,517</w:t>
            </w:r>
          </w:p>
        </w:tc>
      </w:tr>
      <w:tr>
        <w:trPr>
          <w:trHeight w:val="475" w:hRule="exact"/>
        </w:trPr>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6" w:right="0"/>
              <w:jc w:val="left"/>
              <w:rPr>
                <w:rFonts w:ascii="宋体" w:hAnsi="宋体" w:cs="宋体" w:eastAsia="宋体" w:hint="default"/>
                <w:sz w:val="18"/>
                <w:szCs w:val="18"/>
              </w:rPr>
            </w:pPr>
            <w:r>
              <w:rPr>
                <w:rFonts w:ascii="宋体" w:hAnsi="宋体" w:cs="宋体" w:eastAsia="宋体" w:hint="default"/>
                <w:sz w:val="18"/>
                <w:szCs w:val="18"/>
              </w:rPr>
              <w:t>单项金额不重大但单独计提坏</w:t>
            </w:r>
          </w:p>
          <w:p>
            <w:pPr>
              <w:pStyle w:val="TableParagraph"/>
              <w:spacing w:line="234" w:lineRule="exact"/>
              <w:ind w:left="26" w:right="0"/>
              <w:jc w:val="left"/>
              <w:rPr>
                <w:rFonts w:ascii="宋体" w:hAnsi="宋体" w:cs="宋体" w:eastAsia="宋体" w:hint="default"/>
                <w:sz w:val="18"/>
                <w:szCs w:val="18"/>
              </w:rPr>
            </w:pPr>
            <w:r>
              <w:rPr>
                <w:rFonts w:ascii="宋体" w:hAnsi="宋体" w:cs="宋体" w:eastAsia="宋体" w:hint="default"/>
                <w:sz w:val="18"/>
                <w:szCs w:val="18"/>
              </w:rPr>
              <w:t>账准备的应收账款</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8" w:right="0"/>
              <w:jc w:val="center"/>
              <w:rPr>
                <w:rFonts w:ascii="宋体" w:hAnsi="宋体" w:cs="宋体" w:eastAsia="宋体" w:hint="default"/>
                <w:sz w:val="18"/>
                <w:szCs w:val="18"/>
              </w:rPr>
            </w:pPr>
            <w:r>
              <w:rPr>
                <w:rFonts w:ascii="宋体"/>
                <w:sz w:val="18"/>
              </w:rPr>
              <w:t>30,361,439</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
              <w:jc w:val="right"/>
              <w:rPr>
                <w:rFonts w:ascii="宋体" w:hAnsi="宋体" w:cs="宋体" w:eastAsia="宋体" w:hint="default"/>
                <w:sz w:val="18"/>
                <w:szCs w:val="18"/>
              </w:rPr>
            </w:pPr>
            <w:r>
              <w:rPr>
                <w:rFonts w:ascii="宋体"/>
                <w:sz w:val="18"/>
              </w:rPr>
              <w:t>3</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30,361,439</w:t>
            </w:r>
          </w:p>
        </w:tc>
        <w:tc>
          <w:tcPr>
            <w:tcW w:w="50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100</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34,589,344</w:t>
            </w:r>
          </w:p>
        </w:tc>
        <w:tc>
          <w:tcPr>
            <w:tcW w:w="50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
              <w:jc w:val="right"/>
              <w:rPr>
                <w:rFonts w:ascii="宋体" w:hAnsi="宋体" w:cs="宋体" w:eastAsia="宋体" w:hint="default"/>
                <w:sz w:val="18"/>
                <w:szCs w:val="18"/>
              </w:rPr>
            </w:pPr>
            <w:r>
              <w:rPr>
                <w:rFonts w:ascii="宋体"/>
                <w:sz w:val="18"/>
              </w:rPr>
              <w:t>4</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0" w:right="0"/>
              <w:jc w:val="center"/>
              <w:rPr>
                <w:rFonts w:ascii="宋体" w:hAnsi="宋体" w:cs="宋体" w:eastAsia="宋体" w:hint="default"/>
                <w:sz w:val="18"/>
                <w:szCs w:val="18"/>
              </w:rPr>
            </w:pPr>
            <w:r>
              <w:rPr>
                <w:rFonts w:ascii="宋体"/>
                <w:sz w:val="18"/>
              </w:rPr>
              <w:t>34,589,344</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z w:val="18"/>
              </w:rPr>
              <w:t>100</w:t>
            </w:r>
          </w:p>
        </w:tc>
        <w:tc>
          <w:tcPr>
            <w:tcW w:w="1296"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982,440,022</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100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337,779,191</w:t>
            </w:r>
          </w:p>
        </w:tc>
        <w:tc>
          <w:tcPr>
            <w:tcW w:w="50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sz w:val="18"/>
              </w:rPr>
              <w:t>/</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2"/>
              <w:jc w:val="right"/>
              <w:rPr>
                <w:rFonts w:ascii="宋体" w:hAnsi="宋体" w:cs="宋体" w:eastAsia="宋体" w:hint="default"/>
                <w:sz w:val="18"/>
                <w:szCs w:val="18"/>
              </w:rPr>
            </w:pPr>
            <w:r>
              <w:rPr>
                <w:rFonts w:ascii="宋体"/>
                <w:spacing w:val="-1"/>
                <w:sz w:val="18"/>
              </w:rPr>
              <w:t>644,660,831</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961,548,873</w:t>
            </w:r>
          </w:p>
        </w:tc>
        <w:tc>
          <w:tcPr>
            <w:tcW w:w="50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10" w:right="0"/>
              <w:jc w:val="left"/>
              <w:rPr>
                <w:rFonts w:ascii="宋体" w:hAnsi="宋体" w:cs="宋体" w:eastAsia="宋体" w:hint="default"/>
                <w:sz w:val="18"/>
                <w:szCs w:val="18"/>
              </w:rPr>
            </w:pPr>
            <w:r>
              <w:rPr>
                <w:rFonts w:ascii="宋体"/>
                <w:sz w:val="18"/>
              </w:rPr>
              <w:t>100</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301,141,356</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6"/>
              <w:jc w:val="center"/>
              <w:rPr>
                <w:rFonts w:ascii="宋体" w:hAnsi="宋体" w:cs="宋体" w:eastAsia="宋体" w:hint="default"/>
                <w:sz w:val="18"/>
                <w:szCs w:val="18"/>
              </w:rPr>
            </w:pPr>
            <w:r>
              <w:rPr>
                <w:rFonts w:ascii="宋体"/>
                <w:sz w:val="18"/>
              </w:rPr>
              <w:t>/</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6"/>
              <w:jc w:val="right"/>
              <w:rPr>
                <w:rFonts w:ascii="宋体" w:hAnsi="宋体" w:cs="宋体" w:eastAsia="宋体" w:hint="default"/>
                <w:sz w:val="18"/>
                <w:szCs w:val="18"/>
              </w:rPr>
            </w:pPr>
            <w:r>
              <w:rPr>
                <w:rFonts w:ascii="宋体"/>
                <w:spacing w:val="-1"/>
                <w:sz w:val="18"/>
              </w:rPr>
              <w:t>660,407,517</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320" w:bottom="1380" w:left="380" w:right="300"/>
        </w:sectPr>
      </w:pPr>
    </w:p>
    <w:p>
      <w:pPr>
        <w:pStyle w:val="BodyText"/>
        <w:spacing w:line="240" w:lineRule="auto" w:before="36"/>
        <w:ind w:left="1418" w:right="0"/>
        <w:jc w:val="left"/>
      </w:pPr>
      <w:r>
        <w:rPr>
          <w:spacing w:val="-2"/>
        </w:rPr>
        <w:t>期末单项金额重大并单项计提坏账准备的应收账款：</w:t>
      </w:r>
    </w:p>
    <w:p>
      <w:pPr>
        <w:pStyle w:val="BodyText"/>
        <w:spacing w:line="240" w:lineRule="auto" w:before="56"/>
        <w:ind w:left="1418" w:right="0"/>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9"/>
          <w:szCs w:val="29"/>
        </w:rPr>
      </w:pPr>
    </w:p>
    <w:p>
      <w:pPr>
        <w:pStyle w:val="BodyText"/>
        <w:spacing w:line="240" w:lineRule="auto"/>
        <w:ind w:left="1418" w:right="0"/>
        <w:jc w:val="left"/>
      </w:pPr>
      <w:r>
        <w:rPr/>
        <w:t>单位：元币种：人民币</w:t>
      </w:r>
    </w:p>
    <w:p>
      <w:pPr>
        <w:spacing w:after="0" w:line="240" w:lineRule="auto"/>
        <w:jc w:val="left"/>
        <w:sectPr>
          <w:type w:val="continuous"/>
          <w:pgSz w:w="11910" w:h="16840"/>
          <w:pgMar w:top="1320" w:bottom="1380" w:left="380" w:right="300"/>
          <w:cols w:num="2" w:equalWidth="0">
            <w:col w:w="6253" w:space="480"/>
            <w:col w:w="4497"/>
          </w:cols>
        </w:sectPr>
      </w:pPr>
    </w:p>
    <w:p>
      <w:pPr>
        <w:spacing w:line="240" w:lineRule="auto" w:before="4"/>
        <w:rPr>
          <w:rFonts w:ascii="宋体" w:hAnsi="宋体" w:cs="宋体" w:eastAsia="宋体" w:hint="default"/>
          <w:sz w:val="2"/>
          <w:szCs w:val="2"/>
        </w:rPr>
      </w:pPr>
    </w:p>
    <w:tbl>
      <w:tblPr>
        <w:tblW w:w="0" w:type="auto"/>
        <w:jc w:val="left"/>
        <w:tblInd w:w="1305" w:type="dxa"/>
        <w:tblLayout w:type="fixed"/>
        <w:tblCellMar>
          <w:top w:w="0" w:type="dxa"/>
          <w:left w:w="0" w:type="dxa"/>
          <w:bottom w:w="0" w:type="dxa"/>
          <w:right w:w="0" w:type="dxa"/>
        </w:tblCellMar>
        <w:tblLook w:val="01E0"/>
      </w:tblPr>
      <w:tblGrid>
        <w:gridCol w:w="2689"/>
        <w:gridCol w:w="1517"/>
        <w:gridCol w:w="1664"/>
        <w:gridCol w:w="1666"/>
        <w:gridCol w:w="1514"/>
      </w:tblGrid>
      <w:tr>
        <w:trPr>
          <w:trHeight w:val="283" w:hRule="exact"/>
        </w:trPr>
        <w:tc>
          <w:tcPr>
            <w:tcW w:w="2689" w:type="dxa"/>
            <w:vMerge w:val="restart"/>
            <w:tcBorders>
              <w:top w:val="single" w:sz="4" w:space="0" w:color="000000"/>
              <w:left w:val="single" w:sz="4" w:space="0" w:color="000000"/>
              <w:right w:val="single" w:sz="4" w:space="0" w:color="000000"/>
            </w:tcBorders>
          </w:tcPr>
          <w:p>
            <w:pPr>
              <w:pStyle w:val="TableParagraph"/>
              <w:spacing w:line="240" w:lineRule="auto" w:before="107"/>
              <w:ind w:left="393" w:right="0"/>
              <w:jc w:val="left"/>
              <w:rPr>
                <w:rFonts w:ascii="宋体" w:hAnsi="宋体" w:cs="宋体" w:eastAsia="宋体" w:hint="default"/>
                <w:sz w:val="21"/>
                <w:szCs w:val="21"/>
              </w:rPr>
            </w:pPr>
            <w:r>
              <w:rPr>
                <w:rFonts w:ascii="宋体" w:hAnsi="宋体" w:cs="宋体" w:eastAsia="宋体" w:hint="default"/>
                <w:sz w:val="21"/>
                <w:szCs w:val="21"/>
              </w:rPr>
              <w:t>应收账款（按单位）</w:t>
            </w:r>
          </w:p>
        </w:tc>
        <w:tc>
          <w:tcPr>
            <w:tcW w:w="6361" w:type="dxa"/>
            <w:gridSpan w:val="4"/>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283" w:hRule="exact"/>
        </w:trPr>
        <w:tc>
          <w:tcPr>
            <w:tcW w:w="2689" w:type="dxa"/>
            <w:vMerge/>
            <w:tcBorders>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31"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05"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42"/>
              <w:jc w:val="right"/>
              <w:rPr>
                <w:rFonts w:ascii="宋体" w:hAnsi="宋体" w:cs="宋体" w:eastAsia="宋体" w:hint="default"/>
                <w:sz w:val="21"/>
                <w:szCs w:val="21"/>
              </w:rPr>
            </w:pPr>
            <w:r>
              <w:rPr>
                <w:rFonts w:ascii="宋体" w:hAnsi="宋体" w:cs="宋体" w:eastAsia="宋体" w:hint="default"/>
                <w:spacing w:val="-1"/>
                <w:sz w:val="21"/>
                <w:szCs w:val="21"/>
              </w:rPr>
              <w:t>计提比例（</w:t>
            </w:r>
            <w:r>
              <w:rPr>
                <w:rFonts w:ascii="宋体" w:hAnsi="宋体" w:cs="宋体" w:eastAsia="宋体" w:hint="default"/>
                <w:spacing w:val="-1"/>
                <w:sz w:val="21"/>
                <w:szCs w:val="21"/>
              </w:rPr>
              <w:t>%</w:t>
            </w:r>
            <w:r>
              <w:rPr>
                <w:rFonts w:ascii="宋体" w:hAnsi="宋体" w:cs="宋体" w:eastAsia="宋体" w:hint="default"/>
                <w:spacing w:val="-1"/>
                <w:sz w:val="21"/>
                <w:szCs w:val="21"/>
              </w:rPr>
              <w:t>）</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计提理由</w:t>
            </w:r>
          </w:p>
        </w:tc>
      </w:tr>
      <w:tr>
        <w:trPr>
          <w:trHeight w:val="554" w:hRule="exact"/>
        </w:trPr>
        <w:tc>
          <w:tcPr>
            <w:tcW w:w="2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1</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10,608,779</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10,608,779</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100</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逾期尚未收回</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货款</w:t>
            </w:r>
          </w:p>
        </w:tc>
      </w:tr>
      <w:tr>
        <w:trPr>
          <w:trHeight w:val="554" w:hRule="exact"/>
        </w:trPr>
        <w:tc>
          <w:tcPr>
            <w:tcW w:w="2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2</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4,814,192</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4,814,192</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100</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逾期尚未收回</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货款</w:t>
            </w:r>
          </w:p>
        </w:tc>
      </w:tr>
      <w:tr>
        <w:trPr>
          <w:trHeight w:val="554" w:hRule="exact"/>
        </w:trPr>
        <w:tc>
          <w:tcPr>
            <w:tcW w:w="2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3</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4,123,932</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4,123,932</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100</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逾期尚未收回</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货款</w:t>
            </w:r>
          </w:p>
        </w:tc>
      </w:tr>
      <w:tr>
        <w:trPr>
          <w:trHeight w:val="554" w:hRule="exact"/>
        </w:trPr>
        <w:tc>
          <w:tcPr>
            <w:tcW w:w="2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23,458,546</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23,458,546</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100</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逾期尚未收回</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货款</w:t>
            </w:r>
          </w:p>
        </w:tc>
      </w:tr>
      <w:tr>
        <w:trPr>
          <w:trHeight w:val="284" w:hRule="exact"/>
        </w:trPr>
        <w:tc>
          <w:tcPr>
            <w:tcW w:w="26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43,005,449</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43,005,449</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320" w:bottom="1380" w:left="380" w:right="300"/>
        </w:sectPr>
      </w:pPr>
    </w:p>
    <w:p>
      <w:pPr>
        <w:pStyle w:val="BodyText"/>
        <w:spacing w:line="240" w:lineRule="auto" w:before="36"/>
        <w:ind w:left="1418" w:right="0"/>
        <w:jc w:val="left"/>
      </w:pPr>
      <w:r>
        <w:rPr>
          <w:spacing w:val="-2"/>
        </w:rPr>
        <w:t>组合中，按账龄分析法计提坏账准备的应收账款：</w:t>
      </w:r>
    </w:p>
    <w:p>
      <w:pPr>
        <w:pStyle w:val="BodyText"/>
        <w:spacing w:line="240" w:lineRule="auto" w:before="56"/>
        <w:ind w:left="1418" w:right="0"/>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left="1418" w:right="0"/>
        <w:jc w:val="left"/>
      </w:pPr>
      <w:r>
        <w:rPr/>
        <w:t>单位：元币种：人民币</w:t>
      </w:r>
    </w:p>
    <w:p>
      <w:pPr>
        <w:spacing w:after="0" w:line="240" w:lineRule="auto"/>
        <w:jc w:val="left"/>
        <w:sectPr>
          <w:type w:val="continuous"/>
          <w:pgSz w:w="11910" w:h="16840"/>
          <w:pgMar w:top="1320" w:bottom="1380" w:left="380" w:right="300"/>
          <w:cols w:num="2" w:equalWidth="0">
            <w:col w:w="6044" w:space="689"/>
            <w:col w:w="4497"/>
          </w:cols>
        </w:sectPr>
      </w:pPr>
    </w:p>
    <w:p>
      <w:pPr>
        <w:spacing w:line="240" w:lineRule="auto" w:before="4"/>
        <w:rPr>
          <w:rFonts w:ascii="宋体" w:hAnsi="宋体" w:cs="宋体" w:eastAsia="宋体" w:hint="default"/>
          <w:sz w:val="2"/>
          <w:szCs w:val="2"/>
        </w:rPr>
      </w:pPr>
    </w:p>
    <w:tbl>
      <w:tblPr>
        <w:tblW w:w="0" w:type="auto"/>
        <w:jc w:val="left"/>
        <w:tblInd w:w="1305" w:type="dxa"/>
        <w:tblLayout w:type="fixed"/>
        <w:tblCellMar>
          <w:top w:w="0" w:type="dxa"/>
          <w:left w:w="0" w:type="dxa"/>
          <w:bottom w:w="0" w:type="dxa"/>
          <w:right w:w="0" w:type="dxa"/>
        </w:tblCellMar>
        <w:tblLook w:val="01E0"/>
      </w:tblPr>
      <w:tblGrid>
        <w:gridCol w:w="2674"/>
        <w:gridCol w:w="2165"/>
        <w:gridCol w:w="2114"/>
        <w:gridCol w:w="2096"/>
      </w:tblGrid>
      <w:tr>
        <w:trPr>
          <w:trHeight w:val="310" w:hRule="exact"/>
        </w:trPr>
        <w:tc>
          <w:tcPr>
            <w:tcW w:w="2674" w:type="dxa"/>
            <w:vMerge w:val="restart"/>
            <w:tcBorders>
              <w:top w:val="single" w:sz="4" w:space="0" w:color="000000"/>
              <w:left w:val="single" w:sz="4" w:space="0" w:color="000000"/>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6375" w:type="dxa"/>
            <w:gridSpan w:val="3"/>
            <w:tcBorders>
              <w:top w:val="single" w:sz="4" w:space="0" w:color="000000"/>
              <w:left w:val="single" w:sz="4" w:space="0" w:color="000000"/>
              <w:bottom w:val="single" w:sz="4" w:space="0" w:color="000000"/>
              <w:right w:val="single" w:sz="4" w:space="0" w:color="000000"/>
            </w:tcBorders>
          </w:tcPr>
          <w:p>
            <w:pPr>
              <w:pStyle w:val="TableParagraph"/>
              <w:spacing w:line="255" w:lineRule="exact"/>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281" w:hRule="exact"/>
        </w:trPr>
        <w:tc>
          <w:tcPr>
            <w:tcW w:w="2674" w:type="dxa"/>
            <w:vMerge/>
            <w:tcBorders>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57"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31"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60" w:right="0"/>
              <w:jc w:val="left"/>
              <w:rPr>
                <w:rFonts w:ascii="宋体" w:hAnsi="宋体" w:cs="宋体" w:eastAsia="宋体" w:hint="default"/>
                <w:sz w:val="21"/>
                <w:szCs w:val="21"/>
              </w:rPr>
            </w:pPr>
            <w:r>
              <w:rPr>
                <w:rFonts w:ascii="宋体" w:hAnsi="宋体" w:cs="宋体" w:eastAsia="宋体" w:hint="default"/>
                <w:sz w:val="21"/>
                <w:szCs w:val="21"/>
              </w:rPr>
              <w:t>计提比例（</w:t>
            </w:r>
            <w:r>
              <w:rPr>
                <w:rFonts w:ascii="宋体" w:hAnsi="宋体" w:cs="宋体" w:eastAsia="宋体" w:hint="default"/>
                <w:sz w:val="21"/>
                <w:szCs w:val="21"/>
              </w:rPr>
              <w:t>%</w:t>
            </w:r>
            <w:r>
              <w:rPr>
                <w:rFonts w:ascii="宋体" w:hAnsi="宋体" w:cs="宋体" w:eastAsia="宋体" w:hint="default"/>
                <w:sz w:val="21"/>
                <w:szCs w:val="21"/>
              </w:rPr>
              <w:t>）</w:t>
            </w:r>
          </w:p>
        </w:tc>
      </w:tr>
      <w:tr>
        <w:trPr>
          <w:trHeight w:val="283" w:hRule="exact"/>
        </w:trPr>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165" w:type="dxa"/>
            <w:tcBorders>
              <w:top w:val="single" w:sz="4" w:space="0" w:color="000000"/>
              <w:left w:val="single" w:sz="4" w:space="0" w:color="000000"/>
              <w:bottom w:val="single" w:sz="4" w:space="0" w:color="000000"/>
              <w:right w:val="single" w:sz="4" w:space="0" w:color="000000"/>
            </w:tcBorders>
          </w:tcPr>
          <w:p>
            <w:pPr/>
          </w:p>
        </w:tc>
        <w:tc>
          <w:tcPr>
            <w:tcW w:w="2114" w:type="dxa"/>
            <w:tcBorders>
              <w:top w:val="single" w:sz="4" w:space="0" w:color="000000"/>
              <w:left w:val="single" w:sz="4" w:space="0" w:color="000000"/>
              <w:bottom w:val="single" w:sz="4" w:space="0" w:color="000000"/>
              <w:right w:val="single" w:sz="4" w:space="0" w:color="000000"/>
            </w:tcBorders>
          </w:tcPr>
          <w:p>
            <w:pPr/>
          </w:p>
        </w:tc>
        <w:tc>
          <w:tcPr>
            <w:tcW w:w="2096"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年以内分项</w:t>
            </w:r>
          </w:p>
        </w:tc>
        <w:tc>
          <w:tcPr>
            <w:tcW w:w="2165" w:type="dxa"/>
            <w:tcBorders>
              <w:top w:val="single" w:sz="4" w:space="0" w:color="000000"/>
              <w:left w:val="single" w:sz="4" w:space="0" w:color="000000"/>
              <w:bottom w:val="single" w:sz="4" w:space="0" w:color="000000"/>
              <w:right w:val="single" w:sz="4" w:space="0" w:color="000000"/>
            </w:tcBorders>
          </w:tcPr>
          <w:p>
            <w:pPr/>
          </w:p>
        </w:tc>
        <w:tc>
          <w:tcPr>
            <w:tcW w:w="2114" w:type="dxa"/>
            <w:tcBorders>
              <w:top w:val="single" w:sz="4" w:space="0" w:color="000000"/>
              <w:left w:val="single" w:sz="4" w:space="0" w:color="000000"/>
              <w:bottom w:val="single" w:sz="4" w:space="0" w:color="000000"/>
              <w:right w:val="single" w:sz="4" w:space="0" w:color="000000"/>
            </w:tcBorders>
          </w:tcPr>
          <w:p>
            <w:pPr/>
          </w:p>
        </w:tc>
        <w:tc>
          <w:tcPr>
            <w:tcW w:w="2096"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674"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c>
          <w:tcPr>
            <w:tcW w:w="2114" w:type="dxa"/>
            <w:tcBorders>
              <w:top w:val="single" w:sz="4" w:space="0" w:color="000000"/>
              <w:left w:val="single" w:sz="4" w:space="0" w:color="000000"/>
              <w:bottom w:val="single" w:sz="4" w:space="0" w:color="000000"/>
              <w:right w:val="single" w:sz="4" w:space="0" w:color="000000"/>
            </w:tcBorders>
          </w:tcPr>
          <w:p>
            <w:pPr/>
          </w:p>
        </w:tc>
        <w:tc>
          <w:tcPr>
            <w:tcW w:w="2096"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2674"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c>
          <w:tcPr>
            <w:tcW w:w="2114" w:type="dxa"/>
            <w:tcBorders>
              <w:top w:val="single" w:sz="4" w:space="0" w:color="000000"/>
              <w:left w:val="single" w:sz="4" w:space="0" w:color="000000"/>
              <w:bottom w:val="single" w:sz="4" w:space="0" w:color="000000"/>
              <w:right w:val="single" w:sz="4" w:space="0" w:color="000000"/>
            </w:tcBorders>
          </w:tcPr>
          <w:p>
            <w:pPr/>
          </w:p>
        </w:tc>
        <w:tc>
          <w:tcPr>
            <w:tcW w:w="2096"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年以内小计</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97" w:right="0"/>
              <w:jc w:val="left"/>
              <w:rPr>
                <w:rFonts w:ascii="宋体" w:hAnsi="宋体" w:cs="宋体" w:eastAsia="宋体" w:hint="default"/>
                <w:sz w:val="21"/>
                <w:szCs w:val="21"/>
              </w:rPr>
            </w:pPr>
            <w:r>
              <w:rPr>
                <w:rFonts w:ascii="宋体"/>
                <w:sz w:val="21"/>
              </w:rPr>
              <w:t>363,270,236</w:t>
            </w:r>
          </w:p>
        </w:tc>
        <w:tc>
          <w:tcPr>
            <w:tcW w:w="2114" w:type="dxa"/>
            <w:tcBorders>
              <w:top w:val="single" w:sz="4" w:space="0" w:color="000000"/>
              <w:left w:val="single" w:sz="4" w:space="0" w:color="000000"/>
              <w:bottom w:val="single" w:sz="4" w:space="0" w:color="000000"/>
              <w:right w:val="single" w:sz="4" w:space="0" w:color="000000"/>
            </w:tcBorders>
          </w:tcPr>
          <w:p>
            <w:pPr/>
          </w:p>
        </w:tc>
        <w:tc>
          <w:tcPr>
            <w:tcW w:w="2096"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320" w:bottom="1380" w:left="380" w:right="300"/>
        </w:sectPr>
      </w:pPr>
    </w:p>
    <w:p>
      <w:pPr>
        <w:spacing w:line="240" w:lineRule="auto" w:before="9"/>
        <w:rPr>
          <w:rFonts w:ascii="宋体" w:hAnsi="宋体" w:cs="宋体" w:eastAsia="宋体" w:hint="default"/>
          <w:sz w:val="17"/>
          <w:szCs w:val="17"/>
        </w:rPr>
      </w:pPr>
    </w:p>
    <w:tbl>
      <w:tblPr>
        <w:tblW w:w="0" w:type="auto"/>
        <w:jc w:val="left"/>
        <w:tblInd w:w="105" w:type="dxa"/>
        <w:tblLayout w:type="fixed"/>
        <w:tblCellMar>
          <w:top w:w="0" w:type="dxa"/>
          <w:left w:w="0" w:type="dxa"/>
          <w:bottom w:w="0" w:type="dxa"/>
          <w:right w:w="0" w:type="dxa"/>
        </w:tblCellMar>
        <w:tblLook w:val="01E0"/>
      </w:tblPr>
      <w:tblGrid>
        <w:gridCol w:w="2674"/>
        <w:gridCol w:w="2165"/>
        <w:gridCol w:w="2114"/>
        <w:gridCol w:w="2096"/>
      </w:tblGrid>
      <w:tr>
        <w:trPr>
          <w:trHeight w:val="284" w:hRule="exact"/>
        </w:trPr>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9"/>
              <w:jc w:val="right"/>
              <w:rPr>
                <w:rFonts w:ascii="宋体" w:hAnsi="宋体" w:cs="宋体" w:eastAsia="宋体" w:hint="default"/>
                <w:sz w:val="21"/>
                <w:szCs w:val="21"/>
              </w:rPr>
            </w:pPr>
            <w:r>
              <w:rPr>
                <w:rFonts w:ascii="宋体"/>
                <w:spacing w:val="-1"/>
                <w:sz w:val="21"/>
              </w:rPr>
              <w:t>163,289,898</w:t>
            </w:r>
          </w:p>
        </w:tc>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8"/>
              <w:jc w:val="right"/>
              <w:rPr>
                <w:rFonts w:ascii="宋体" w:hAnsi="宋体" w:cs="宋体" w:eastAsia="宋体" w:hint="default"/>
                <w:sz w:val="21"/>
                <w:szCs w:val="21"/>
              </w:rPr>
            </w:pPr>
            <w:r>
              <w:rPr>
                <w:rFonts w:ascii="宋体"/>
                <w:spacing w:val="-1"/>
                <w:sz w:val="21"/>
              </w:rPr>
              <w:t>16,328,990</w:t>
            </w:r>
          </w:p>
        </w:tc>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01"/>
              <w:jc w:val="right"/>
              <w:rPr>
                <w:rFonts w:ascii="宋体" w:hAnsi="宋体" w:cs="宋体" w:eastAsia="宋体" w:hint="default"/>
                <w:sz w:val="21"/>
                <w:szCs w:val="21"/>
              </w:rPr>
            </w:pPr>
            <w:r>
              <w:rPr>
                <w:rFonts w:ascii="宋体"/>
                <w:sz w:val="21"/>
              </w:rPr>
              <w:t>10</w:t>
            </w:r>
          </w:p>
        </w:tc>
      </w:tr>
      <w:tr>
        <w:trPr>
          <w:trHeight w:val="283" w:hRule="exact"/>
        </w:trPr>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73,833,152</w:t>
            </w:r>
          </w:p>
        </w:tc>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14,766,630</w:t>
            </w:r>
          </w:p>
        </w:tc>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20</w:t>
            </w:r>
          </w:p>
        </w:tc>
      </w:tr>
      <w:tr>
        <w:trPr>
          <w:trHeight w:val="281" w:hRule="exact"/>
        </w:trPr>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165" w:type="dxa"/>
            <w:tcBorders>
              <w:top w:val="single" w:sz="4" w:space="0" w:color="000000"/>
              <w:left w:val="single" w:sz="4" w:space="0" w:color="000000"/>
              <w:bottom w:val="single" w:sz="4" w:space="0" w:color="000000"/>
              <w:right w:val="single" w:sz="4" w:space="0" w:color="000000"/>
            </w:tcBorders>
          </w:tcPr>
          <w:p>
            <w:pPr/>
          </w:p>
        </w:tc>
        <w:tc>
          <w:tcPr>
            <w:tcW w:w="2114" w:type="dxa"/>
            <w:tcBorders>
              <w:top w:val="single" w:sz="4" w:space="0" w:color="000000"/>
              <w:left w:val="single" w:sz="4" w:space="0" w:color="000000"/>
              <w:bottom w:val="single" w:sz="4" w:space="0" w:color="000000"/>
              <w:right w:val="single" w:sz="4" w:space="0" w:color="000000"/>
            </w:tcBorders>
          </w:tcPr>
          <w:p>
            <w:pPr/>
          </w:p>
        </w:tc>
        <w:tc>
          <w:tcPr>
            <w:tcW w:w="2096"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68,784,280</w:t>
            </w:r>
          </w:p>
        </w:tc>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27,513,713</w:t>
            </w:r>
          </w:p>
        </w:tc>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z w:val="21"/>
              </w:rPr>
              <w:t>40</w:t>
            </w:r>
          </w:p>
        </w:tc>
      </w:tr>
      <w:tr>
        <w:trPr>
          <w:trHeight w:val="283" w:hRule="exact"/>
        </w:trPr>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68,185,196</w:t>
            </w:r>
          </w:p>
        </w:tc>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34,092,598</w:t>
            </w:r>
          </w:p>
        </w:tc>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50</w:t>
            </w:r>
          </w:p>
        </w:tc>
      </w:tr>
      <w:tr>
        <w:trPr>
          <w:trHeight w:val="281" w:hRule="exact"/>
        </w:trPr>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171,710,372</w:t>
            </w:r>
          </w:p>
        </w:tc>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171,710,372</w:t>
            </w:r>
          </w:p>
        </w:tc>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100</w:t>
            </w:r>
          </w:p>
        </w:tc>
      </w:tr>
      <w:tr>
        <w:trPr>
          <w:trHeight w:val="283" w:hRule="exact"/>
        </w:trPr>
        <w:tc>
          <w:tcPr>
            <w:tcW w:w="2674"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c>
          <w:tcPr>
            <w:tcW w:w="2114" w:type="dxa"/>
            <w:tcBorders>
              <w:top w:val="single" w:sz="4" w:space="0" w:color="000000"/>
              <w:left w:val="single" w:sz="4" w:space="0" w:color="000000"/>
              <w:bottom w:val="single" w:sz="4" w:space="0" w:color="000000"/>
              <w:right w:val="single" w:sz="4" w:space="0" w:color="000000"/>
            </w:tcBorders>
          </w:tcPr>
          <w:p>
            <w:pPr/>
          </w:p>
        </w:tc>
        <w:tc>
          <w:tcPr>
            <w:tcW w:w="2096"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674"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c>
          <w:tcPr>
            <w:tcW w:w="2114" w:type="dxa"/>
            <w:tcBorders>
              <w:top w:val="single" w:sz="4" w:space="0" w:color="000000"/>
              <w:left w:val="single" w:sz="4" w:space="0" w:color="000000"/>
              <w:bottom w:val="single" w:sz="4" w:space="0" w:color="000000"/>
              <w:right w:val="single" w:sz="4" w:space="0" w:color="000000"/>
            </w:tcBorders>
          </w:tcPr>
          <w:p>
            <w:pPr/>
          </w:p>
        </w:tc>
        <w:tc>
          <w:tcPr>
            <w:tcW w:w="2096"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909,073,134</w:t>
            </w:r>
          </w:p>
        </w:tc>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264,412,303</w:t>
            </w:r>
          </w:p>
        </w:tc>
        <w:tc>
          <w:tcPr>
            <w:tcW w:w="209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9"/>
        <w:rPr>
          <w:rFonts w:ascii="宋体" w:hAnsi="宋体" w:cs="宋体" w:eastAsia="宋体" w:hint="default"/>
          <w:sz w:val="24"/>
          <w:szCs w:val="24"/>
        </w:rPr>
      </w:pPr>
    </w:p>
    <w:p>
      <w:pPr>
        <w:pStyle w:val="BodyText"/>
        <w:spacing w:line="240" w:lineRule="auto" w:before="36"/>
        <w:ind w:right="99"/>
        <w:jc w:val="left"/>
      </w:pPr>
      <w:r>
        <w:rPr/>
        <w:t>组合中，采用余额百分比法计提坏账准备的应收账款：</w:t>
      </w:r>
    </w:p>
    <w:p>
      <w:pPr>
        <w:pStyle w:val="BodyText"/>
        <w:spacing w:line="240" w:lineRule="auto" w:before="57"/>
        <w:ind w:right="99"/>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pStyle w:val="BodyText"/>
        <w:spacing w:line="240" w:lineRule="auto"/>
        <w:ind w:right="99"/>
        <w:jc w:val="left"/>
      </w:pPr>
      <w:r>
        <w:rPr/>
        <w:t>组合中，采用其他方法计提坏账准备的应收账款：</w:t>
      </w:r>
    </w:p>
    <w:p>
      <w:pPr>
        <w:pStyle w:val="BodyText"/>
        <w:spacing w:line="240" w:lineRule="auto" w:before="56"/>
        <w:ind w:right="99"/>
        <w:jc w:val="left"/>
      </w:pPr>
      <w:r>
        <w:rPr/>
        <w:t>□适用</w:t>
      </w:r>
      <w:r>
        <w:rPr>
          <w:spacing w:val="-1"/>
        </w:rPr>
        <w:t> </w:t>
      </w:r>
      <w:r>
        <w:rPr/>
        <w:t>√不适用</w:t>
      </w:r>
    </w:p>
    <w:p>
      <w:pPr>
        <w:spacing w:line="240" w:lineRule="auto" w:before="11"/>
        <w:rPr>
          <w:rFonts w:ascii="宋体" w:hAnsi="宋体" w:cs="宋体" w:eastAsia="宋体" w:hint="default"/>
          <w:sz w:val="29"/>
          <w:szCs w:val="29"/>
        </w:rPr>
      </w:pPr>
    </w:p>
    <w:p>
      <w:pPr>
        <w:pStyle w:val="Heading3"/>
        <w:tabs>
          <w:tab w:pos="698" w:val="left" w:leader="none"/>
        </w:tabs>
        <w:spacing w:line="240" w:lineRule="auto"/>
        <w:ind w:left="0" w:right="4069"/>
        <w:jc w:val="center"/>
        <w:rPr>
          <w:b w:val="0"/>
          <w:bCs w:val="0"/>
        </w:rPr>
      </w:pPr>
      <w:r>
        <w:rPr>
          <w:rFonts w:ascii="宋体" w:hAnsi="宋体" w:cs="宋体" w:eastAsia="宋体" w:hint="default"/>
          <w:w w:val="95"/>
        </w:rPr>
        <w:t>(2).</w:t>
        <w:tab/>
      </w:r>
      <w:r>
        <w:rPr/>
        <w:t>本期计提、收回或转回的坏账准备情况：</w:t>
      </w:r>
      <w:r>
        <w:rPr>
          <w:b w:val="0"/>
          <w:bCs w:val="0"/>
        </w:rPr>
      </w:r>
    </w:p>
    <w:p>
      <w:pPr>
        <w:pStyle w:val="BodyText"/>
        <w:spacing w:line="240" w:lineRule="auto" w:before="58"/>
        <w:ind w:right="99"/>
        <w:jc w:val="left"/>
      </w:pPr>
      <w:r>
        <w:rPr/>
        <w:t>本期计提坏账准备金额</w:t>
      </w:r>
      <w:r>
        <w:rPr>
          <w:spacing w:val="-54"/>
        </w:rPr>
        <w:t> </w:t>
      </w:r>
      <w:r>
        <w:rPr>
          <w:rFonts w:ascii="宋体" w:hAnsi="宋体" w:cs="宋体" w:eastAsia="宋体" w:hint="default"/>
        </w:rPr>
        <w:t>81,121,230</w:t>
      </w:r>
      <w:r>
        <w:rPr>
          <w:rFonts w:ascii="宋体" w:hAnsi="宋体" w:cs="宋体" w:eastAsia="宋体" w:hint="default"/>
          <w:spacing w:val="-57"/>
        </w:rPr>
        <w:t> </w:t>
      </w:r>
      <w:r>
        <w:rPr/>
        <w:t>元；本期收回或转回坏账准备金额</w:t>
      </w:r>
      <w:r>
        <w:rPr>
          <w:spacing w:val="-55"/>
        </w:rPr>
        <w:t> </w:t>
      </w:r>
      <w:r>
        <w:rPr>
          <w:rFonts w:ascii="宋体" w:hAnsi="宋体" w:cs="宋体" w:eastAsia="宋体" w:hint="default"/>
        </w:rPr>
        <w:t>7,890,975</w:t>
      </w:r>
      <w:r>
        <w:rPr>
          <w:rFonts w:ascii="宋体" w:hAnsi="宋体" w:cs="宋体" w:eastAsia="宋体" w:hint="default"/>
          <w:spacing w:val="-54"/>
        </w:rPr>
        <w:t> </w:t>
      </w:r>
      <w:r>
        <w:rPr>
          <w:spacing w:val="-3"/>
        </w:rPr>
        <w:t>元。</w:t>
      </w:r>
      <w:r>
        <w:rPr/>
      </w:r>
    </w:p>
    <w:p>
      <w:pPr>
        <w:spacing w:line="240" w:lineRule="auto" w:before="8"/>
        <w:rPr>
          <w:rFonts w:ascii="宋体" w:hAnsi="宋体" w:cs="宋体" w:eastAsia="宋体" w:hint="default"/>
          <w:sz w:val="20"/>
          <w:szCs w:val="20"/>
        </w:rPr>
      </w:pPr>
    </w:p>
    <w:p>
      <w:pPr>
        <w:pStyle w:val="BodyText"/>
        <w:spacing w:line="273" w:lineRule="exact"/>
        <w:ind w:right="99"/>
        <w:jc w:val="left"/>
      </w:pPr>
      <w:r>
        <w:rPr/>
        <w:t>其中本期坏账准备收回或转回金额重要的：</w:t>
      </w:r>
    </w:p>
    <w:p>
      <w:pPr>
        <w:pStyle w:val="BodyText"/>
        <w:spacing w:line="273" w:lineRule="exact"/>
        <w:ind w:right="99"/>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57" w:footer="1195" w:top="1280" w:bottom="1380" w:left="1580" w:right="1040"/>
        </w:sectPr>
      </w:pPr>
    </w:p>
    <w:p>
      <w:pPr>
        <w:pStyle w:val="Heading3"/>
        <w:tabs>
          <w:tab w:pos="1057" w:val="left" w:leader="none"/>
        </w:tabs>
        <w:spacing w:line="240" w:lineRule="auto" w:before="36"/>
        <w:ind w:left="359" w:right="-6"/>
        <w:jc w:val="left"/>
        <w:rPr>
          <w:b w:val="0"/>
          <w:bCs w:val="0"/>
        </w:rPr>
      </w:pPr>
      <w:r>
        <w:rPr>
          <w:rFonts w:ascii="宋体" w:hAnsi="宋体" w:cs="宋体" w:eastAsia="宋体" w:hint="default"/>
          <w:w w:val="95"/>
        </w:rPr>
        <w:t>(3).</w:t>
        <w:tab/>
      </w:r>
      <w:r>
        <w:rPr>
          <w:spacing w:val="-1"/>
        </w:rPr>
        <w:t>本期实际核销的应收账款情况</w:t>
      </w:r>
      <w:r>
        <w:rPr>
          <w:b w:val="0"/>
          <w:bCs w:val="0"/>
          <w:spacing w:val="-1"/>
        </w:rPr>
      </w:r>
    </w:p>
    <w:p>
      <w:pPr>
        <w:pStyle w:val="BodyText"/>
        <w:spacing w:line="240" w:lineRule="auto" w:before="56"/>
        <w:ind w:right="-6"/>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1"/>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3800" w:space="2933"/>
            <w:col w:w="2557"/>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4273"/>
        <w:gridCol w:w="4777"/>
      </w:tblGrid>
      <w:tr>
        <w:trPr>
          <w:trHeight w:val="283" w:hRule="exact"/>
        </w:trPr>
        <w:tc>
          <w:tcPr>
            <w:tcW w:w="42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核销金额</w:t>
            </w:r>
          </w:p>
        </w:tc>
      </w:tr>
      <w:tr>
        <w:trPr>
          <w:trHeight w:val="281" w:hRule="exact"/>
        </w:trPr>
        <w:tc>
          <w:tcPr>
            <w:tcW w:w="42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实际核销的应收账款</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36,592,420</w:t>
            </w:r>
          </w:p>
        </w:tc>
      </w:tr>
    </w:tbl>
    <w:p>
      <w:pPr>
        <w:spacing w:line="240" w:lineRule="auto" w:before="7"/>
        <w:rPr>
          <w:rFonts w:ascii="宋体" w:hAnsi="宋体" w:cs="宋体" w:eastAsia="宋体" w:hint="default"/>
          <w:sz w:val="15"/>
          <w:szCs w:val="15"/>
        </w:rPr>
      </w:pPr>
    </w:p>
    <w:p>
      <w:pPr>
        <w:pStyle w:val="BodyText"/>
        <w:spacing w:line="273" w:lineRule="exact" w:before="36"/>
        <w:ind w:right="99"/>
        <w:jc w:val="left"/>
      </w:pPr>
      <w:r>
        <w:rPr/>
        <w:t>其中重要的应收账款核销情况</w:t>
      </w:r>
    </w:p>
    <w:p>
      <w:pPr>
        <w:pStyle w:val="BodyText"/>
        <w:spacing w:line="273" w:lineRule="exact"/>
        <w:ind w:right="99"/>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pStyle w:val="Heading3"/>
        <w:tabs>
          <w:tab w:pos="1057" w:val="left" w:leader="none"/>
        </w:tabs>
        <w:spacing w:line="240" w:lineRule="auto"/>
        <w:ind w:left="359" w:right="99"/>
        <w:jc w:val="left"/>
        <w:rPr>
          <w:b w:val="0"/>
          <w:bCs w:val="0"/>
        </w:rPr>
      </w:pPr>
      <w:r>
        <w:rPr>
          <w:rFonts w:ascii="宋体" w:hAnsi="宋体" w:cs="宋体" w:eastAsia="宋体" w:hint="default"/>
          <w:w w:val="95"/>
        </w:rPr>
        <w:t>(4).</w:t>
        <w:tab/>
      </w:r>
      <w:r>
        <w:rPr/>
        <w:t>按欠款方归集的期末余额前五名的应收账款情况：</w:t>
      </w:r>
      <w:r>
        <w:rPr>
          <w:b w:val="0"/>
          <w:bCs w:val="0"/>
        </w:rPr>
      </w:r>
    </w:p>
    <w:p>
      <w:pPr>
        <w:pStyle w:val="BodyText"/>
        <w:tabs>
          <w:tab w:pos="1060" w:val="left" w:leader="none"/>
        </w:tabs>
        <w:spacing w:line="240" w:lineRule="auto" w:before="56"/>
        <w:ind w:right="99"/>
        <w:jc w:val="left"/>
      </w:pPr>
      <w:r>
        <w:rPr>
          <w:spacing w:val="-1"/>
        </w:rPr>
        <w:t>√适用</w:t>
        <w:tab/>
      </w:r>
      <w:r>
        <w:rPr>
          <w:spacing w:val="-2"/>
        </w:rPr>
        <w:t>□不适用</w:t>
      </w:r>
    </w:p>
    <w:p>
      <w:pPr>
        <w:spacing w:line="240" w:lineRule="auto" w:before="3"/>
        <w:rPr>
          <w:rFonts w:ascii="宋体" w:hAnsi="宋体" w:cs="宋体" w:eastAsia="宋体" w:hint="default"/>
          <w:sz w:val="23"/>
          <w:szCs w:val="23"/>
        </w:rPr>
      </w:pPr>
    </w:p>
    <w:tbl>
      <w:tblPr>
        <w:tblW w:w="0" w:type="auto"/>
        <w:jc w:val="left"/>
        <w:tblInd w:w="105" w:type="dxa"/>
        <w:tblLayout w:type="fixed"/>
        <w:tblCellMar>
          <w:top w:w="0" w:type="dxa"/>
          <w:left w:w="0" w:type="dxa"/>
          <w:bottom w:w="0" w:type="dxa"/>
          <w:right w:w="0" w:type="dxa"/>
        </w:tblCellMar>
        <w:tblLook w:val="01E0"/>
      </w:tblPr>
      <w:tblGrid>
        <w:gridCol w:w="1414"/>
        <w:gridCol w:w="2410"/>
        <w:gridCol w:w="2693"/>
        <w:gridCol w:w="2307"/>
      </w:tblGrid>
      <w:tr>
        <w:trPr>
          <w:trHeight w:val="554" w:hRule="exact"/>
        </w:trPr>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应收账款年末余额</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应收账款年末余</w:t>
            </w:r>
            <w:r>
              <w:rPr>
                <w:rFonts w:ascii="宋体" w:hAnsi="宋体" w:cs="宋体" w:eastAsia="宋体" w:hint="default"/>
                <w:spacing w:val="43"/>
                <w:sz w:val="21"/>
                <w:szCs w:val="21"/>
              </w:rPr>
              <w:t> </w:t>
            </w:r>
            <w:r>
              <w:rPr>
                <w:rFonts w:ascii="宋体" w:hAnsi="宋体" w:cs="宋体" w:eastAsia="宋体" w:hint="default"/>
                <w:sz w:val="21"/>
                <w:szCs w:val="21"/>
              </w:rPr>
              <w:t>额占应收</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账款总额</w:t>
            </w:r>
            <w:r>
              <w:rPr>
                <w:rFonts w:ascii="宋体" w:hAnsi="宋体" w:cs="宋体" w:eastAsia="宋体" w:hint="default"/>
                <w:spacing w:val="1"/>
                <w:sz w:val="21"/>
                <w:szCs w:val="21"/>
              </w:rPr>
              <w:t> </w:t>
            </w:r>
            <w:r>
              <w:rPr>
                <w:rFonts w:ascii="宋体" w:hAnsi="宋体" w:cs="宋体" w:eastAsia="宋体" w:hint="default"/>
                <w:sz w:val="21"/>
                <w:szCs w:val="21"/>
              </w:rPr>
              <w:t>的比例</w:t>
            </w:r>
            <w:r>
              <w:rPr>
                <w:rFonts w:ascii="宋体" w:hAnsi="宋体" w:cs="宋体" w:eastAsia="宋体" w:hint="default"/>
                <w:sz w:val="21"/>
                <w:szCs w:val="21"/>
              </w:rPr>
              <w:t>(%)</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坏账准备年末余额</w:t>
            </w:r>
          </w:p>
        </w:tc>
      </w:tr>
      <w:tr>
        <w:trPr>
          <w:trHeight w:val="283" w:hRule="exact"/>
        </w:trPr>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1</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10,608,779</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w w:val="100"/>
                <w:sz w:val="21"/>
              </w:rPr>
              <w:t>1</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10,608,779</w:t>
            </w:r>
          </w:p>
        </w:tc>
      </w:tr>
      <w:tr>
        <w:trPr>
          <w:trHeight w:val="283" w:hRule="exact"/>
        </w:trPr>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2</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8,119,133</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1</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145,912</w:t>
            </w:r>
          </w:p>
        </w:tc>
      </w:tr>
      <w:tr>
        <w:trPr>
          <w:trHeight w:val="281" w:hRule="exact"/>
        </w:trPr>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3</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5,649,477</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1</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1,169,444</w:t>
            </w:r>
          </w:p>
        </w:tc>
      </w:tr>
      <w:tr>
        <w:trPr>
          <w:trHeight w:val="283" w:hRule="exact"/>
        </w:trPr>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4</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5,263,600</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1</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w:t>
            </w:r>
          </w:p>
        </w:tc>
      </w:tr>
      <w:tr>
        <w:trPr>
          <w:trHeight w:val="283" w:hRule="exact"/>
        </w:trPr>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5</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4,814,192</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&lt;1</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4,814,192</w:t>
            </w:r>
          </w:p>
        </w:tc>
      </w:tr>
      <w:tr>
        <w:trPr>
          <w:trHeight w:val="281" w:hRule="exact"/>
        </w:trPr>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34,455,181</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4</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16,738,327</w:t>
            </w:r>
          </w:p>
        </w:tc>
      </w:tr>
    </w:tbl>
    <w:p>
      <w:pPr>
        <w:spacing w:after="0" w:line="241" w:lineRule="exact"/>
        <w:jc w:val="right"/>
        <w:rPr>
          <w:rFonts w:ascii="宋体" w:hAnsi="宋体" w:cs="宋体" w:eastAsia="宋体" w:hint="default"/>
          <w:sz w:val="21"/>
          <w:szCs w:val="21"/>
        </w:rPr>
        <w:sectPr>
          <w:type w:val="continuous"/>
          <w:pgSz w:w="11910" w:h="16840"/>
          <w:pgMar w:top="1320" w:bottom="1380" w:left="1580" w:right="1040"/>
        </w:sectPr>
      </w:pPr>
    </w:p>
    <w:p>
      <w:pPr>
        <w:spacing w:line="240" w:lineRule="auto" w:before="4"/>
        <w:rPr>
          <w:rFonts w:ascii="宋体" w:hAnsi="宋体" w:cs="宋体" w:eastAsia="宋体" w:hint="default"/>
          <w:sz w:val="12"/>
          <w:szCs w:val="12"/>
        </w:rPr>
      </w:pPr>
    </w:p>
    <w:p>
      <w:pPr>
        <w:pStyle w:val="Heading3"/>
        <w:tabs>
          <w:tab w:pos="2257" w:val="left" w:leader="none"/>
        </w:tabs>
        <w:spacing w:line="240" w:lineRule="auto" w:before="36"/>
        <w:ind w:left="1559" w:right="0"/>
        <w:jc w:val="left"/>
        <w:rPr>
          <w:b w:val="0"/>
          <w:bCs w:val="0"/>
        </w:rPr>
      </w:pPr>
      <w:r>
        <w:rPr>
          <w:rFonts w:ascii="宋体" w:hAnsi="宋体" w:cs="宋体" w:eastAsia="宋体" w:hint="default"/>
          <w:w w:val="95"/>
        </w:rPr>
        <w:t>(5).</w:t>
        <w:tab/>
      </w:r>
      <w:r>
        <w:rPr/>
        <w:t>因金融资产转移而终止确认的应收账款：</w:t>
      </w:r>
      <w:r>
        <w:rPr>
          <w:b w:val="0"/>
          <w:bCs w:val="0"/>
        </w:rPr>
      </w:r>
    </w:p>
    <w:p>
      <w:pPr>
        <w:pStyle w:val="BodyText"/>
        <w:tabs>
          <w:tab w:pos="2260" w:val="left" w:leader="none"/>
        </w:tabs>
        <w:spacing w:line="240" w:lineRule="auto" w:before="58"/>
        <w:ind w:left="1418" w:right="0"/>
        <w:jc w:val="left"/>
      </w:pPr>
      <w:r>
        <w:rPr>
          <w:spacing w:val="-1"/>
        </w:rPr>
        <w:t>□适用</w:t>
        <w:tab/>
      </w:r>
      <w:r>
        <w:rPr>
          <w:spacing w:val="-2"/>
        </w:rPr>
        <w:t>√不适用</w:t>
      </w:r>
    </w:p>
    <w:p>
      <w:pPr>
        <w:spacing w:line="240" w:lineRule="auto" w:before="11"/>
        <w:rPr>
          <w:rFonts w:ascii="宋体" w:hAnsi="宋体" w:cs="宋体" w:eastAsia="宋体" w:hint="default"/>
          <w:sz w:val="22"/>
          <w:szCs w:val="22"/>
        </w:rPr>
      </w:pPr>
    </w:p>
    <w:p>
      <w:pPr>
        <w:pStyle w:val="Heading3"/>
        <w:tabs>
          <w:tab w:pos="2257" w:val="left" w:leader="none"/>
        </w:tabs>
        <w:spacing w:line="240" w:lineRule="auto"/>
        <w:ind w:left="1559" w:right="0"/>
        <w:jc w:val="left"/>
        <w:rPr>
          <w:b w:val="0"/>
          <w:bCs w:val="0"/>
        </w:rPr>
      </w:pPr>
      <w:r>
        <w:rPr>
          <w:rFonts w:ascii="宋体" w:hAnsi="宋体" w:cs="宋体" w:eastAsia="宋体" w:hint="default"/>
          <w:w w:val="95"/>
        </w:rPr>
        <w:t>(6).</w:t>
        <w:tab/>
      </w:r>
      <w:r>
        <w:rPr/>
        <w:t>转移应收账款且继续涉入形成的资产、负债金额：</w:t>
      </w:r>
      <w:r>
        <w:rPr>
          <w:b w:val="0"/>
          <w:bCs w:val="0"/>
        </w:rPr>
      </w:r>
    </w:p>
    <w:p>
      <w:pPr>
        <w:pStyle w:val="BodyText"/>
        <w:tabs>
          <w:tab w:pos="2260" w:val="left" w:leader="none"/>
        </w:tabs>
        <w:spacing w:line="240" w:lineRule="auto" w:before="56"/>
        <w:ind w:left="1418" w:right="0"/>
        <w:jc w:val="left"/>
      </w:pPr>
      <w:r>
        <w:rPr>
          <w:spacing w:val="-1"/>
        </w:rPr>
        <w:t>□适用</w:t>
        <w:tab/>
      </w:r>
      <w:r>
        <w:rPr>
          <w:spacing w:val="-2"/>
        </w:rPr>
        <w:t>√不适用</w:t>
      </w:r>
    </w:p>
    <w:p>
      <w:pPr>
        <w:spacing w:line="240" w:lineRule="auto" w:before="9"/>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pgSz w:w="11910" w:h="16840"/>
          <w:pgMar w:header="857" w:footer="1195" w:top="1280" w:bottom="1380" w:left="380" w:right="440"/>
        </w:sectPr>
      </w:pPr>
    </w:p>
    <w:p>
      <w:pPr>
        <w:pStyle w:val="BodyText"/>
        <w:spacing w:line="273" w:lineRule="exact" w:before="36"/>
        <w:ind w:left="1401" w:right="1565"/>
        <w:jc w:val="center"/>
      </w:pPr>
      <w:r>
        <w:rPr/>
        <w:t>其他说明：</w:t>
      </w:r>
    </w:p>
    <w:p>
      <w:pPr>
        <w:spacing w:line="290" w:lineRule="auto" w:before="0"/>
        <w:ind w:left="1418" w:right="1044"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
          <w:sz w:val="21"/>
          <w:szCs w:val="21"/>
        </w:rPr>
        <w:t> </w:t>
      </w:r>
      <w:r>
        <w:rPr>
          <w:rFonts w:ascii="宋体" w:hAnsi="宋体" w:cs="宋体" w:eastAsia="宋体" w:hint="default"/>
          <w:sz w:val="21"/>
          <w:szCs w:val="21"/>
        </w:rPr>
        <w:t>√不适用</w:t>
      </w:r>
      <w:r>
        <w:rPr>
          <w:rFonts w:ascii="宋体" w:hAnsi="宋体" w:cs="宋体" w:eastAsia="宋体" w:hint="default"/>
          <w:w w:val="100"/>
          <w:sz w:val="21"/>
          <w:szCs w:val="21"/>
        </w:rPr>
        <w:t> </w:t>
      </w: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4"/>
          <w:sz w:val="21"/>
          <w:szCs w:val="21"/>
        </w:rPr>
        <w:t> </w:t>
      </w:r>
      <w:r>
        <w:rPr>
          <w:rFonts w:ascii="宋体" w:hAnsi="宋体" w:cs="宋体" w:eastAsia="宋体" w:hint="default"/>
          <w:b/>
          <w:bCs/>
          <w:sz w:val="21"/>
          <w:szCs w:val="21"/>
        </w:rPr>
        <w:t>其他应收款</w:t>
      </w:r>
      <w:r>
        <w:rPr>
          <w:rFonts w:ascii="宋体" w:hAnsi="宋体" w:cs="宋体" w:eastAsia="宋体" w:hint="default"/>
          <w:sz w:val="21"/>
          <w:szCs w:val="21"/>
        </w:rPr>
      </w:r>
    </w:p>
    <w:p>
      <w:pPr>
        <w:pStyle w:val="Heading3"/>
        <w:spacing w:line="240" w:lineRule="auto" w:before="12"/>
        <w:ind w:left="1418" w:right="-19"/>
        <w:jc w:val="left"/>
        <w:rPr>
          <w:b w:val="0"/>
          <w:bCs w:val="0"/>
        </w:rPr>
      </w:pPr>
      <w:r>
        <w:rPr>
          <w:rFonts w:ascii="宋体" w:hAnsi="宋体" w:cs="宋体" w:eastAsia="宋体" w:hint="default"/>
        </w:rPr>
        <w:t>(1).</w:t>
      </w:r>
      <w:r>
        <w:rPr>
          <w:rFonts w:ascii="宋体" w:hAnsi="宋体" w:cs="宋体" w:eastAsia="宋体" w:hint="default"/>
          <w:spacing w:val="-1"/>
        </w:rPr>
        <w:t> </w:t>
      </w:r>
      <w:r>
        <w:rPr/>
        <w:t>其他应收款分类披露：</w:t>
      </w:r>
      <w:r>
        <w:rPr>
          <w:b w:val="0"/>
          <w:bCs w:val="0"/>
        </w:rPr>
      </w:r>
    </w:p>
    <w:p>
      <w:pPr>
        <w:pStyle w:val="BodyText"/>
        <w:tabs>
          <w:tab w:pos="2260" w:val="left" w:leader="none"/>
        </w:tabs>
        <w:spacing w:line="240" w:lineRule="auto" w:before="56"/>
        <w:ind w:left="1418" w:right="-19"/>
        <w:jc w:val="left"/>
      </w:pPr>
      <w:r>
        <w:rPr>
          <w:spacing w:val="-1"/>
        </w:rPr>
        <w:t>√适用</w:t>
        <w:tab/>
      </w:r>
      <w:r>
        <w:rPr>
          <w:spacing w:val="-2"/>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0"/>
          <w:szCs w:val="20"/>
        </w:rPr>
      </w:pPr>
    </w:p>
    <w:p>
      <w:pPr>
        <w:pStyle w:val="BodyText"/>
        <w:spacing w:line="240" w:lineRule="auto"/>
        <w:ind w:left="1418" w:right="0"/>
        <w:jc w:val="left"/>
      </w:pPr>
      <w:r>
        <w:rPr/>
        <w:t>单位：元币种：人民币</w:t>
      </w:r>
    </w:p>
    <w:p>
      <w:pPr>
        <w:spacing w:after="0" w:line="240" w:lineRule="auto"/>
        <w:jc w:val="left"/>
        <w:sectPr>
          <w:type w:val="continuous"/>
          <w:pgSz w:w="11910" w:h="16840"/>
          <w:pgMar w:top="1320" w:bottom="1380" w:left="380" w:right="440"/>
          <w:cols w:num="2" w:equalWidth="0">
            <w:col w:w="4057" w:space="2676"/>
            <w:col w:w="4357"/>
          </w:cols>
        </w:sectPr>
      </w:pPr>
    </w:p>
    <w:p>
      <w:pPr>
        <w:spacing w:line="240" w:lineRule="auto" w:before="4"/>
        <w:rPr>
          <w:rFonts w:ascii="宋体" w:hAnsi="宋体" w:cs="宋体" w:eastAsia="宋体" w:hint="default"/>
          <w:sz w:val="2"/>
          <w:szCs w:val="2"/>
        </w:rPr>
      </w:pPr>
    </w:p>
    <w:tbl>
      <w:tblPr>
        <w:tblW w:w="0" w:type="auto"/>
        <w:jc w:val="left"/>
        <w:tblInd w:w="100" w:type="dxa"/>
        <w:tblLayout w:type="fixed"/>
        <w:tblCellMar>
          <w:top w:w="0" w:type="dxa"/>
          <w:left w:w="0" w:type="dxa"/>
          <w:bottom w:w="0" w:type="dxa"/>
          <w:right w:w="0" w:type="dxa"/>
        </w:tblCellMar>
        <w:tblLook w:val="01E0"/>
      </w:tblPr>
      <w:tblGrid>
        <w:gridCol w:w="2278"/>
        <w:gridCol w:w="1059"/>
        <w:gridCol w:w="586"/>
        <w:gridCol w:w="967"/>
        <w:gridCol w:w="595"/>
        <w:gridCol w:w="1059"/>
        <w:gridCol w:w="1061"/>
        <w:gridCol w:w="557"/>
        <w:gridCol w:w="968"/>
        <w:gridCol w:w="559"/>
        <w:gridCol w:w="1178"/>
      </w:tblGrid>
      <w:tr>
        <w:trPr>
          <w:trHeight w:val="293" w:hRule="exact"/>
        </w:trPr>
        <w:tc>
          <w:tcPr>
            <w:tcW w:w="227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类别</w:t>
            </w:r>
          </w:p>
        </w:tc>
        <w:tc>
          <w:tcPr>
            <w:tcW w:w="4266" w:type="dxa"/>
            <w:gridSpan w:val="5"/>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4323" w:type="dxa"/>
            <w:gridSpan w:val="5"/>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83" w:hRule="exact"/>
        </w:trPr>
        <w:tc>
          <w:tcPr>
            <w:tcW w:w="2278" w:type="dxa"/>
            <w:vMerge/>
            <w:tcBorders>
              <w:left w:val="single" w:sz="4" w:space="0" w:color="000000"/>
              <w:right w:val="single" w:sz="4" w:space="0" w:color="000000"/>
            </w:tcBorders>
          </w:tcPr>
          <w:p>
            <w:pPr/>
          </w:p>
        </w:tc>
        <w:tc>
          <w:tcPr>
            <w:tcW w:w="16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9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5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52"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059"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12" w:right="312"/>
              <w:jc w:val="left"/>
              <w:rPr>
                <w:rFonts w:ascii="宋体" w:hAnsi="宋体" w:cs="宋体" w:eastAsia="宋体" w:hint="default"/>
                <w:sz w:val="21"/>
                <w:szCs w:val="21"/>
              </w:rPr>
            </w:pPr>
            <w:r>
              <w:rPr>
                <w:rFonts w:ascii="宋体" w:hAnsi="宋体" w:cs="宋体" w:eastAsia="宋体" w:hint="default"/>
                <w:sz w:val="21"/>
                <w:szCs w:val="21"/>
              </w:rPr>
              <w:t>账面</w:t>
            </w:r>
            <w:r>
              <w:rPr>
                <w:rFonts w:ascii="宋体" w:hAnsi="宋体" w:cs="宋体" w:eastAsia="宋体" w:hint="default"/>
                <w:spacing w:val="-103"/>
                <w:sz w:val="21"/>
                <w:szCs w:val="21"/>
              </w:rPr>
              <w:t> </w:t>
            </w:r>
            <w:r>
              <w:rPr>
                <w:rFonts w:ascii="宋体" w:hAnsi="宋体" w:cs="宋体" w:eastAsia="宋体" w:hint="default"/>
                <w:sz w:val="21"/>
                <w:szCs w:val="21"/>
              </w:rPr>
              <w:t>价值</w:t>
            </w:r>
          </w:p>
        </w:tc>
        <w:tc>
          <w:tcPr>
            <w:tcW w:w="16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81"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52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36"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178"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72" w:right="372"/>
              <w:jc w:val="left"/>
              <w:rPr>
                <w:rFonts w:ascii="宋体" w:hAnsi="宋体" w:cs="宋体" w:eastAsia="宋体" w:hint="default"/>
                <w:sz w:val="21"/>
                <w:szCs w:val="21"/>
              </w:rPr>
            </w:pPr>
            <w:r>
              <w:rPr>
                <w:rFonts w:ascii="宋体" w:hAnsi="宋体" w:cs="宋体" w:eastAsia="宋体" w:hint="default"/>
                <w:sz w:val="21"/>
                <w:szCs w:val="21"/>
              </w:rPr>
              <w:t>账面</w:t>
            </w:r>
            <w:r>
              <w:rPr>
                <w:rFonts w:ascii="宋体" w:hAnsi="宋体" w:cs="宋体" w:eastAsia="宋体" w:hint="default"/>
                <w:spacing w:val="-103"/>
                <w:sz w:val="21"/>
                <w:szCs w:val="21"/>
              </w:rPr>
              <w:t> </w:t>
            </w:r>
            <w:r>
              <w:rPr>
                <w:rFonts w:ascii="宋体" w:hAnsi="宋体" w:cs="宋体" w:eastAsia="宋体" w:hint="default"/>
                <w:sz w:val="21"/>
                <w:szCs w:val="21"/>
              </w:rPr>
              <w:t>价值</w:t>
            </w:r>
          </w:p>
        </w:tc>
      </w:tr>
      <w:tr>
        <w:trPr>
          <w:trHeight w:val="828" w:hRule="exact"/>
        </w:trPr>
        <w:tc>
          <w:tcPr>
            <w:tcW w:w="2278" w:type="dxa"/>
            <w:vMerge/>
            <w:tcBorders>
              <w:left w:val="single" w:sz="4" w:space="0" w:color="000000"/>
              <w:bottom w:val="single" w:sz="4" w:space="0" w:color="000000"/>
              <w:right w:val="single" w:sz="4" w:space="0" w:color="000000"/>
            </w:tcBorders>
          </w:tcPr>
          <w:p>
            <w:pP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311"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29" w:right="74" w:hanging="53"/>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pacing w:val="-103"/>
                <w:sz w:val="21"/>
                <w:szCs w:val="21"/>
              </w:rPr>
              <w:t> </w:t>
            </w:r>
            <w:r>
              <w:rPr>
                <w:rFonts w:ascii="宋体" w:hAnsi="宋体" w:cs="宋体" w:eastAsia="宋体" w:hint="default"/>
                <w:sz w:val="21"/>
                <w:szCs w:val="21"/>
              </w:rPr>
              <w:t>(%)</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66"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81" w:right="0"/>
              <w:jc w:val="left"/>
              <w:rPr>
                <w:rFonts w:ascii="宋体" w:hAnsi="宋体" w:cs="宋体" w:eastAsia="宋体" w:hint="default"/>
                <w:sz w:val="21"/>
                <w:szCs w:val="21"/>
              </w:rPr>
            </w:pPr>
            <w:r>
              <w:rPr>
                <w:rFonts w:ascii="宋体" w:hAnsi="宋体" w:cs="宋体" w:eastAsia="宋体" w:hint="default"/>
                <w:sz w:val="21"/>
                <w:szCs w:val="21"/>
              </w:rPr>
              <w:t>计提</w:t>
            </w:r>
          </w:p>
          <w:p>
            <w:pPr>
              <w:pStyle w:val="TableParagraph"/>
              <w:spacing w:line="272" w:lineRule="exact" w:before="27"/>
              <w:ind w:left="134" w:right="79" w:hanging="53"/>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pacing w:val="-103"/>
                <w:sz w:val="21"/>
                <w:szCs w:val="21"/>
              </w:rPr>
              <w:t> </w:t>
            </w:r>
            <w:r>
              <w:rPr>
                <w:rFonts w:ascii="宋体" w:hAnsi="宋体" w:cs="宋体" w:eastAsia="宋体" w:hint="default"/>
                <w:sz w:val="21"/>
                <w:szCs w:val="21"/>
              </w:rPr>
              <w:t>(%)</w:t>
            </w:r>
          </w:p>
        </w:tc>
        <w:tc>
          <w:tcPr>
            <w:tcW w:w="1059" w:type="dxa"/>
            <w:vMerge/>
            <w:tcBorders>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314"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15" w:right="60" w:hanging="53"/>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pacing w:val="-103"/>
                <w:sz w:val="21"/>
                <w:szCs w:val="21"/>
              </w:rPr>
              <w:t> </w:t>
            </w:r>
            <w:r>
              <w:rPr>
                <w:rFonts w:ascii="宋体" w:hAnsi="宋体" w:cs="宋体" w:eastAsia="宋体" w:hint="default"/>
                <w:sz w:val="21"/>
                <w:szCs w:val="21"/>
              </w:rPr>
              <w:t>(%)</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66"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64" w:right="0"/>
              <w:jc w:val="left"/>
              <w:rPr>
                <w:rFonts w:ascii="宋体" w:hAnsi="宋体" w:cs="宋体" w:eastAsia="宋体" w:hint="default"/>
                <w:sz w:val="21"/>
                <w:szCs w:val="21"/>
              </w:rPr>
            </w:pPr>
            <w:r>
              <w:rPr>
                <w:rFonts w:ascii="宋体" w:hAnsi="宋体" w:cs="宋体" w:eastAsia="宋体" w:hint="default"/>
                <w:sz w:val="21"/>
                <w:szCs w:val="21"/>
              </w:rPr>
              <w:t>计提</w:t>
            </w:r>
          </w:p>
          <w:p>
            <w:pPr>
              <w:pStyle w:val="TableParagraph"/>
              <w:spacing w:line="272" w:lineRule="exact" w:before="27"/>
              <w:ind w:left="117" w:right="60" w:hanging="53"/>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pacing w:val="-103"/>
                <w:sz w:val="21"/>
                <w:szCs w:val="21"/>
              </w:rPr>
              <w:t> </w:t>
            </w:r>
            <w:r>
              <w:rPr>
                <w:rFonts w:ascii="宋体" w:hAnsi="宋体" w:cs="宋体" w:eastAsia="宋体" w:hint="default"/>
                <w:sz w:val="21"/>
                <w:szCs w:val="21"/>
              </w:rPr>
              <w:t>(%)</w:t>
            </w:r>
          </w:p>
        </w:tc>
        <w:tc>
          <w:tcPr>
            <w:tcW w:w="1178" w:type="dxa"/>
            <w:vMerge/>
            <w:tcBorders>
              <w:left w:val="single" w:sz="4" w:space="0" w:color="000000"/>
              <w:bottom w:val="single" w:sz="4" w:space="0" w:color="000000"/>
              <w:right w:val="single" w:sz="4" w:space="0" w:color="000000"/>
            </w:tcBorders>
          </w:tcPr>
          <w:p>
            <w:pPr/>
          </w:p>
        </w:tc>
      </w:tr>
      <w:tr>
        <w:trPr>
          <w:trHeight w:val="475" w:hRule="exact"/>
        </w:trPr>
        <w:tc>
          <w:tcPr>
            <w:tcW w:w="227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6" w:right="0"/>
              <w:jc w:val="left"/>
              <w:rPr>
                <w:rFonts w:ascii="宋体" w:hAnsi="宋体" w:cs="宋体" w:eastAsia="宋体" w:hint="default"/>
                <w:sz w:val="18"/>
                <w:szCs w:val="18"/>
              </w:rPr>
            </w:pPr>
            <w:r>
              <w:rPr>
                <w:rFonts w:ascii="宋体" w:hAnsi="宋体" w:cs="宋体" w:eastAsia="宋体" w:hint="default"/>
                <w:sz w:val="18"/>
                <w:szCs w:val="18"/>
              </w:rPr>
              <w:t>单项金额重大并单独计提坏</w:t>
            </w:r>
          </w:p>
          <w:p>
            <w:pPr>
              <w:pStyle w:val="TableParagraph"/>
              <w:spacing w:line="234" w:lineRule="exact"/>
              <w:ind w:left="26" w:right="0"/>
              <w:jc w:val="left"/>
              <w:rPr>
                <w:rFonts w:ascii="宋体" w:hAnsi="宋体" w:cs="宋体" w:eastAsia="宋体" w:hint="default"/>
                <w:sz w:val="18"/>
                <w:szCs w:val="18"/>
              </w:rPr>
            </w:pPr>
            <w:r>
              <w:rPr>
                <w:rFonts w:ascii="宋体" w:hAnsi="宋体" w:cs="宋体" w:eastAsia="宋体" w:hint="default"/>
                <w:sz w:val="18"/>
                <w:szCs w:val="18"/>
              </w:rPr>
              <w:t>账准备的其他应收款</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34,178,375</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
              <w:jc w:val="right"/>
              <w:rPr>
                <w:rFonts w:ascii="宋体" w:hAnsi="宋体" w:cs="宋体" w:eastAsia="宋体" w:hint="default"/>
                <w:sz w:val="18"/>
                <w:szCs w:val="18"/>
              </w:rPr>
            </w:pPr>
            <w:r>
              <w:rPr>
                <w:rFonts w:ascii="宋体"/>
                <w:sz w:val="18"/>
              </w:rPr>
              <w:t>4</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34,178,375</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z w:val="18"/>
              </w:rPr>
              <w:t>100</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
              <w:jc w:val="right"/>
              <w:rPr>
                <w:rFonts w:ascii="宋体" w:hAnsi="宋体" w:cs="宋体" w:eastAsia="宋体" w:hint="default"/>
                <w:sz w:val="18"/>
                <w:szCs w:val="18"/>
              </w:rPr>
            </w:pPr>
            <w:r>
              <w:rPr>
                <w:rFonts w:ascii="宋体"/>
                <w:sz w:val="18"/>
              </w:rPr>
              <w:t>-</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34,178,375</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
              <w:jc w:val="right"/>
              <w:rPr>
                <w:rFonts w:ascii="宋体" w:hAnsi="宋体" w:cs="宋体" w:eastAsia="宋体" w:hint="default"/>
                <w:sz w:val="18"/>
                <w:szCs w:val="18"/>
              </w:rPr>
            </w:pPr>
            <w:r>
              <w:rPr>
                <w:rFonts w:ascii="宋体"/>
                <w:sz w:val="18"/>
              </w:rPr>
              <w:t>4</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34,178,375</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100</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9"/>
              <w:jc w:val="right"/>
              <w:rPr>
                <w:rFonts w:ascii="宋体" w:hAnsi="宋体" w:cs="宋体" w:eastAsia="宋体" w:hint="default"/>
                <w:sz w:val="18"/>
                <w:szCs w:val="18"/>
              </w:rPr>
            </w:pPr>
            <w:r>
              <w:rPr>
                <w:rFonts w:ascii="宋体"/>
                <w:sz w:val="18"/>
              </w:rPr>
              <w:t>-</w:t>
            </w:r>
          </w:p>
        </w:tc>
      </w:tr>
      <w:tr>
        <w:trPr>
          <w:trHeight w:val="478" w:hRule="exact"/>
        </w:trPr>
        <w:tc>
          <w:tcPr>
            <w:tcW w:w="227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6" w:right="0"/>
              <w:jc w:val="left"/>
              <w:rPr>
                <w:rFonts w:ascii="宋体" w:hAnsi="宋体" w:cs="宋体" w:eastAsia="宋体" w:hint="default"/>
                <w:sz w:val="18"/>
                <w:szCs w:val="18"/>
              </w:rPr>
            </w:pPr>
            <w:r>
              <w:rPr>
                <w:rFonts w:ascii="宋体" w:hAnsi="宋体" w:cs="宋体" w:eastAsia="宋体" w:hint="default"/>
                <w:sz w:val="18"/>
                <w:szCs w:val="18"/>
              </w:rPr>
              <w:t>按信用风险特征组合计提坏</w:t>
            </w:r>
          </w:p>
          <w:p>
            <w:pPr>
              <w:pStyle w:val="TableParagraph"/>
              <w:spacing w:line="234" w:lineRule="exact"/>
              <w:ind w:left="26" w:right="0"/>
              <w:jc w:val="left"/>
              <w:rPr>
                <w:rFonts w:ascii="宋体" w:hAnsi="宋体" w:cs="宋体" w:eastAsia="宋体" w:hint="default"/>
                <w:sz w:val="18"/>
                <w:szCs w:val="18"/>
              </w:rPr>
            </w:pPr>
            <w:r>
              <w:rPr>
                <w:rFonts w:ascii="宋体" w:hAnsi="宋体" w:cs="宋体" w:eastAsia="宋体" w:hint="default"/>
                <w:sz w:val="18"/>
                <w:szCs w:val="18"/>
              </w:rPr>
              <w:t>账准备的其他应收款</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4"/>
              <w:jc w:val="right"/>
              <w:rPr>
                <w:rFonts w:ascii="宋体" w:hAnsi="宋体" w:cs="宋体" w:eastAsia="宋体" w:hint="default"/>
                <w:sz w:val="18"/>
                <w:szCs w:val="18"/>
              </w:rPr>
            </w:pPr>
            <w:r>
              <w:rPr>
                <w:rFonts w:ascii="宋体"/>
                <w:spacing w:val="-1"/>
                <w:sz w:val="18"/>
              </w:rPr>
              <w:t>816,230,995</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3"/>
              <w:jc w:val="right"/>
              <w:rPr>
                <w:rFonts w:ascii="宋体" w:hAnsi="宋体" w:cs="宋体" w:eastAsia="宋体" w:hint="default"/>
                <w:sz w:val="18"/>
                <w:szCs w:val="18"/>
              </w:rPr>
            </w:pPr>
            <w:r>
              <w:rPr>
                <w:rFonts w:ascii="宋体"/>
                <w:sz w:val="18"/>
              </w:rPr>
              <w:t>96</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3"/>
              <w:jc w:val="right"/>
              <w:rPr>
                <w:rFonts w:ascii="宋体" w:hAnsi="宋体" w:cs="宋体" w:eastAsia="宋体" w:hint="default"/>
                <w:sz w:val="18"/>
                <w:szCs w:val="18"/>
              </w:rPr>
            </w:pPr>
            <w:r>
              <w:rPr>
                <w:rFonts w:ascii="宋体"/>
                <w:spacing w:val="-1"/>
                <w:sz w:val="18"/>
              </w:rPr>
              <w:t>7,717,708</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9"/>
              <w:jc w:val="right"/>
              <w:rPr>
                <w:rFonts w:ascii="宋体" w:hAnsi="宋体" w:cs="宋体" w:eastAsia="宋体" w:hint="default"/>
                <w:sz w:val="18"/>
                <w:szCs w:val="18"/>
              </w:rPr>
            </w:pPr>
            <w:r>
              <w:rPr>
                <w:rFonts w:ascii="宋体"/>
                <w:sz w:val="18"/>
              </w:rPr>
              <w:t>1</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4"/>
              <w:jc w:val="right"/>
              <w:rPr>
                <w:rFonts w:ascii="宋体" w:hAnsi="宋体" w:cs="宋体" w:eastAsia="宋体" w:hint="default"/>
                <w:sz w:val="18"/>
                <w:szCs w:val="18"/>
              </w:rPr>
            </w:pPr>
            <w:r>
              <w:rPr>
                <w:rFonts w:ascii="宋体"/>
                <w:spacing w:val="-1"/>
                <w:sz w:val="18"/>
              </w:rPr>
              <w:t>808,513,287</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4"/>
              <w:jc w:val="right"/>
              <w:rPr>
                <w:rFonts w:ascii="宋体" w:hAnsi="宋体" w:cs="宋体" w:eastAsia="宋体" w:hint="default"/>
                <w:sz w:val="18"/>
                <w:szCs w:val="18"/>
              </w:rPr>
            </w:pPr>
            <w:r>
              <w:rPr>
                <w:rFonts w:ascii="宋体"/>
                <w:spacing w:val="-1"/>
                <w:sz w:val="18"/>
              </w:rPr>
              <w:t>780,070,543</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3"/>
              <w:jc w:val="right"/>
              <w:rPr>
                <w:rFonts w:ascii="宋体" w:hAnsi="宋体" w:cs="宋体" w:eastAsia="宋体" w:hint="default"/>
                <w:sz w:val="18"/>
                <w:szCs w:val="18"/>
              </w:rPr>
            </w:pPr>
            <w:r>
              <w:rPr>
                <w:rFonts w:ascii="宋体"/>
                <w:sz w:val="18"/>
              </w:rPr>
              <w:t>96</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4"/>
              <w:jc w:val="right"/>
              <w:rPr>
                <w:rFonts w:ascii="宋体" w:hAnsi="宋体" w:cs="宋体" w:eastAsia="宋体" w:hint="default"/>
                <w:sz w:val="18"/>
                <w:szCs w:val="18"/>
              </w:rPr>
            </w:pPr>
            <w:r>
              <w:rPr>
                <w:rFonts w:ascii="宋体"/>
                <w:spacing w:val="-1"/>
                <w:sz w:val="18"/>
              </w:rPr>
              <w:t>8,416,837</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5"/>
              <w:jc w:val="right"/>
              <w:rPr>
                <w:rFonts w:ascii="宋体" w:hAnsi="宋体" w:cs="宋体" w:eastAsia="宋体" w:hint="default"/>
                <w:sz w:val="18"/>
                <w:szCs w:val="18"/>
              </w:rPr>
            </w:pPr>
            <w:r>
              <w:rPr>
                <w:rFonts w:ascii="宋体"/>
                <w:sz w:val="18"/>
              </w:rPr>
              <w:t>1</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6"/>
              <w:jc w:val="right"/>
              <w:rPr>
                <w:rFonts w:ascii="宋体" w:hAnsi="宋体" w:cs="宋体" w:eastAsia="宋体" w:hint="default"/>
                <w:sz w:val="18"/>
                <w:szCs w:val="18"/>
              </w:rPr>
            </w:pPr>
            <w:r>
              <w:rPr>
                <w:rFonts w:ascii="宋体"/>
                <w:spacing w:val="-1"/>
                <w:sz w:val="18"/>
              </w:rPr>
              <w:t>771,653,706</w:t>
            </w:r>
          </w:p>
        </w:tc>
      </w:tr>
      <w:tr>
        <w:trPr>
          <w:trHeight w:val="478" w:hRule="exact"/>
        </w:trPr>
        <w:tc>
          <w:tcPr>
            <w:tcW w:w="22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 w:right="0"/>
              <w:jc w:val="left"/>
              <w:rPr>
                <w:rFonts w:ascii="宋体" w:hAnsi="宋体" w:cs="宋体" w:eastAsia="宋体" w:hint="default"/>
                <w:sz w:val="18"/>
                <w:szCs w:val="18"/>
              </w:rPr>
            </w:pPr>
            <w:r>
              <w:rPr>
                <w:rFonts w:ascii="宋体" w:hAnsi="宋体" w:cs="宋体" w:eastAsia="宋体" w:hint="default"/>
                <w:sz w:val="18"/>
                <w:szCs w:val="18"/>
              </w:rPr>
              <w:t>单项金额不重大但单独计提</w:t>
            </w: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坏账准备的其他应收款</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2,223,202</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&lt;1</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pacing w:val="-1"/>
                <w:sz w:val="18"/>
              </w:rPr>
              <w:t>2,223,202</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z w:val="18"/>
              </w:rPr>
              <w:t>100</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
              <w:jc w:val="right"/>
              <w:rPr>
                <w:rFonts w:ascii="宋体" w:hAnsi="宋体" w:cs="宋体" w:eastAsia="宋体" w:hint="default"/>
                <w:sz w:val="18"/>
                <w:szCs w:val="18"/>
              </w:rPr>
            </w:pPr>
            <w:r>
              <w:rPr>
                <w:rFonts w:ascii="宋体"/>
                <w:sz w:val="18"/>
              </w:rPr>
              <w:t>-</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pacing w:val="-1"/>
                <w:sz w:val="18"/>
              </w:rPr>
              <w:t>1,482,139</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&lt;1</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1,482,139</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100</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9"/>
              <w:jc w:val="right"/>
              <w:rPr>
                <w:rFonts w:ascii="宋体" w:hAnsi="宋体" w:cs="宋体" w:eastAsia="宋体" w:hint="default"/>
                <w:sz w:val="18"/>
                <w:szCs w:val="18"/>
              </w:rPr>
            </w:pPr>
            <w:r>
              <w:rPr>
                <w:rFonts w:ascii="宋体"/>
                <w:sz w:val="18"/>
              </w:rPr>
              <w:t>-</w:t>
            </w:r>
          </w:p>
        </w:tc>
      </w:tr>
      <w:tr>
        <w:trPr>
          <w:trHeight w:val="243" w:hRule="exact"/>
        </w:trPr>
        <w:tc>
          <w:tcPr>
            <w:tcW w:w="22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852,632,572</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51" w:right="0"/>
              <w:jc w:val="left"/>
              <w:rPr>
                <w:rFonts w:ascii="宋体" w:hAnsi="宋体" w:cs="宋体" w:eastAsia="宋体" w:hint="default"/>
                <w:sz w:val="18"/>
                <w:szCs w:val="18"/>
              </w:rPr>
            </w:pPr>
            <w:r>
              <w:rPr>
                <w:rFonts w:ascii="宋体"/>
                <w:sz w:val="18"/>
              </w:rPr>
              <w:t>100</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44,119,285</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4"/>
              <w:jc w:val="center"/>
              <w:rPr>
                <w:rFonts w:ascii="宋体" w:hAnsi="宋体" w:cs="宋体" w:eastAsia="宋体" w:hint="default"/>
                <w:sz w:val="18"/>
                <w:szCs w:val="18"/>
              </w:rPr>
            </w:pPr>
            <w:r>
              <w:rPr>
                <w:rFonts w:ascii="宋体"/>
                <w:sz w:val="18"/>
              </w:rPr>
              <w:t>/</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808,513,287</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815,731,057</w:t>
            </w: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36" w:right="0"/>
              <w:jc w:val="left"/>
              <w:rPr>
                <w:rFonts w:ascii="宋体" w:hAnsi="宋体" w:cs="宋体" w:eastAsia="宋体" w:hint="default"/>
                <w:sz w:val="18"/>
                <w:szCs w:val="18"/>
              </w:rPr>
            </w:pPr>
            <w:r>
              <w:rPr>
                <w:rFonts w:ascii="宋体"/>
                <w:sz w:val="18"/>
              </w:rPr>
              <w:t>100</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44,077,351</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sz w:val="18"/>
              </w:rPr>
              <w:t>/</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6"/>
              <w:jc w:val="right"/>
              <w:rPr>
                <w:rFonts w:ascii="宋体" w:hAnsi="宋体" w:cs="宋体" w:eastAsia="宋体" w:hint="default"/>
                <w:sz w:val="18"/>
                <w:szCs w:val="18"/>
              </w:rPr>
            </w:pPr>
            <w:r>
              <w:rPr>
                <w:rFonts w:ascii="宋体"/>
                <w:spacing w:val="-1"/>
                <w:sz w:val="18"/>
              </w:rPr>
              <w:t>771,653,706</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320" w:bottom="1380" w:left="380" w:right="440"/>
        </w:sectPr>
      </w:pPr>
    </w:p>
    <w:p>
      <w:pPr>
        <w:pStyle w:val="BodyText"/>
        <w:spacing w:line="240" w:lineRule="auto" w:before="36"/>
        <w:ind w:left="1418" w:right="0"/>
        <w:jc w:val="left"/>
      </w:pPr>
      <w:r>
        <w:rPr>
          <w:spacing w:val="-2"/>
        </w:rPr>
        <w:t>期末单项金额重大并单项计提坏账准备的其他应收款：</w:t>
      </w:r>
    </w:p>
    <w:p>
      <w:pPr>
        <w:pStyle w:val="BodyText"/>
        <w:spacing w:line="240" w:lineRule="auto" w:before="58"/>
        <w:ind w:left="1418" w:right="0"/>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left="1418" w:right="0"/>
        <w:jc w:val="left"/>
      </w:pPr>
      <w:r>
        <w:rPr/>
        <w:t>单位：元币种：人民币</w:t>
      </w:r>
    </w:p>
    <w:p>
      <w:pPr>
        <w:spacing w:after="0" w:line="240" w:lineRule="auto"/>
        <w:jc w:val="left"/>
        <w:sectPr>
          <w:type w:val="continuous"/>
          <w:pgSz w:w="11910" w:h="16840"/>
          <w:pgMar w:top="1320" w:bottom="1380" w:left="380" w:right="440"/>
          <w:cols w:num="2" w:equalWidth="0">
            <w:col w:w="6464" w:space="269"/>
            <w:col w:w="4357"/>
          </w:cols>
        </w:sectPr>
      </w:pPr>
    </w:p>
    <w:p>
      <w:pPr>
        <w:spacing w:line="240" w:lineRule="auto" w:before="7"/>
        <w:rPr>
          <w:rFonts w:ascii="宋体" w:hAnsi="宋体" w:cs="宋体" w:eastAsia="宋体" w:hint="default"/>
          <w:sz w:val="2"/>
          <w:szCs w:val="2"/>
        </w:rPr>
      </w:pPr>
    </w:p>
    <w:tbl>
      <w:tblPr>
        <w:tblW w:w="0" w:type="auto"/>
        <w:jc w:val="left"/>
        <w:tblInd w:w="1305" w:type="dxa"/>
        <w:tblLayout w:type="fixed"/>
        <w:tblCellMar>
          <w:top w:w="0" w:type="dxa"/>
          <w:left w:w="0" w:type="dxa"/>
          <w:bottom w:w="0" w:type="dxa"/>
          <w:right w:w="0" w:type="dxa"/>
        </w:tblCellMar>
        <w:tblLook w:val="01E0"/>
      </w:tblPr>
      <w:tblGrid>
        <w:gridCol w:w="2468"/>
        <w:gridCol w:w="1745"/>
        <w:gridCol w:w="1745"/>
        <w:gridCol w:w="1455"/>
        <w:gridCol w:w="1637"/>
      </w:tblGrid>
      <w:tr>
        <w:trPr>
          <w:trHeight w:val="281" w:hRule="exact"/>
        </w:trPr>
        <w:tc>
          <w:tcPr>
            <w:tcW w:w="2468" w:type="dxa"/>
            <w:vMerge w:val="restart"/>
            <w:tcBorders>
              <w:top w:val="single" w:sz="4" w:space="0" w:color="000000"/>
              <w:left w:val="single" w:sz="4" w:space="0" w:color="000000"/>
              <w:right w:val="single" w:sz="4" w:space="0" w:color="000000"/>
            </w:tcBorders>
          </w:tcPr>
          <w:p>
            <w:pPr>
              <w:pStyle w:val="TableParagraph"/>
              <w:spacing w:line="240" w:lineRule="auto" w:before="107"/>
              <w:ind w:left="177" w:right="0"/>
              <w:jc w:val="left"/>
              <w:rPr>
                <w:rFonts w:ascii="宋体" w:hAnsi="宋体" w:cs="宋体" w:eastAsia="宋体" w:hint="default"/>
                <w:sz w:val="21"/>
                <w:szCs w:val="21"/>
              </w:rPr>
            </w:pPr>
            <w:r>
              <w:rPr>
                <w:rFonts w:ascii="宋体" w:hAnsi="宋体" w:cs="宋体" w:eastAsia="宋体" w:hint="default"/>
                <w:sz w:val="21"/>
                <w:szCs w:val="21"/>
              </w:rPr>
              <w:t>其他应收款（按单位）</w:t>
            </w:r>
          </w:p>
        </w:tc>
        <w:tc>
          <w:tcPr>
            <w:tcW w:w="6582"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283" w:hRule="exact"/>
        </w:trPr>
        <w:tc>
          <w:tcPr>
            <w:tcW w:w="2468" w:type="dxa"/>
            <w:vMerge/>
            <w:tcBorders>
              <w:left w:val="single" w:sz="4" w:space="0" w:color="000000"/>
              <w:bottom w:val="single" w:sz="4" w:space="0" w:color="000000"/>
              <w:right w:val="single" w:sz="4" w:space="0" w:color="000000"/>
            </w:tcBorders>
          </w:tcPr>
          <w:p>
            <w:pP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38"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44"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0" w:right="-3"/>
              <w:jc w:val="left"/>
              <w:rPr>
                <w:rFonts w:ascii="宋体" w:hAnsi="宋体" w:cs="宋体" w:eastAsia="宋体" w:hint="default"/>
                <w:sz w:val="21"/>
                <w:szCs w:val="21"/>
              </w:rPr>
            </w:pPr>
            <w:r>
              <w:rPr>
                <w:rFonts w:ascii="宋体" w:hAnsi="宋体" w:cs="宋体" w:eastAsia="宋体" w:hint="default"/>
                <w:spacing w:val="-4"/>
                <w:sz w:val="21"/>
                <w:szCs w:val="21"/>
              </w:rPr>
              <w:t>计提比例（</w:t>
            </w:r>
            <w:r>
              <w:rPr>
                <w:rFonts w:ascii="宋体" w:hAnsi="宋体" w:cs="宋体" w:eastAsia="宋体" w:hint="default"/>
                <w:spacing w:val="-4"/>
                <w:sz w:val="21"/>
                <w:szCs w:val="21"/>
              </w:rPr>
              <w:t>%</w:t>
            </w:r>
            <w:r>
              <w:rPr>
                <w:rFonts w:ascii="宋体" w:hAnsi="宋体" w:cs="宋体" w:eastAsia="宋体" w:hint="default"/>
                <w:spacing w:val="-4"/>
                <w:sz w:val="21"/>
                <w:szCs w:val="21"/>
              </w:rPr>
              <w:t>）</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93" w:right="0"/>
              <w:jc w:val="left"/>
              <w:rPr>
                <w:rFonts w:ascii="宋体" w:hAnsi="宋体" w:cs="宋体" w:eastAsia="宋体" w:hint="default"/>
                <w:sz w:val="21"/>
                <w:szCs w:val="21"/>
              </w:rPr>
            </w:pPr>
            <w:r>
              <w:rPr>
                <w:rFonts w:ascii="宋体" w:hAnsi="宋体" w:cs="宋体" w:eastAsia="宋体" w:hint="default"/>
                <w:sz w:val="21"/>
                <w:szCs w:val="21"/>
              </w:rPr>
              <w:t>计提理由</w:t>
            </w:r>
          </w:p>
        </w:tc>
      </w:tr>
      <w:tr>
        <w:trPr>
          <w:trHeight w:val="283" w:hRule="exact"/>
        </w:trPr>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1</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11,578,375</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11,578,375</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100</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预计无法收回</w:t>
            </w:r>
          </w:p>
        </w:tc>
      </w:tr>
      <w:tr>
        <w:trPr>
          <w:trHeight w:val="281" w:hRule="exact"/>
        </w:trPr>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2</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22,600,000</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22,600,000</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100</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预计无法收回</w:t>
            </w:r>
          </w:p>
        </w:tc>
      </w:tr>
      <w:tr>
        <w:trPr>
          <w:trHeight w:val="283" w:hRule="exact"/>
        </w:trPr>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34,178,375</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34,178,375</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center"/>
              <w:rPr>
                <w:rFonts w:ascii="宋体" w:hAnsi="宋体" w:cs="宋体" w:eastAsia="宋体" w:hint="default"/>
                <w:sz w:val="21"/>
                <w:szCs w:val="21"/>
              </w:rPr>
            </w:pPr>
            <w:r>
              <w:rPr>
                <w:rFonts w:ascii="宋体"/>
                <w:w w:val="100"/>
                <w:sz w:val="21"/>
              </w:rPr>
              <w:t>/</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320" w:bottom="1380" w:left="380" w:right="440"/>
        </w:sectPr>
      </w:pPr>
    </w:p>
    <w:p>
      <w:pPr>
        <w:pStyle w:val="BodyText"/>
        <w:spacing w:line="240" w:lineRule="auto" w:before="36"/>
        <w:ind w:left="1418" w:right="0"/>
        <w:jc w:val="left"/>
      </w:pPr>
      <w:r>
        <w:rPr>
          <w:spacing w:val="-2"/>
        </w:rPr>
        <w:t>组合中，按账龄分析法计提坏账准备的其他应收款：</w:t>
      </w:r>
    </w:p>
    <w:p>
      <w:pPr>
        <w:pStyle w:val="BodyText"/>
        <w:spacing w:line="240" w:lineRule="auto" w:before="58"/>
        <w:ind w:left="1418" w:right="0"/>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left="1418" w:right="0"/>
        <w:jc w:val="left"/>
      </w:pPr>
      <w:r>
        <w:rPr/>
        <w:t>单位：元币种：人民币</w:t>
      </w:r>
    </w:p>
    <w:p>
      <w:pPr>
        <w:spacing w:after="0" w:line="240" w:lineRule="auto"/>
        <w:jc w:val="left"/>
        <w:sectPr>
          <w:type w:val="continuous"/>
          <w:pgSz w:w="11910" w:h="16840"/>
          <w:pgMar w:top="1320" w:bottom="1380" w:left="380" w:right="440"/>
          <w:cols w:num="2" w:equalWidth="0">
            <w:col w:w="6253" w:space="480"/>
            <w:col w:w="4357"/>
          </w:cols>
        </w:sectPr>
      </w:pPr>
    </w:p>
    <w:p>
      <w:pPr>
        <w:spacing w:line="240" w:lineRule="auto" w:before="7"/>
        <w:rPr>
          <w:rFonts w:ascii="宋体" w:hAnsi="宋体" w:cs="宋体" w:eastAsia="宋体" w:hint="default"/>
          <w:sz w:val="2"/>
          <w:szCs w:val="2"/>
        </w:rPr>
      </w:pPr>
    </w:p>
    <w:tbl>
      <w:tblPr>
        <w:tblW w:w="0" w:type="auto"/>
        <w:jc w:val="left"/>
        <w:tblInd w:w="1305" w:type="dxa"/>
        <w:tblLayout w:type="fixed"/>
        <w:tblCellMar>
          <w:top w:w="0" w:type="dxa"/>
          <w:left w:w="0" w:type="dxa"/>
          <w:bottom w:w="0" w:type="dxa"/>
          <w:right w:w="0" w:type="dxa"/>
        </w:tblCellMar>
        <w:tblLook w:val="01E0"/>
      </w:tblPr>
      <w:tblGrid>
        <w:gridCol w:w="3574"/>
        <w:gridCol w:w="1822"/>
        <w:gridCol w:w="1822"/>
        <w:gridCol w:w="1831"/>
      </w:tblGrid>
      <w:tr>
        <w:trPr>
          <w:trHeight w:val="281" w:hRule="exact"/>
        </w:trPr>
        <w:tc>
          <w:tcPr>
            <w:tcW w:w="3574" w:type="dxa"/>
            <w:vMerge w:val="restart"/>
            <w:tcBorders>
              <w:top w:val="single" w:sz="4" w:space="0" w:color="000000"/>
              <w:left w:val="single" w:sz="4" w:space="0" w:color="000000"/>
              <w:right w:val="single" w:sz="4" w:space="0" w:color="000000"/>
            </w:tcBorders>
          </w:tcPr>
          <w:p>
            <w:pPr>
              <w:pStyle w:val="TableParagraph"/>
              <w:spacing w:line="240" w:lineRule="auto" w:before="107"/>
              <w:ind w:left="1"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547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283" w:hRule="exact"/>
        </w:trPr>
        <w:tc>
          <w:tcPr>
            <w:tcW w:w="3574" w:type="dxa"/>
            <w:vMerge/>
            <w:tcBorders>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79"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84"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83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27" w:right="0"/>
              <w:jc w:val="left"/>
              <w:rPr>
                <w:rFonts w:ascii="宋体" w:hAnsi="宋体" w:cs="宋体" w:eastAsia="宋体" w:hint="default"/>
                <w:sz w:val="21"/>
                <w:szCs w:val="21"/>
              </w:rPr>
            </w:pPr>
            <w:r>
              <w:rPr>
                <w:rFonts w:ascii="宋体" w:hAnsi="宋体" w:cs="宋体" w:eastAsia="宋体" w:hint="default"/>
                <w:sz w:val="21"/>
                <w:szCs w:val="21"/>
              </w:rPr>
              <w:t>计提比例（</w:t>
            </w:r>
            <w:r>
              <w:rPr>
                <w:rFonts w:ascii="宋体" w:hAnsi="宋体" w:cs="宋体" w:eastAsia="宋体" w:hint="default"/>
                <w:sz w:val="21"/>
                <w:szCs w:val="21"/>
              </w:rPr>
              <w:t>%</w:t>
            </w:r>
            <w:r>
              <w:rPr>
                <w:rFonts w:ascii="宋体" w:hAnsi="宋体" w:cs="宋体" w:eastAsia="宋体" w:hint="default"/>
                <w:sz w:val="21"/>
                <w:szCs w:val="21"/>
              </w:rPr>
              <w:t>）</w:t>
            </w:r>
          </w:p>
        </w:tc>
      </w:tr>
      <w:tr>
        <w:trPr>
          <w:trHeight w:val="283" w:hRule="exact"/>
        </w:trPr>
        <w:tc>
          <w:tcPr>
            <w:tcW w:w="35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822"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31"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5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年以内分项</w:t>
            </w:r>
          </w:p>
        </w:tc>
        <w:tc>
          <w:tcPr>
            <w:tcW w:w="1822"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3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574"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3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574"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31"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5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年以内小计</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788,698,999</w:t>
            </w:r>
          </w:p>
        </w:tc>
        <w:tc>
          <w:tcPr>
            <w:tcW w:w="1822" w:type="dxa"/>
            <w:tcBorders>
              <w:top w:val="single" w:sz="4" w:space="0" w:color="000000"/>
              <w:left w:val="single" w:sz="4" w:space="0" w:color="000000"/>
              <w:bottom w:val="single" w:sz="4" w:space="0" w:color="000000"/>
              <w:right w:val="single" w:sz="4" w:space="0" w:color="000000"/>
            </w:tcBorders>
          </w:tcPr>
          <w:p>
            <w:pPr/>
          </w:p>
        </w:tc>
        <w:tc>
          <w:tcPr>
            <w:tcW w:w="18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w:t>
            </w:r>
          </w:p>
        </w:tc>
      </w:tr>
      <w:tr>
        <w:trPr>
          <w:trHeight w:val="284" w:hRule="exact"/>
        </w:trPr>
        <w:tc>
          <w:tcPr>
            <w:tcW w:w="3574"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9"/>
              <w:jc w:val="right"/>
              <w:rPr>
                <w:rFonts w:ascii="宋体" w:hAnsi="宋体" w:cs="宋体" w:eastAsia="宋体" w:hint="default"/>
                <w:sz w:val="21"/>
                <w:szCs w:val="21"/>
              </w:rPr>
            </w:pPr>
            <w:r>
              <w:rPr>
                <w:rFonts w:ascii="宋体"/>
                <w:spacing w:val="-1"/>
                <w:sz w:val="21"/>
              </w:rPr>
              <w:t>12,175,074</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9"/>
              <w:jc w:val="right"/>
              <w:rPr>
                <w:rFonts w:ascii="宋体" w:hAnsi="宋体" w:cs="宋体" w:eastAsia="宋体" w:hint="default"/>
                <w:sz w:val="21"/>
                <w:szCs w:val="21"/>
              </w:rPr>
            </w:pPr>
            <w:r>
              <w:rPr>
                <w:rFonts w:ascii="宋体"/>
                <w:spacing w:val="-1"/>
                <w:sz w:val="21"/>
              </w:rPr>
              <w:t>1,217,507</w:t>
            </w:r>
          </w:p>
        </w:tc>
        <w:tc>
          <w:tcPr>
            <w:tcW w:w="1831"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01"/>
              <w:jc w:val="right"/>
              <w:rPr>
                <w:rFonts w:ascii="宋体" w:hAnsi="宋体" w:cs="宋体" w:eastAsia="宋体" w:hint="default"/>
                <w:sz w:val="21"/>
                <w:szCs w:val="21"/>
              </w:rPr>
            </w:pPr>
            <w:r>
              <w:rPr>
                <w:rFonts w:ascii="宋体"/>
                <w:sz w:val="21"/>
              </w:rPr>
              <w:t>10</w:t>
            </w:r>
          </w:p>
        </w:tc>
      </w:tr>
      <w:tr>
        <w:trPr>
          <w:trHeight w:val="283" w:hRule="exact"/>
        </w:trPr>
        <w:tc>
          <w:tcPr>
            <w:tcW w:w="35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6,785,186</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1,357,037</w:t>
            </w:r>
          </w:p>
        </w:tc>
        <w:tc>
          <w:tcPr>
            <w:tcW w:w="18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20</w:t>
            </w:r>
          </w:p>
        </w:tc>
      </w:tr>
      <w:tr>
        <w:trPr>
          <w:trHeight w:val="281" w:hRule="exact"/>
        </w:trPr>
        <w:tc>
          <w:tcPr>
            <w:tcW w:w="35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1822"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31"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320" w:bottom="1380" w:left="380" w:right="440"/>
        </w:sectPr>
      </w:pPr>
    </w:p>
    <w:p>
      <w:pPr>
        <w:spacing w:line="240" w:lineRule="auto" w:before="9"/>
        <w:rPr>
          <w:rFonts w:ascii="宋体" w:hAnsi="宋体" w:cs="宋体" w:eastAsia="宋体" w:hint="default"/>
          <w:sz w:val="17"/>
          <w:szCs w:val="17"/>
        </w:rPr>
      </w:pPr>
    </w:p>
    <w:tbl>
      <w:tblPr>
        <w:tblW w:w="0" w:type="auto"/>
        <w:jc w:val="left"/>
        <w:tblInd w:w="105" w:type="dxa"/>
        <w:tblLayout w:type="fixed"/>
        <w:tblCellMar>
          <w:top w:w="0" w:type="dxa"/>
          <w:left w:w="0" w:type="dxa"/>
          <w:bottom w:w="0" w:type="dxa"/>
          <w:right w:w="0" w:type="dxa"/>
        </w:tblCellMar>
        <w:tblLook w:val="01E0"/>
      </w:tblPr>
      <w:tblGrid>
        <w:gridCol w:w="3574"/>
        <w:gridCol w:w="1822"/>
        <w:gridCol w:w="1822"/>
        <w:gridCol w:w="1831"/>
      </w:tblGrid>
      <w:tr>
        <w:trPr>
          <w:trHeight w:val="284" w:hRule="exact"/>
        </w:trPr>
        <w:tc>
          <w:tcPr>
            <w:tcW w:w="3574"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9"/>
              <w:jc w:val="right"/>
              <w:rPr>
                <w:rFonts w:ascii="宋体" w:hAnsi="宋体" w:cs="宋体" w:eastAsia="宋体" w:hint="default"/>
                <w:sz w:val="21"/>
                <w:szCs w:val="21"/>
              </w:rPr>
            </w:pPr>
            <w:r>
              <w:rPr>
                <w:rFonts w:ascii="宋体"/>
                <w:spacing w:val="-1"/>
                <w:sz w:val="21"/>
              </w:rPr>
              <w:t>3,845,344</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99"/>
              <w:jc w:val="right"/>
              <w:rPr>
                <w:rFonts w:ascii="宋体" w:hAnsi="宋体" w:cs="宋体" w:eastAsia="宋体" w:hint="default"/>
                <w:sz w:val="21"/>
                <w:szCs w:val="21"/>
              </w:rPr>
            </w:pPr>
            <w:r>
              <w:rPr>
                <w:rFonts w:ascii="宋体"/>
                <w:spacing w:val="-1"/>
                <w:sz w:val="21"/>
              </w:rPr>
              <w:t>1,538,138</w:t>
            </w:r>
          </w:p>
        </w:tc>
        <w:tc>
          <w:tcPr>
            <w:tcW w:w="1831"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01"/>
              <w:jc w:val="right"/>
              <w:rPr>
                <w:rFonts w:ascii="宋体" w:hAnsi="宋体" w:cs="宋体" w:eastAsia="宋体" w:hint="default"/>
                <w:sz w:val="21"/>
                <w:szCs w:val="21"/>
              </w:rPr>
            </w:pPr>
            <w:r>
              <w:rPr>
                <w:rFonts w:ascii="宋体"/>
                <w:sz w:val="21"/>
              </w:rPr>
              <w:t>40</w:t>
            </w:r>
          </w:p>
        </w:tc>
      </w:tr>
      <w:tr>
        <w:trPr>
          <w:trHeight w:val="283" w:hRule="exact"/>
        </w:trPr>
        <w:tc>
          <w:tcPr>
            <w:tcW w:w="35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2,242,732</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1,121,366</w:t>
            </w:r>
          </w:p>
        </w:tc>
        <w:tc>
          <w:tcPr>
            <w:tcW w:w="18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50</w:t>
            </w:r>
          </w:p>
        </w:tc>
      </w:tr>
      <w:tr>
        <w:trPr>
          <w:trHeight w:val="281" w:hRule="exact"/>
        </w:trPr>
        <w:tc>
          <w:tcPr>
            <w:tcW w:w="35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2,483,660</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2,483,660</w:t>
            </w:r>
          </w:p>
        </w:tc>
        <w:tc>
          <w:tcPr>
            <w:tcW w:w="18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100</w:t>
            </w:r>
          </w:p>
        </w:tc>
      </w:tr>
      <w:tr>
        <w:trPr>
          <w:trHeight w:val="283" w:hRule="exact"/>
        </w:trPr>
        <w:tc>
          <w:tcPr>
            <w:tcW w:w="3574"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3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574"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31"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5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816,230,995</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7,717,708</w:t>
            </w:r>
          </w:p>
        </w:tc>
        <w:tc>
          <w:tcPr>
            <w:tcW w:w="183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20"/>
          <w:szCs w:val="20"/>
        </w:rPr>
      </w:pPr>
    </w:p>
    <w:p>
      <w:pPr>
        <w:pStyle w:val="BodyText"/>
        <w:spacing w:line="240" w:lineRule="auto" w:before="36"/>
        <w:ind w:right="99"/>
        <w:jc w:val="left"/>
      </w:pPr>
      <w:r>
        <w:rPr/>
        <w:t>组合中，采用余额百分比法计提坏账准备的其他应收款：</w:t>
      </w:r>
    </w:p>
    <w:p>
      <w:pPr>
        <w:pStyle w:val="BodyText"/>
        <w:spacing w:line="240" w:lineRule="auto" w:before="56"/>
        <w:ind w:right="99"/>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pStyle w:val="BodyText"/>
        <w:spacing w:line="240" w:lineRule="auto"/>
        <w:ind w:right="99"/>
        <w:jc w:val="left"/>
      </w:pPr>
      <w:r>
        <w:rPr/>
        <w:t>组合中，采用其他方法计提坏账准备的其他应收款：</w:t>
      </w:r>
    </w:p>
    <w:p>
      <w:pPr>
        <w:pStyle w:val="BodyText"/>
        <w:tabs>
          <w:tab w:pos="1060" w:val="left" w:leader="none"/>
        </w:tabs>
        <w:spacing w:line="240" w:lineRule="auto" w:before="56"/>
        <w:ind w:right="99"/>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right="99"/>
        <w:jc w:val="left"/>
        <w:rPr>
          <w:b w:val="0"/>
          <w:bCs w:val="0"/>
        </w:rPr>
      </w:pPr>
      <w:r>
        <w:rPr>
          <w:rFonts w:ascii="宋体" w:hAnsi="宋体" w:cs="宋体" w:eastAsia="宋体" w:hint="default"/>
        </w:rPr>
        <w:t>(2).</w:t>
      </w:r>
      <w:r>
        <w:rPr>
          <w:rFonts w:ascii="宋体" w:hAnsi="宋体" w:cs="宋体" w:eastAsia="宋体" w:hint="default"/>
          <w:spacing w:val="-2"/>
        </w:rPr>
        <w:t> </w:t>
      </w:r>
      <w:r>
        <w:rPr/>
        <w:t>本期计提、收回或转回的坏账准备情况：</w:t>
      </w:r>
      <w:r>
        <w:rPr>
          <w:b w:val="0"/>
          <w:bCs w:val="0"/>
        </w:rPr>
      </w:r>
    </w:p>
    <w:p>
      <w:pPr>
        <w:pStyle w:val="BodyText"/>
        <w:spacing w:line="272" w:lineRule="exact" w:before="86"/>
        <w:ind w:right="1292"/>
        <w:jc w:val="left"/>
      </w:pPr>
      <w:r>
        <w:rPr/>
        <w:t>本期计提坏账准备金额</w:t>
      </w:r>
      <w:r>
        <w:rPr>
          <w:spacing w:val="-54"/>
        </w:rPr>
        <w:t> </w:t>
      </w:r>
      <w:r>
        <w:rPr>
          <w:rFonts w:ascii="宋体" w:hAnsi="宋体" w:cs="宋体" w:eastAsia="宋体" w:hint="default"/>
        </w:rPr>
        <w:t>1,848,723</w:t>
      </w:r>
      <w:r>
        <w:rPr>
          <w:rFonts w:ascii="宋体" w:hAnsi="宋体" w:cs="宋体" w:eastAsia="宋体" w:hint="default"/>
          <w:spacing w:val="-55"/>
        </w:rPr>
        <w:t> </w:t>
      </w:r>
      <w:r>
        <w:rPr/>
        <w:t>元；本期收回或转回坏账准备金额</w:t>
      </w:r>
      <w:r>
        <w:rPr>
          <w:spacing w:val="-55"/>
        </w:rPr>
        <w:t> </w:t>
      </w:r>
      <w:r>
        <w:rPr>
          <w:rFonts w:ascii="宋体" w:hAnsi="宋体" w:cs="宋体" w:eastAsia="宋体" w:hint="default"/>
        </w:rPr>
        <w:t>1,806,789</w:t>
      </w:r>
      <w:r>
        <w:rPr>
          <w:rFonts w:ascii="宋体" w:hAnsi="宋体" w:cs="宋体" w:eastAsia="宋体" w:hint="default"/>
          <w:spacing w:val="-54"/>
        </w:rPr>
        <w:t> </w:t>
      </w:r>
      <w:r>
        <w:rPr>
          <w:spacing w:val="-3"/>
        </w:rPr>
        <w:t>元。</w:t>
      </w:r>
      <w:r>
        <w:rPr>
          <w:spacing w:val="-3"/>
          <w:w w:val="100"/>
        </w:rPr>
        <w:t> </w:t>
      </w:r>
      <w:r>
        <w:rPr/>
        <w:t>其中本期坏账准备转回或收回金额重要的：</w:t>
      </w:r>
    </w:p>
    <w:p>
      <w:pPr>
        <w:pStyle w:val="BodyText"/>
        <w:spacing w:line="249" w:lineRule="exact"/>
        <w:ind w:right="99"/>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5"/>
          <w:szCs w:val="25"/>
        </w:rPr>
      </w:pPr>
    </w:p>
    <w:p>
      <w:pPr>
        <w:pStyle w:val="Heading3"/>
        <w:spacing w:line="240" w:lineRule="auto"/>
        <w:ind w:right="99"/>
        <w:jc w:val="left"/>
        <w:rPr>
          <w:b w:val="0"/>
          <w:bCs w:val="0"/>
        </w:rPr>
      </w:pPr>
      <w:r>
        <w:rPr>
          <w:rFonts w:ascii="宋体" w:hAnsi="宋体" w:cs="宋体" w:eastAsia="宋体" w:hint="default"/>
        </w:rPr>
        <w:t>(3).</w:t>
      </w:r>
      <w:r>
        <w:rPr>
          <w:rFonts w:ascii="宋体" w:hAnsi="宋体" w:cs="宋体" w:eastAsia="宋体" w:hint="default"/>
          <w:spacing w:val="-3"/>
        </w:rPr>
        <w:t> </w:t>
      </w:r>
      <w:r>
        <w:rPr/>
        <w:t>本期实际核销的其他应收款情况</w:t>
      </w:r>
      <w:r>
        <w:rPr>
          <w:b w:val="0"/>
          <w:bCs w:val="0"/>
        </w:rPr>
      </w:r>
    </w:p>
    <w:p>
      <w:pPr>
        <w:pStyle w:val="BodyText"/>
        <w:spacing w:line="240" w:lineRule="auto" w:before="58"/>
        <w:ind w:right="99"/>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57" w:footer="1195" w:top="1280" w:bottom="1380" w:left="1580" w:right="1040"/>
        </w:sectPr>
      </w:pPr>
    </w:p>
    <w:p>
      <w:pPr>
        <w:pStyle w:val="Heading3"/>
        <w:spacing w:line="240" w:lineRule="auto" w:before="36"/>
        <w:ind w:right="-18"/>
        <w:jc w:val="left"/>
        <w:rPr>
          <w:b w:val="0"/>
          <w:bCs w:val="0"/>
        </w:rPr>
      </w:pPr>
      <w:r>
        <w:rPr>
          <w:rFonts w:ascii="宋体" w:hAnsi="宋体" w:cs="宋体" w:eastAsia="宋体" w:hint="default"/>
        </w:rPr>
        <w:t>(4).</w:t>
      </w:r>
      <w:r>
        <w:rPr>
          <w:rFonts w:ascii="宋体" w:hAnsi="宋体" w:cs="宋体" w:eastAsia="宋体" w:hint="default"/>
          <w:spacing w:val="-3"/>
        </w:rPr>
        <w:t> </w:t>
      </w:r>
      <w:r>
        <w:rPr/>
        <w:t>其他应收款按款项性质分类情况</w:t>
      </w:r>
      <w:r>
        <w:rPr>
          <w:b w:val="0"/>
          <w:bCs w:val="0"/>
        </w:rPr>
      </w:r>
    </w:p>
    <w:p>
      <w:pPr>
        <w:pStyle w:val="BodyText"/>
        <w:spacing w:line="240" w:lineRule="auto" w:before="56"/>
        <w:ind w:right="-18"/>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3699" w:space="3034"/>
            <w:col w:w="2557"/>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077"/>
        <w:gridCol w:w="2981"/>
        <w:gridCol w:w="2991"/>
      </w:tblGrid>
      <w:tr>
        <w:trPr>
          <w:trHeight w:val="283" w:hRule="exact"/>
        </w:trPr>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 w:right="0"/>
              <w:jc w:val="center"/>
              <w:rPr>
                <w:rFonts w:ascii="宋体" w:hAnsi="宋体" w:cs="宋体" w:eastAsia="宋体" w:hint="default"/>
                <w:sz w:val="21"/>
                <w:szCs w:val="21"/>
              </w:rPr>
            </w:pPr>
            <w:r>
              <w:rPr>
                <w:rFonts w:ascii="宋体" w:hAnsi="宋体" w:cs="宋体" w:eastAsia="宋体" w:hint="default"/>
                <w:sz w:val="21"/>
                <w:szCs w:val="21"/>
              </w:rPr>
              <w:t>款项性质</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851" w:right="0"/>
              <w:jc w:val="left"/>
              <w:rPr>
                <w:rFonts w:ascii="宋体" w:hAnsi="宋体" w:cs="宋体" w:eastAsia="宋体" w:hint="default"/>
                <w:sz w:val="21"/>
                <w:szCs w:val="21"/>
              </w:rPr>
            </w:pPr>
            <w:r>
              <w:rPr>
                <w:rFonts w:ascii="宋体" w:hAnsi="宋体" w:cs="宋体" w:eastAsia="宋体" w:hint="default"/>
                <w:sz w:val="21"/>
                <w:szCs w:val="21"/>
              </w:rPr>
              <w:t>期末账面余额</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859" w:right="0"/>
              <w:jc w:val="left"/>
              <w:rPr>
                <w:rFonts w:ascii="宋体" w:hAnsi="宋体" w:cs="宋体" w:eastAsia="宋体" w:hint="default"/>
                <w:sz w:val="21"/>
                <w:szCs w:val="21"/>
              </w:rPr>
            </w:pPr>
            <w:r>
              <w:rPr>
                <w:rFonts w:ascii="宋体" w:hAnsi="宋体" w:cs="宋体" w:eastAsia="宋体" w:hint="default"/>
                <w:sz w:val="21"/>
                <w:szCs w:val="21"/>
              </w:rPr>
              <w:t>期初账面余额</w:t>
            </w:r>
          </w:p>
        </w:tc>
      </w:tr>
      <w:tr>
        <w:trPr>
          <w:trHeight w:val="283" w:hRule="exact"/>
        </w:trPr>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关联方借款</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775,399,749</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747,751,234</w:t>
            </w:r>
          </w:p>
        </w:tc>
      </w:tr>
      <w:tr>
        <w:trPr>
          <w:trHeight w:val="281" w:hRule="exact"/>
        </w:trPr>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押金及保证金</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46,599,086</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35,982,577</w:t>
            </w:r>
          </w:p>
        </w:tc>
      </w:tr>
      <w:tr>
        <w:trPr>
          <w:trHeight w:val="283" w:hRule="exact"/>
        </w:trPr>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员工备用金</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7,551,210</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4,246,601</w:t>
            </w:r>
          </w:p>
        </w:tc>
      </w:tr>
      <w:tr>
        <w:trPr>
          <w:trHeight w:val="283" w:hRule="exact"/>
        </w:trPr>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增值税退税</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3"/>
              <w:jc w:val="right"/>
              <w:rPr>
                <w:rFonts w:ascii="宋体" w:hAnsi="宋体" w:cs="宋体" w:eastAsia="宋体" w:hint="default"/>
                <w:sz w:val="21"/>
                <w:szCs w:val="21"/>
              </w:rPr>
            </w:pPr>
            <w:r>
              <w:rPr>
                <w:rFonts w:ascii="宋体"/>
                <w:w w:val="100"/>
                <w:sz w:val="21"/>
              </w:rPr>
              <w:t>-</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962,619</w:t>
            </w:r>
          </w:p>
        </w:tc>
      </w:tr>
      <w:tr>
        <w:trPr>
          <w:trHeight w:val="281" w:hRule="exact"/>
        </w:trPr>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23,082,527</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26,788,026</w:t>
            </w:r>
          </w:p>
        </w:tc>
      </w:tr>
      <w:tr>
        <w:trPr>
          <w:trHeight w:val="284" w:hRule="exact"/>
        </w:trPr>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852,632,572</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815,731,057</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320" w:bottom="1380" w:left="1580" w:right="1040"/>
        </w:sectPr>
      </w:pPr>
    </w:p>
    <w:p>
      <w:pPr>
        <w:pStyle w:val="Heading3"/>
        <w:spacing w:line="240" w:lineRule="auto" w:before="36"/>
        <w:ind w:right="-16"/>
        <w:jc w:val="left"/>
        <w:rPr>
          <w:b w:val="0"/>
          <w:bCs w:val="0"/>
        </w:rPr>
      </w:pPr>
      <w:r>
        <w:rPr>
          <w:rFonts w:ascii="宋体" w:hAnsi="宋体" w:cs="宋体" w:eastAsia="宋体" w:hint="default"/>
        </w:rPr>
        <w:t>(5).</w:t>
      </w:r>
      <w:r>
        <w:rPr>
          <w:rFonts w:ascii="宋体" w:hAnsi="宋体" w:cs="宋体" w:eastAsia="宋体" w:hint="default"/>
          <w:spacing w:val="-6"/>
        </w:rPr>
        <w:t> </w:t>
      </w:r>
      <w:r>
        <w:rPr/>
        <w:t>按欠款方归集的期末余额前五名的其他应收款情况：</w:t>
      </w:r>
      <w:r>
        <w:rPr>
          <w:b w:val="0"/>
          <w:bCs w:val="0"/>
        </w:rPr>
      </w:r>
    </w:p>
    <w:p>
      <w:pPr>
        <w:pStyle w:val="BodyText"/>
        <w:spacing w:line="240" w:lineRule="auto" w:before="58"/>
        <w:ind w:right="-16"/>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5595" w:space="1138"/>
            <w:col w:w="2557"/>
          </w:cols>
        </w:sectPr>
      </w:pPr>
    </w:p>
    <w:p>
      <w:pPr>
        <w:spacing w:line="240" w:lineRule="auto" w:before="7"/>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1538"/>
        <w:gridCol w:w="1357"/>
        <w:gridCol w:w="1226"/>
        <w:gridCol w:w="1332"/>
        <w:gridCol w:w="1765"/>
        <w:gridCol w:w="1678"/>
      </w:tblGrid>
      <w:tr>
        <w:trPr>
          <w:trHeight w:val="826" w:hRule="exact"/>
        </w:trPr>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90" w:right="0"/>
              <w:jc w:val="left"/>
              <w:rPr>
                <w:rFonts w:ascii="宋体" w:hAnsi="宋体" w:cs="宋体" w:eastAsia="宋体" w:hint="default"/>
                <w:sz w:val="21"/>
                <w:szCs w:val="21"/>
              </w:rPr>
            </w:pPr>
            <w:r>
              <w:rPr>
                <w:rFonts w:ascii="宋体" w:hAnsi="宋体" w:cs="宋体" w:eastAsia="宋体" w:hint="default"/>
                <w:sz w:val="21"/>
                <w:szCs w:val="21"/>
              </w:rPr>
              <w:t>单位名称</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10" w:right="0"/>
              <w:jc w:val="left"/>
              <w:rPr>
                <w:rFonts w:ascii="宋体" w:hAnsi="宋体" w:cs="宋体" w:eastAsia="宋体" w:hint="default"/>
                <w:sz w:val="21"/>
                <w:szCs w:val="21"/>
              </w:rPr>
            </w:pPr>
            <w:r>
              <w:rPr>
                <w:rFonts w:ascii="宋体" w:hAnsi="宋体" w:cs="宋体" w:eastAsia="宋体" w:hint="default"/>
                <w:sz w:val="21"/>
                <w:szCs w:val="21"/>
              </w:rPr>
              <w:t>款项的性质</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48"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485"/>
              <w:jc w:val="right"/>
              <w:rPr>
                <w:rFonts w:ascii="宋体" w:hAnsi="宋体" w:cs="宋体" w:eastAsia="宋体" w:hint="default"/>
                <w:sz w:val="21"/>
                <w:szCs w:val="21"/>
              </w:rPr>
            </w:pPr>
            <w:r>
              <w:rPr>
                <w:rFonts w:ascii="宋体" w:hAnsi="宋体" w:cs="宋体" w:eastAsia="宋体" w:hint="default"/>
                <w:sz w:val="21"/>
                <w:szCs w:val="21"/>
              </w:rPr>
              <w:t>账龄</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35" w:right="0"/>
              <w:jc w:val="left"/>
              <w:rPr>
                <w:rFonts w:ascii="宋体" w:hAnsi="宋体" w:cs="宋体" w:eastAsia="宋体" w:hint="default"/>
                <w:sz w:val="21"/>
                <w:szCs w:val="21"/>
              </w:rPr>
            </w:pPr>
            <w:r>
              <w:rPr>
                <w:rFonts w:ascii="宋体" w:hAnsi="宋体" w:cs="宋体" w:eastAsia="宋体" w:hint="default"/>
                <w:sz w:val="21"/>
                <w:szCs w:val="21"/>
              </w:rPr>
              <w:t>占其他应收款期末</w:t>
            </w:r>
          </w:p>
          <w:p>
            <w:pPr>
              <w:pStyle w:val="TableParagraph"/>
              <w:spacing w:line="240" w:lineRule="auto"/>
              <w:ind w:left="717" w:right="34" w:hanging="682"/>
              <w:jc w:val="left"/>
              <w:rPr>
                <w:rFonts w:ascii="宋体" w:hAnsi="宋体" w:cs="宋体" w:eastAsia="宋体" w:hint="default"/>
                <w:sz w:val="21"/>
                <w:szCs w:val="21"/>
              </w:rPr>
            </w:pPr>
            <w:r>
              <w:rPr>
                <w:rFonts w:ascii="宋体" w:hAnsi="宋体" w:cs="宋体" w:eastAsia="宋体" w:hint="default"/>
                <w:sz w:val="21"/>
                <w:szCs w:val="21"/>
              </w:rPr>
              <w:t>余额合计数的比例</w:t>
            </w:r>
            <w:r>
              <w:rPr>
                <w:rFonts w:ascii="宋体" w:hAnsi="宋体" w:cs="宋体" w:eastAsia="宋体" w:hint="default"/>
                <w:w w:val="100"/>
                <w:sz w:val="21"/>
                <w:szCs w:val="21"/>
              </w:rPr>
              <w:t> </w:t>
            </w:r>
            <w:r>
              <w:rPr>
                <w:rFonts w:ascii="宋体" w:hAnsi="宋体" w:cs="宋体" w:eastAsia="宋体" w:hint="default"/>
                <w:sz w:val="21"/>
                <w:szCs w:val="21"/>
              </w:rPr>
              <w:t>(%)</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412" w:right="410"/>
              <w:jc w:val="left"/>
              <w:rPr>
                <w:rFonts w:ascii="宋体" w:hAnsi="宋体" w:cs="宋体" w:eastAsia="宋体" w:hint="default"/>
                <w:sz w:val="21"/>
                <w:szCs w:val="21"/>
              </w:rPr>
            </w:pPr>
            <w:r>
              <w:rPr>
                <w:rFonts w:ascii="宋体" w:hAnsi="宋体" w:cs="宋体" w:eastAsia="宋体" w:hint="default"/>
                <w:sz w:val="21"/>
                <w:szCs w:val="21"/>
              </w:rPr>
              <w:t>坏账准备</w:t>
            </w:r>
            <w:r>
              <w:rPr>
                <w:rFonts w:ascii="宋体" w:hAnsi="宋体" w:cs="宋体" w:eastAsia="宋体" w:hint="default"/>
                <w:w w:val="100"/>
                <w:sz w:val="21"/>
                <w:szCs w:val="21"/>
              </w:rPr>
              <w:t> </w:t>
            </w:r>
            <w:r>
              <w:rPr>
                <w:rFonts w:ascii="宋体" w:hAnsi="宋体" w:cs="宋体" w:eastAsia="宋体" w:hint="default"/>
                <w:sz w:val="21"/>
                <w:szCs w:val="21"/>
              </w:rPr>
              <w:t>期末余额</w:t>
            </w:r>
          </w:p>
        </w:tc>
      </w:tr>
      <w:tr>
        <w:trPr>
          <w:trHeight w:val="283" w:hRule="exact"/>
        </w:trPr>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1</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往来款</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22,600,000</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04"/>
              <w:jc w:val="righ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right"/>
              <w:rPr>
                <w:rFonts w:ascii="宋体" w:hAnsi="宋体" w:cs="宋体" w:eastAsia="宋体" w:hint="default"/>
                <w:sz w:val="21"/>
                <w:szCs w:val="21"/>
              </w:rPr>
            </w:pPr>
            <w:r>
              <w:rPr>
                <w:rFonts w:ascii="宋体"/>
                <w:w w:val="100"/>
                <w:sz w:val="21"/>
              </w:rPr>
              <w:t>3</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22,600,000</w:t>
            </w:r>
          </w:p>
        </w:tc>
      </w:tr>
      <w:tr>
        <w:trPr>
          <w:trHeight w:val="281" w:hRule="exact"/>
        </w:trPr>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2</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往来款</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11,578,375</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04"/>
              <w:jc w:val="righ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right"/>
              <w:rPr>
                <w:rFonts w:ascii="宋体" w:hAnsi="宋体" w:cs="宋体" w:eastAsia="宋体" w:hint="default"/>
                <w:sz w:val="21"/>
                <w:szCs w:val="21"/>
              </w:rPr>
            </w:pPr>
            <w:r>
              <w:rPr>
                <w:rFonts w:ascii="宋体"/>
                <w:w w:val="100"/>
                <w:sz w:val="21"/>
              </w:rPr>
              <w:t>1</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11,578,375</w:t>
            </w:r>
          </w:p>
        </w:tc>
      </w:tr>
      <w:tr>
        <w:trPr>
          <w:trHeight w:val="284" w:hRule="exact"/>
        </w:trPr>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3</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房屋租金</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6,830,243</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504"/>
              <w:jc w:val="righ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6"/>
              <w:jc w:val="right"/>
              <w:rPr>
                <w:rFonts w:ascii="宋体" w:hAnsi="宋体" w:cs="宋体" w:eastAsia="宋体" w:hint="default"/>
                <w:sz w:val="21"/>
                <w:szCs w:val="21"/>
              </w:rPr>
            </w:pPr>
            <w:r>
              <w:rPr>
                <w:rFonts w:ascii="宋体"/>
                <w:w w:val="100"/>
                <w:sz w:val="21"/>
              </w:rPr>
              <w:t>1</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1,373,921.29</w:t>
            </w:r>
          </w:p>
        </w:tc>
      </w:tr>
      <w:tr>
        <w:trPr>
          <w:trHeight w:val="283" w:hRule="exact"/>
        </w:trPr>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4</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代垫款项</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2,673,993</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04"/>
              <w:jc w:val="righ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right"/>
              <w:rPr>
                <w:rFonts w:ascii="宋体" w:hAnsi="宋体" w:cs="宋体" w:eastAsia="宋体" w:hint="default"/>
                <w:sz w:val="21"/>
                <w:szCs w:val="21"/>
              </w:rPr>
            </w:pPr>
            <w:r>
              <w:rPr>
                <w:rFonts w:ascii="宋体"/>
                <w:sz w:val="21"/>
              </w:rPr>
              <w:t>&lt;1</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227,342.36</w:t>
            </w:r>
          </w:p>
        </w:tc>
      </w:tr>
      <w:tr>
        <w:trPr>
          <w:trHeight w:val="281" w:hRule="exact"/>
        </w:trPr>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50"/>
                <w:sz w:val="21"/>
                <w:szCs w:val="21"/>
              </w:rPr>
              <w:t> </w:t>
            </w:r>
            <w:r>
              <w:rPr>
                <w:rFonts w:ascii="宋体" w:hAnsi="宋体" w:cs="宋体" w:eastAsia="宋体" w:hint="default"/>
                <w:sz w:val="21"/>
                <w:szCs w:val="21"/>
              </w:rPr>
              <w:t>5</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房屋租金</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2,002,295</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04"/>
              <w:jc w:val="righ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right"/>
              <w:rPr>
                <w:rFonts w:ascii="宋体" w:hAnsi="宋体" w:cs="宋体" w:eastAsia="宋体" w:hint="default"/>
                <w:sz w:val="21"/>
                <w:szCs w:val="21"/>
              </w:rPr>
            </w:pPr>
            <w:r>
              <w:rPr>
                <w:rFonts w:ascii="宋体"/>
                <w:sz w:val="21"/>
              </w:rPr>
              <w:t>&lt;1</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102,852.40</w:t>
            </w:r>
          </w:p>
        </w:tc>
      </w:tr>
    </w:tbl>
    <w:p>
      <w:pPr>
        <w:spacing w:after="0" w:line="241" w:lineRule="exact"/>
        <w:jc w:val="right"/>
        <w:rPr>
          <w:rFonts w:ascii="宋体" w:hAnsi="宋体" w:cs="宋体" w:eastAsia="宋体" w:hint="default"/>
          <w:sz w:val="21"/>
          <w:szCs w:val="21"/>
        </w:rPr>
        <w:sectPr>
          <w:type w:val="continuous"/>
          <w:pgSz w:w="11910" w:h="16840"/>
          <w:pgMar w:top="1320" w:bottom="1380" w:left="1580" w:right="1040"/>
        </w:sectPr>
      </w:pPr>
    </w:p>
    <w:p>
      <w:pPr>
        <w:spacing w:line="240" w:lineRule="auto" w:before="9"/>
        <w:rPr>
          <w:rFonts w:ascii="宋体" w:hAnsi="宋体" w:cs="宋体" w:eastAsia="宋体" w:hint="default"/>
          <w:sz w:val="17"/>
          <w:szCs w:val="17"/>
        </w:rPr>
      </w:pPr>
    </w:p>
    <w:tbl>
      <w:tblPr>
        <w:tblW w:w="0" w:type="auto"/>
        <w:jc w:val="left"/>
        <w:tblInd w:w="182" w:type="dxa"/>
        <w:tblLayout w:type="fixed"/>
        <w:tblCellMar>
          <w:top w:w="0" w:type="dxa"/>
          <w:left w:w="0" w:type="dxa"/>
          <w:bottom w:w="0" w:type="dxa"/>
          <w:right w:w="0" w:type="dxa"/>
        </w:tblCellMar>
        <w:tblLook w:val="01E0"/>
      </w:tblPr>
      <w:tblGrid>
        <w:gridCol w:w="1538"/>
        <w:gridCol w:w="1357"/>
        <w:gridCol w:w="1226"/>
        <w:gridCol w:w="1332"/>
        <w:gridCol w:w="1765"/>
        <w:gridCol w:w="1678"/>
      </w:tblGrid>
      <w:tr>
        <w:trPr>
          <w:trHeight w:val="284" w:hRule="exact"/>
        </w:trPr>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501"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71"/>
              <w:jc w:val="center"/>
              <w:rPr>
                <w:rFonts w:ascii="宋体" w:hAnsi="宋体" w:cs="宋体" w:eastAsia="宋体" w:hint="default"/>
                <w:sz w:val="21"/>
                <w:szCs w:val="21"/>
              </w:rPr>
            </w:pPr>
            <w:r>
              <w:rPr>
                <w:rFonts w:ascii="宋体"/>
                <w:w w:val="100"/>
                <w:sz w:val="21"/>
              </w:rPr>
              <w:t>/</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64" w:right="0"/>
              <w:jc w:val="left"/>
              <w:rPr>
                <w:rFonts w:ascii="宋体" w:hAnsi="宋体" w:cs="宋体" w:eastAsia="宋体" w:hint="default"/>
                <w:sz w:val="21"/>
                <w:szCs w:val="21"/>
              </w:rPr>
            </w:pPr>
            <w:r>
              <w:rPr>
                <w:rFonts w:ascii="宋体"/>
                <w:sz w:val="21"/>
              </w:rPr>
              <w:t>45,684,906</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72"/>
              <w:jc w:val="center"/>
              <w:rPr>
                <w:rFonts w:ascii="宋体" w:hAnsi="宋体" w:cs="宋体" w:eastAsia="宋体" w:hint="default"/>
                <w:sz w:val="21"/>
                <w:szCs w:val="21"/>
              </w:rPr>
            </w:pPr>
            <w:r>
              <w:rPr>
                <w:rFonts w:ascii="宋体"/>
                <w:w w:val="100"/>
                <w:sz w:val="21"/>
              </w:rPr>
              <w:t>/</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26"/>
              <w:jc w:val="right"/>
              <w:rPr>
                <w:rFonts w:ascii="宋体" w:hAnsi="宋体" w:cs="宋体" w:eastAsia="宋体" w:hint="default"/>
                <w:sz w:val="21"/>
                <w:szCs w:val="21"/>
              </w:rPr>
            </w:pPr>
            <w:r>
              <w:rPr>
                <w:rFonts w:ascii="宋体"/>
                <w:w w:val="100"/>
                <w:sz w:val="21"/>
              </w:rPr>
              <w:t>5</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590" w:right="0"/>
              <w:jc w:val="left"/>
              <w:rPr>
                <w:rFonts w:ascii="宋体" w:hAnsi="宋体" w:cs="宋体" w:eastAsia="宋体" w:hint="default"/>
                <w:sz w:val="21"/>
                <w:szCs w:val="21"/>
              </w:rPr>
            </w:pPr>
            <w:r>
              <w:rPr>
                <w:rFonts w:ascii="宋体"/>
                <w:sz w:val="21"/>
              </w:rPr>
              <w:t>35,882,491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p>
      <w:pPr>
        <w:pStyle w:val="Heading3"/>
        <w:spacing w:line="240" w:lineRule="auto" w:before="36"/>
        <w:ind w:right="99"/>
        <w:jc w:val="left"/>
        <w:rPr>
          <w:b w:val="0"/>
          <w:bCs w:val="0"/>
        </w:rPr>
      </w:pPr>
      <w:r>
        <w:rPr>
          <w:rFonts w:ascii="宋体" w:hAnsi="宋体" w:cs="宋体" w:eastAsia="宋体" w:hint="default"/>
        </w:rPr>
        <w:t>(6).</w:t>
      </w:r>
      <w:r>
        <w:rPr>
          <w:rFonts w:ascii="宋体" w:hAnsi="宋体" w:cs="宋体" w:eastAsia="宋体" w:hint="default"/>
          <w:spacing w:val="-1"/>
        </w:rPr>
        <w:t> </w:t>
      </w:r>
      <w:r>
        <w:rPr/>
        <w:t>涉及政府补助的应收款项</w:t>
      </w:r>
      <w:r>
        <w:rPr>
          <w:b w:val="0"/>
          <w:bCs w:val="0"/>
        </w:rPr>
      </w:r>
    </w:p>
    <w:p>
      <w:pPr>
        <w:pStyle w:val="BodyText"/>
        <w:spacing w:line="240" w:lineRule="auto" w:before="56"/>
        <w:ind w:right="99"/>
        <w:jc w:val="left"/>
      </w:pPr>
      <w:r>
        <w:rPr/>
        <w:t>□适用</w:t>
      </w:r>
      <w:r>
        <w:rPr>
          <w:spacing w:val="-1"/>
        </w:rPr>
        <w:t> </w:t>
      </w:r>
      <w:r>
        <w:rPr/>
        <w:t>√不适用</w:t>
      </w:r>
    </w:p>
    <w:p>
      <w:pPr>
        <w:spacing w:line="240" w:lineRule="auto" w:before="3"/>
        <w:rPr>
          <w:rFonts w:ascii="宋体" w:hAnsi="宋体" w:cs="宋体" w:eastAsia="宋体" w:hint="default"/>
          <w:sz w:val="25"/>
          <w:szCs w:val="25"/>
        </w:rPr>
      </w:pPr>
    </w:p>
    <w:p>
      <w:pPr>
        <w:pStyle w:val="Heading3"/>
        <w:spacing w:line="240" w:lineRule="auto"/>
        <w:ind w:right="99"/>
        <w:jc w:val="left"/>
        <w:rPr>
          <w:b w:val="0"/>
          <w:bCs w:val="0"/>
        </w:rPr>
      </w:pPr>
      <w:r>
        <w:rPr>
          <w:rFonts w:ascii="宋体" w:hAnsi="宋体" w:cs="宋体" w:eastAsia="宋体" w:hint="default"/>
        </w:rPr>
        <w:t>(7).</w:t>
      </w:r>
      <w:r>
        <w:rPr>
          <w:rFonts w:ascii="宋体" w:hAnsi="宋体" w:cs="宋体" w:eastAsia="宋体" w:hint="default"/>
          <w:spacing w:val="-1"/>
        </w:rPr>
        <w:t> </w:t>
      </w:r>
      <w:r>
        <w:rPr/>
        <w:t>因金融资产转移而终止确认的其他应收款：</w:t>
      </w:r>
      <w:r>
        <w:rPr>
          <w:b w:val="0"/>
          <w:bCs w:val="0"/>
        </w:rPr>
      </w:r>
    </w:p>
    <w:p>
      <w:pPr>
        <w:pStyle w:val="BodyText"/>
        <w:tabs>
          <w:tab w:pos="1060" w:val="left" w:leader="none"/>
        </w:tabs>
        <w:spacing w:line="240" w:lineRule="auto" w:before="58"/>
        <w:ind w:right="99"/>
        <w:jc w:val="left"/>
      </w:pPr>
      <w:r>
        <w:rPr>
          <w:spacing w:val="-1"/>
        </w:rPr>
        <w:t>□适用</w:t>
        <w:tab/>
      </w:r>
      <w:r>
        <w:rPr>
          <w:spacing w:val="-2"/>
        </w:rPr>
        <w:t>√不适用</w:t>
      </w:r>
    </w:p>
    <w:p>
      <w:pPr>
        <w:spacing w:line="240" w:lineRule="auto" w:before="3"/>
        <w:rPr>
          <w:rFonts w:ascii="宋体" w:hAnsi="宋体" w:cs="宋体" w:eastAsia="宋体" w:hint="default"/>
          <w:sz w:val="25"/>
          <w:szCs w:val="25"/>
        </w:rPr>
      </w:pPr>
    </w:p>
    <w:p>
      <w:pPr>
        <w:pStyle w:val="Heading3"/>
        <w:spacing w:line="240" w:lineRule="auto"/>
        <w:ind w:right="99"/>
        <w:jc w:val="left"/>
        <w:rPr>
          <w:b w:val="0"/>
          <w:bCs w:val="0"/>
        </w:rPr>
      </w:pPr>
      <w:r>
        <w:rPr>
          <w:rFonts w:ascii="宋体" w:hAnsi="宋体" w:cs="宋体" w:eastAsia="宋体" w:hint="default"/>
        </w:rPr>
        <w:t>(8).</w:t>
      </w:r>
      <w:r>
        <w:rPr>
          <w:rFonts w:ascii="宋体" w:hAnsi="宋体" w:cs="宋体" w:eastAsia="宋体" w:hint="default"/>
          <w:spacing w:val="-6"/>
        </w:rPr>
        <w:t> </w:t>
      </w:r>
      <w:r>
        <w:rPr/>
        <w:t>转移其他应收款且继续涉入形成的资产、负债金额：</w:t>
      </w:r>
      <w:r>
        <w:rPr>
          <w:b w:val="0"/>
          <w:bCs w:val="0"/>
        </w:rPr>
      </w:r>
    </w:p>
    <w:p>
      <w:pPr>
        <w:pStyle w:val="BodyText"/>
        <w:tabs>
          <w:tab w:pos="1060" w:val="left" w:leader="none"/>
        </w:tabs>
        <w:spacing w:line="240" w:lineRule="auto" w:before="57"/>
        <w:ind w:right="99"/>
        <w:jc w:val="left"/>
      </w:pPr>
      <w:r>
        <w:rPr>
          <w:spacing w:val="-1"/>
        </w:rPr>
        <w:t>□适用</w:t>
        <w:tab/>
      </w:r>
      <w:r>
        <w:rPr>
          <w:spacing w:val="-2"/>
        </w:rPr>
        <w:t>√不适用</w:t>
      </w:r>
    </w:p>
    <w:p>
      <w:pPr>
        <w:spacing w:line="240" w:lineRule="auto" w:before="8"/>
        <w:rPr>
          <w:rFonts w:ascii="宋体" w:hAnsi="宋体" w:cs="宋体" w:eastAsia="宋体" w:hint="default"/>
          <w:sz w:val="20"/>
          <w:szCs w:val="20"/>
        </w:rPr>
      </w:pPr>
    </w:p>
    <w:p>
      <w:pPr>
        <w:pStyle w:val="BodyText"/>
        <w:spacing w:line="273" w:lineRule="exact"/>
        <w:ind w:right="99"/>
        <w:jc w:val="left"/>
      </w:pPr>
      <w:r>
        <w:rPr/>
        <w:t>其他说明：</w:t>
      </w:r>
    </w:p>
    <w:p>
      <w:pPr>
        <w:pStyle w:val="BodyText"/>
        <w:tabs>
          <w:tab w:pos="1060" w:val="left" w:leader="none"/>
        </w:tabs>
        <w:spacing w:line="273" w:lineRule="exact"/>
        <w:ind w:right="99"/>
        <w:jc w:val="left"/>
      </w:pPr>
      <w:r>
        <w:rPr>
          <w:spacing w:val="-1"/>
        </w:rPr>
        <w:t>□适用</w:t>
        <w:tab/>
      </w:r>
      <w:r>
        <w:rPr>
          <w:spacing w:val="-2"/>
        </w:rPr>
        <w:t>√不适用</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57" w:footer="1195" w:top="1280" w:bottom="1380" w:left="1580" w:right="1040"/>
        </w:sectPr>
      </w:pPr>
    </w:p>
    <w:p>
      <w:pPr>
        <w:pStyle w:val="Heading3"/>
        <w:spacing w:line="240" w:lineRule="auto" w:before="36"/>
        <w:ind w:right="-20"/>
        <w:jc w:val="left"/>
        <w:rPr>
          <w:b w:val="0"/>
          <w:bCs w:val="0"/>
        </w:rPr>
      </w:pPr>
      <w:r>
        <w:rPr>
          <w:rFonts w:ascii="宋体" w:hAnsi="宋体" w:cs="宋体" w:eastAsia="宋体" w:hint="default"/>
        </w:rPr>
        <w:t>3</w:t>
      </w:r>
      <w:r>
        <w:rPr/>
        <w:t>、</w:t>
      </w:r>
      <w:r>
        <w:rPr>
          <w:spacing w:val="4"/>
        </w:rPr>
        <w:t> </w:t>
      </w:r>
      <w:r>
        <w:rPr/>
        <w:t>长期股权投资</w:t>
      </w:r>
      <w:r>
        <w:rPr>
          <w:b w:val="0"/>
          <w:bCs w:val="0"/>
        </w:rPr>
      </w:r>
    </w:p>
    <w:p>
      <w:pPr>
        <w:pStyle w:val="BodyText"/>
        <w:spacing w:line="240" w:lineRule="auto" w:before="58"/>
        <w:ind w:right="-20"/>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1911" w:space="4822"/>
            <w:col w:w="2557"/>
          </w:cols>
        </w:sectPr>
      </w:pPr>
    </w:p>
    <w:p>
      <w:pPr>
        <w:spacing w:line="240" w:lineRule="auto" w:before="7"/>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602"/>
        <w:gridCol w:w="1428"/>
        <w:gridCol w:w="1112"/>
        <w:gridCol w:w="1428"/>
        <w:gridCol w:w="1558"/>
        <w:gridCol w:w="1213"/>
        <w:gridCol w:w="1555"/>
      </w:tblGrid>
      <w:tr>
        <w:trPr>
          <w:trHeight w:val="281" w:hRule="exact"/>
        </w:trPr>
        <w:tc>
          <w:tcPr>
            <w:tcW w:w="602" w:type="dxa"/>
            <w:vMerge w:val="restart"/>
            <w:tcBorders>
              <w:top w:val="single" w:sz="4" w:space="0" w:color="000000"/>
              <w:left w:val="single" w:sz="4" w:space="0" w:color="000000"/>
              <w:right w:val="single" w:sz="4" w:space="0" w:color="000000"/>
            </w:tcBorders>
          </w:tcPr>
          <w:p>
            <w:pPr>
              <w:pStyle w:val="TableParagraph"/>
              <w:spacing w:line="240" w:lineRule="auto" w:before="107"/>
              <w:ind w:left="86"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396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432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83" w:hRule="exact"/>
        </w:trPr>
        <w:tc>
          <w:tcPr>
            <w:tcW w:w="602" w:type="dxa"/>
            <w:vMerge/>
            <w:tcBorders>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 w:right="0"/>
              <w:jc w:val="center"/>
              <w:rPr>
                <w:rFonts w:ascii="宋体" w:hAnsi="宋体" w:cs="宋体" w:eastAsia="宋体" w:hint="default"/>
                <w:sz w:val="21"/>
                <w:szCs w:val="21"/>
              </w:rPr>
            </w:pPr>
            <w:r>
              <w:rPr>
                <w:rFonts w:ascii="宋体" w:hAnsi="宋体" w:cs="宋体" w:eastAsia="宋体" w:hint="default"/>
                <w:sz w:val="21"/>
                <w:szCs w:val="21"/>
              </w:rPr>
              <w:t>减值准备</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账面价值</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5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center"/>
              <w:rPr>
                <w:rFonts w:ascii="宋体" w:hAnsi="宋体" w:cs="宋体" w:eastAsia="宋体" w:hint="default"/>
                <w:sz w:val="21"/>
                <w:szCs w:val="21"/>
              </w:rPr>
            </w:pPr>
            <w:r>
              <w:rPr>
                <w:rFonts w:ascii="宋体" w:hAnsi="宋体" w:cs="宋体" w:eastAsia="宋体" w:hint="default"/>
                <w:sz w:val="21"/>
                <w:szCs w:val="21"/>
              </w:rPr>
              <w:t>减值准备</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50" w:right="0"/>
              <w:jc w:val="left"/>
              <w:rPr>
                <w:rFonts w:ascii="宋体" w:hAnsi="宋体" w:cs="宋体" w:eastAsia="宋体" w:hint="default"/>
                <w:sz w:val="21"/>
                <w:szCs w:val="21"/>
              </w:rPr>
            </w:pPr>
            <w:r>
              <w:rPr>
                <w:rFonts w:ascii="宋体" w:hAnsi="宋体" w:cs="宋体" w:eastAsia="宋体" w:hint="default"/>
                <w:sz w:val="21"/>
                <w:szCs w:val="21"/>
              </w:rPr>
              <w:t>账面价值</w:t>
            </w:r>
          </w:p>
        </w:tc>
      </w:tr>
      <w:tr>
        <w:trPr>
          <w:trHeight w:val="828" w:hRule="exact"/>
        </w:trPr>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对子</w:t>
            </w:r>
          </w:p>
          <w:p>
            <w:pPr>
              <w:pStyle w:val="TableParagraph"/>
              <w:spacing w:line="272" w:lineRule="exact" w:before="27"/>
              <w:ind w:left="26" w:right="141"/>
              <w:jc w:val="left"/>
              <w:rPr>
                <w:rFonts w:ascii="宋体" w:hAnsi="宋体" w:cs="宋体" w:eastAsia="宋体" w:hint="default"/>
                <w:sz w:val="21"/>
                <w:szCs w:val="21"/>
              </w:rPr>
            </w:pPr>
            <w:r>
              <w:rPr>
                <w:rFonts w:ascii="宋体" w:hAnsi="宋体" w:cs="宋体" w:eastAsia="宋体" w:hint="default"/>
                <w:sz w:val="21"/>
                <w:szCs w:val="21"/>
              </w:rPr>
              <w:t>公司</w:t>
            </w:r>
            <w:r>
              <w:rPr>
                <w:rFonts w:ascii="宋体" w:hAnsi="宋体" w:cs="宋体" w:eastAsia="宋体" w:hint="default"/>
                <w:spacing w:val="-103"/>
                <w:sz w:val="21"/>
                <w:szCs w:val="21"/>
              </w:rPr>
              <w:t> </w:t>
            </w:r>
            <w:r>
              <w:rPr>
                <w:rFonts w:ascii="宋体" w:hAnsi="宋体" w:cs="宋体" w:eastAsia="宋体" w:hint="default"/>
                <w:sz w:val="21"/>
                <w:szCs w:val="21"/>
              </w:rPr>
              <w:t>投资</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3,055,051,380</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 w:right="0"/>
              <w:jc w:val="center"/>
              <w:rPr>
                <w:rFonts w:ascii="宋体" w:hAnsi="宋体" w:cs="宋体" w:eastAsia="宋体" w:hint="default"/>
                <w:sz w:val="21"/>
                <w:szCs w:val="21"/>
              </w:rPr>
            </w:pPr>
            <w:r>
              <w:rPr>
                <w:rFonts w:ascii="宋体"/>
                <w:sz w:val="21"/>
              </w:rPr>
              <w:t>71,391,971</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2,983,659,409</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3"/>
              <w:jc w:val="right"/>
              <w:rPr>
                <w:rFonts w:ascii="宋体" w:hAnsi="宋体" w:cs="宋体" w:eastAsia="宋体" w:hint="default"/>
                <w:sz w:val="23"/>
                <w:szCs w:val="23"/>
              </w:rPr>
            </w:pPr>
            <w:r>
              <w:rPr>
                <w:rFonts w:ascii="宋体"/>
                <w:sz w:val="23"/>
              </w:rPr>
              <w:t>2,774,564,700</w:t>
            </w: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3"/>
                <w:szCs w:val="23"/>
              </w:rPr>
            </w:pPr>
            <w:r>
              <w:rPr>
                <w:rFonts w:ascii="宋体"/>
                <w:sz w:val="23"/>
              </w:rPr>
              <w:t>89,134,541</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3"/>
              <w:jc w:val="right"/>
              <w:rPr>
                <w:rFonts w:ascii="宋体" w:hAnsi="宋体" w:cs="宋体" w:eastAsia="宋体" w:hint="default"/>
                <w:sz w:val="23"/>
                <w:szCs w:val="23"/>
              </w:rPr>
            </w:pPr>
            <w:r>
              <w:rPr>
                <w:rFonts w:ascii="宋体"/>
                <w:sz w:val="23"/>
              </w:rPr>
              <w:t>2,685,430,159</w:t>
            </w:r>
          </w:p>
        </w:tc>
      </w:tr>
      <w:tr>
        <w:trPr>
          <w:trHeight w:val="1370" w:hRule="exact"/>
        </w:trPr>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对联</w:t>
            </w:r>
          </w:p>
          <w:p>
            <w:pPr>
              <w:pStyle w:val="TableParagraph"/>
              <w:spacing w:line="237" w:lineRule="auto"/>
              <w:ind w:left="26" w:right="21"/>
              <w:jc w:val="left"/>
              <w:rPr>
                <w:rFonts w:ascii="宋体" w:hAnsi="宋体" w:cs="宋体" w:eastAsia="宋体" w:hint="default"/>
                <w:sz w:val="21"/>
                <w:szCs w:val="21"/>
              </w:rPr>
            </w:pPr>
            <w:r>
              <w:rPr>
                <w:rFonts w:ascii="宋体" w:hAnsi="宋体" w:cs="宋体" w:eastAsia="宋体" w:hint="default"/>
                <w:spacing w:val="-31"/>
                <w:w w:val="100"/>
                <w:sz w:val="21"/>
                <w:szCs w:val="21"/>
              </w:rPr>
              <w:t>营、合</w:t>
            </w:r>
            <w:r>
              <w:rPr>
                <w:rFonts w:ascii="宋体" w:hAnsi="宋体" w:cs="宋体" w:eastAsia="宋体" w:hint="default"/>
                <w:w w:val="100"/>
                <w:sz w:val="21"/>
                <w:szCs w:val="21"/>
              </w:rPr>
              <w:t> </w:t>
            </w:r>
            <w:r>
              <w:rPr>
                <w:rFonts w:ascii="宋体" w:hAnsi="宋体" w:cs="宋体" w:eastAsia="宋体" w:hint="default"/>
                <w:sz w:val="21"/>
                <w:szCs w:val="21"/>
              </w:rPr>
              <w:t>营企</w:t>
            </w:r>
            <w:r>
              <w:rPr>
                <w:rFonts w:ascii="宋体" w:hAnsi="宋体" w:cs="宋体" w:eastAsia="宋体" w:hint="default"/>
                <w:spacing w:val="-103"/>
                <w:sz w:val="21"/>
                <w:szCs w:val="21"/>
              </w:rPr>
              <w:t> </w:t>
            </w:r>
            <w:r>
              <w:rPr>
                <w:rFonts w:ascii="宋体" w:hAnsi="宋体" w:cs="宋体" w:eastAsia="宋体" w:hint="default"/>
                <w:sz w:val="21"/>
                <w:szCs w:val="21"/>
              </w:rPr>
              <w:t>业投</w:t>
            </w:r>
            <w:r>
              <w:rPr>
                <w:rFonts w:ascii="宋体" w:hAnsi="宋体" w:cs="宋体" w:eastAsia="宋体" w:hint="default"/>
                <w:spacing w:val="-103"/>
                <w:sz w:val="21"/>
                <w:szCs w:val="21"/>
              </w:rPr>
              <w:t> </w:t>
            </w:r>
            <w:r>
              <w:rPr>
                <w:rFonts w:ascii="宋体" w:hAnsi="宋体" w:cs="宋体" w:eastAsia="宋体" w:hint="default"/>
                <w:sz w:val="21"/>
                <w:szCs w:val="21"/>
              </w:rPr>
              <w:t>资</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1,494,735,538</w:t>
            </w:r>
          </w:p>
        </w:tc>
        <w:tc>
          <w:tcPr>
            <w:tcW w:w="111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1,494,735,538</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3"/>
              <w:jc w:val="right"/>
              <w:rPr>
                <w:rFonts w:ascii="宋体" w:hAnsi="宋体" w:cs="宋体" w:eastAsia="宋体" w:hint="default"/>
                <w:sz w:val="23"/>
                <w:szCs w:val="23"/>
              </w:rPr>
            </w:pPr>
            <w:r>
              <w:rPr>
                <w:rFonts w:ascii="宋体"/>
                <w:sz w:val="23"/>
              </w:rPr>
              <w:t>122,585,311</w:t>
            </w:r>
          </w:p>
        </w:tc>
        <w:tc>
          <w:tcPr>
            <w:tcW w:w="1213"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3"/>
              <w:jc w:val="right"/>
              <w:rPr>
                <w:rFonts w:ascii="宋体" w:hAnsi="宋体" w:cs="宋体" w:eastAsia="宋体" w:hint="default"/>
                <w:sz w:val="23"/>
                <w:szCs w:val="23"/>
              </w:rPr>
            </w:pPr>
            <w:r>
              <w:rPr>
                <w:rFonts w:ascii="宋体"/>
                <w:sz w:val="23"/>
              </w:rPr>
              <w:t>122,585,311</w:t>
            </w:r>
          </w:p>
        </w:tc>
      </w:tr>
      <w:tr>
        <w:trPr>
          <w:trHeight w:val="581" w:hRule="exact"/>
        </w:trPr>
        <w:tc>
          <w:tcPr>
            <w:tcW w:w="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86"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4,549,786,918</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 w:right="0"/>
              <w:jc w:val="center"/>
              <w:rPr>
                <w:rFonts w:ascii="宋体" w:hAnsi="宋体" w:cs="宋体" w:eastAsia="宋体" w:hint="default"/>
                <w:sz w:val="21"/>
                <w:szCs w:val="21"/>
              </w:rPr>
            </w:pPr>
            <w:r>
              <w:rPr>
                <w:rFonts w:ascii="宋体"/>
                <w:sz w:val="21"/>
              </w:rPr>
              <w:t>71,391,971</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4,478,394,947</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3"/>
              <w:jc w:val="right"/>
              <w:rPr>
                <w:rFonts w:ascii="宋体" w:hAnsi="宋体" w:cs="宋体" w:eastAsia="宋体" w:hint="default"/>
                <w:sz w:val="23"/>
                <w:szCs w:val="23"/>
              </w:rPr>
            </w:pPr>
            <w:r>
              <w:rPr>
                <w:rFonts w:ascii="宋体"/>
                <w:sz w:val="23"/>
              </w:rPr>
              <w:t>2,897,150,011</w:t>
            </w: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3"/>
                <w:szCs w:val="23"/>
              </w:rPr>
            </w:pPr>
            <w:r>
              <w:rPr>
                <w:rFonts w:ascii="宋体"/>
                <w:sz w:val="23"/>
              </w:rPr>
              <w:t>89,134,541</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3"/>
              <w:jc w:val="right"/>
              <w:rPr>
                <w:rFonts w:ascii="宋体" w:hAnsi="宋体" w:cs="宋体" w:eastAsia="宋体" w:hint="default"/>
                <w:sz w:val="23"/>
                <w:szCs w:val="23"/>
              </w:rPr>
            </w:pPr>
            <w:r>
              <w:rPr>
                <w:rFonts w:ascii="宋体"/>
                <w:sz w:val="23"/>
              </w:rPr>
              <w:t>2,808,015,470</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320" w:bottom="1380" w:left="1580" w:right="1040"/>
        </w:sectPr>
      </w:pPr>
    </w:p>
    <w:p>
      <w:pPr>
        <w:pStyle w:val="Heading3"/>
        <w:spacing w:line="240" w:lineRule="auto" w:before="36"/>
        <w:ind w:right="-20"/>
        <w:jc w:val="left"/>
        <w:rPr>
          <w:b w:val="0"/>
          <w:bCs w:val="0"/>
        </w:rPr>
      </w:pPr>
      <w:r>
        <w:rPr>
          <w:rFonts w:ascii="宋体" w:hAnsi="宋体" w:cs="宋体" w:eastAsia="宋体" w:hint="default"/>
        </w:rPr>
        <w:t>(1)</w:t>
      </w:r>
      <w:r>
        <w:rPr>
          <w:rFonts w:ascii="宋体" w:hAnsi="宋体" w:cs="宋体" w:eastAsia="宋体" w:hint="default"/>
          <w:spacing w:val="3"/>
        </w:rPr>
        <w:t> </w:t>
      </w:r>
      <w:r>
        <w:rPr/>
        <w:t>对子公司投资</w:t>
      </w:r>
      <w:r>
        <w:rPr>
          <w:b w:val="0"/>
          <w:bCs w:val="0"/>
        </w:rPr>
      </w:r>
    </w:p>
    <w:p>
      <w:pPr>
        <w:pStyle w:val="BodyText"/>
        <w:spacing w:line="240" w:lineRule="auto" w:before="59"/>
        <w:ind w:right="-20"/>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9"/>
          <w:szCs w:val="29"/>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1911" w:space="4822"/>
            <w:col w:w="2557"/>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882"/>
        <w:gridCol w:w="1357"/>
        <w:gridCol w:w="1181"/>
        <w:gridCol w:w="1092"/>
        <w:gridCol w:w="1354"/>
        <w:gridCol w:w="1093"/>
        <w:gridCol w:w="1092"/>
      </w:tblGrid>
      <w:tr>
        <w:trPr>
          <w:trHeight w:val="554"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410" w:right="0"/>
              <w:jc w:val="left"/>
              <w:rPr>
                <w:rFonts w:ascii="宋体" w:hAnsi="宋体" w:cs="宋体" w:eastAsia="宋体" w:hint="default"/>
                <w:sz w:val="21"/>
                <w:szCs w:val="21"/>
              </w:rPr>
            </w:pPr>
            <w:r>
              <w:rPr>
                <w:rFonts w:ascii="宋体" w:hAnsi="宋体" w:cs="宋体" w:eastAsia="宋体" w:hint="default"/>
                <w:sz w:val="21"/>
                <w:szCs w:val="21"/>
              </w:rPr>
              <w:t>被投资单位</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65"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20"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51"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19" w:right="0"/>
              <w:jc w:val="left"/>
              <w:rPr>
                <w:rFonts w:ascii="宋体" w:hAnsi="宋体" w:cs="宋体" w:eastAsia="宋体" w:hint="default"/>
                <w:sz w:val="21"/>
                <w:szCs w:val="21"/>
              </w:rPr>
            </w:pPr>
            <w:r>
              <w:rPr>
                <w:rFonts w:ascii="宋体" w:hAnsi="宋体" w:cs="宋体" w:eastAsia="宋体" w:hint="default"/>
                <w:sz w:val="21"/>
                <w:szCs w:val="21"/>
              </w:rPr>
              <w:t>本期计提</w:t>
            </w:r>
          </w:p>
          <w:p>
            <w:pPr>
              <w:pStyle w:val="TableParagraph"/>
              <w:spacing w:line="273" w:lineRule="exact"/>
              <w:ind w:left="119" w:right="0"/>
              <w:jc w:val="left"/>
              <w:rPr>
                <w:rFonts w:ascii="宋体" w:hAnsi="宋体" w:cs="宋体" w:eastAsia="宋体" w:hint="default"/>
                <w:sz w:val="21"/>
                <w:szCs w:val="21"/>
              </w:rPr>
            </w:pPr>
            <w:r>
              <w:rPr>
                <w:rFonts w:ascii="宋体" w:hAnsi="宋体" w:cs="宋体" w:eastAsia="宋体" w:hint="default"/>
                <w:sz w:val="21"/>
                <w:szCs w:val="21"/>
              </w:rPr>
              <w:t>减值准备</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20" w:right="0"/>
              <w:jc w:val="left"/>
              <w:rPr>
                <w:rFonts w:ascii="宋体" w:hAnsi="宋体" w:cs="宋体" w:eastAsia="宋体" w:hint="default"/>
                <w:sz w:val="21"/>
                <w:szCs w:val="21"/>
              </w:rPr>
            </w:pPr>
            <w:r>
              <w:rPr>
                <w:rFonts w:ascii="宋体" w:hAnsi="宋体" w:cs="宋体" w:eastAsia="宋体" w:hint="default"/>
                <w:sz w:val="21"/>
                <w:szCs w:val="21"/>
              </w:rPr>
              <w:t>减值准备</w:t>
            </w:r>
          </w:p>
          <w:p>
            <w:pPr>
              <w:pStyle w:val="TableParagraph"/>
              <w:spacing w:line="273" w:lineRule="exact"/>
              <w:ind w:left="120"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554"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用友政务</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99"/>
              <w:jc w:val="right"/>
              <w:rPr>
                <w:rFonts w:ascii="宋体" w:hAnsi="宋体" w:cs="宋体" w:eastAsia="宋体" w:hint="default"/>
                <w:sz w:val="21"/>
                <w:szCs w:val="21"/>
              </w:rPr>
            </w:pPr>
            <w:r>
              <w:rPr>
                <w:rFonts w:ascii="宋体"/>
                <w:spacing w:val="-1"/>
                <w:sz w:val="21"/>
              </w:rPr>
              <w:t>496,252,99</w:t>
            </w:r>
          </w:p>
          <w:p>
            <w:pPr>
              <w:pStyle w:val="TableParagraph"/>
              <w:spacing w:line="273" w:lineRule="exact"/>
              <w:ind w:right="101"/>
              <w:jc w:val="right"/>
              <w:rPr>
                <w:rFonts w:ascii="宋体" w:hAnsi="宋体" w:cs="宋体" w:eastAsia="宋体" w:hint="default"/>
                <w:sz w:val="21"/>
                <w:szCs w:val="21"/>
              </w:rPr>
            </w:pPr>
            <w:r>
              <w:rPr>
                <w:rFonts w:ascii="宋体"/>
                <w:w w:val="100"/>
                <w:sz w:val="21"/>
              </w:rPr>
              <w:t>2</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96"/>
              <w:jc w:val="right"/>
              <w:rPr>
                <w:rFonts w:ascii="宋体" w:hAnsi="宋体" w:cs="宋体" w:eastAsia="宋体" w:hint="default"/>
                <w:sz w:val="21"/>
                <w:szCs w:val="21"/>
              </w:rPr>
            </w:pPr>
            <w:r>
              <w:rPr>
                <w:rFonts w:ascii="宋体"/>
                <w:spacing w:val="-1"/>
                <w:sz w:val="21"/>
              </w:rPr>
              <w:t>496,252,99</w:t>
            </w:r>
          </w:p>
          <w:p>
            <w:pPr>
              <w:pStyle w:val="TableParagraph"/>
              <w:spacing w:line="273" w:lineRule="exact"/>
              <w:ind w:right="98"/>
              <w:jc w:val="right"/>
              <w:rPr>
                <w:rFonts w:ascii="宋体" w:hAnsi="宋体" w:cs="宋体" w:eastAsia="宋体" w:hint="default"/>
                <w:sz w:val="21"/>
                <w:szCs w:val="21"/>
              </w:rPr>
            </w:pPr>
            <w:r>
              <w:rPr>
                <w:rFonts w:ascii="宋体"/>
                <w:w w:val="100"/>
                <w:sz w:val="21"/>
              </w:rPr>
              <w:t>2</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用友汽车</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pacing w:val="-1"/>
                <w:sz w:val="21"/>
              </w:rPr>
              <w:t>486,090,00</w:t>
            </w:r>
          </w:p>
          <w:p>
            <w:pPr>
              <w:pStyle w:val="TableParagraph"/>
              <w:spacing w:line="274" w:lineRule="exact"/>
              <w:ind w:right="101"/>
              <w:jc w:val="right"/>
              <w:rPr>
                <w:rFonts w:ascii="宋体" w:hAnsi="宋体" w:cs="宋体" w:eastAsia="宋体" w:hint="default"/>
                <w:sz w:val="21"/>
                <w:szCs w:val="21"/>
              </w:rPr>
            </w:pPr>
            <w:r>
              <w:rPr>
                <w:rFonts w:ascii="宋体"/>
                <w:w w:val="100"/>
                <w:sz w:val="21"/>
              </w:rPr>
              <w:t>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6"/>
              <w:jc w:val="right"/>
              <w:rPr>
                <w:rFonts w:ascii="宋体" w:hAnsi="宋体" w:cs="宋体" w:eastAsia="宋体" w:hint="default"/>
                <w:sz w:val="21"/>
                <w:szCs w:val="21"/>
              </w:rPr>
            </w:pPr>
            <w:r>
              <w:rPr>
                <w:rFonts w:ascii="宋体"/>
                <w:spacing w:val="-1"/>
                <w:sz w:val="21"/>
              </w:rPr>
              <w:t>486,090,00</w:t>
            </w:r>
          </w:p>
          <w:p>
            <w:pPr>
              <w:pStyle w:val="TableParagraph"/>
              <w:spacing w:line="274" w:lineRule="exact"/>
              <w:ind w:right="98"/>
              <w:jc w:val="right"/>
              <w:rPr>
                <w:rFonts w:ascii="宋体" w:hAnsi="宋体" w:cs="宋体" w:eastAsia="宋体" w:hint="default"/>
                <w:sz w:val="21"/>
                <w:szCs w:val="21"/>
              </w:rPr>
            </w:pPr>
            <w:r>
              <w:rPr>
                <w:rFonts w:ascii="宋体"/>
                <w:w w:val="100"/>
                <w:sz w:val="21"/>
              </w:rPr>
              <w:t>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畅捷支付</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0" w:right="0"/>
              <w:jc w:val="center"/>
              <w:rPr>
                <w:rFonts w:ascii="宋体" w:hAnsi="宋体" w:cs="宋体" w:eastAsia="宋体" w:hint="default"/>
                <w:sz w:val="21"/>
                <w:szCs w:val="21"/>
              </w:rPr>
            </w:pPr>
            <w:r>
              <w:rPr>
                <w:rFonts w:ascii="宋体"/>
                <w:sz w:val="21"/>
              </w:rPr>
              <w:t>80,925,000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8"/>
              <w:jc w:val="right"/>
              <w:rPr>
                <w:rFonts w:ascii="宋体" w:hAnsi="宋体" w:cs="宋体" w:eastAsia="宋体" w:hint="default"/>
                <w:sz w:val="21"/>
                <w:szCs w:val="21"/>
              </w:rPr>
            </w:pPr>
            <w:r>
              <w:rPr>
                <w:rFonts w:ascii="宋体"/>
                <w:spacing w:val="-1"/>
                <w:sz w:val="21"/>
              </w:rPr>
              <w:t>195,560,8</w:t>
            </w:r>
          </w:p>
          <w:p>
            <w:pPr>
              <w:pStyle w:val="TableParagraph"/>
              <w:spacing w:line="274" w:lineRule="exact"/>
              <w:ind w:right="101"/>
              <w:jc w:val="right"/>
              <w:rPr>
                <w:rFonts w:ascii="宋体" w:hAnsi="宋体" w:cs="宋体" w:eastAsia="宋体" w:hint="default"/>
                <w:sz w:val="21"/>
                <w:szCs w:val="21"/>
              </w:rPr>
            </w:pPr>
            <w:r>
              <w:rPr>
                <w:rFonts w:ascii="宋体"/>
                <w:sz w:val="21"/>
              </w:rPr>
              <w:t>49</w:t>
            </w: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6"/>
              <w:jc w:val="right"/>
              <w:rPr>
                <w:rFonts w:ascii="宋体" w:hAnsi="宋体" w:cs="宋体" w:eastAsia="宋体" w:hint="default"/>
                <w:sz w:val="21"/>
                <w:szCs w:val="21"/>
              </w:rPr>
            </w:pPr>
            <w:r>
              <w:rPr>
                <w:rFonts w:ascii="宋体"/>
                <w:spacing w:val="-1"/>
                <w:sz w:val="21"/>
              </w:rPr>
              <w:t>276,485,84</w:t>
            </w:r>
          </w:p>
          <w:p>
            <w:pPr>
              <w:pStyle w:val="TableParagraph"/>
              <w:spacing w:line="274" w:lineRule="exact"/>
              <w:ind w:right="98"/>
              <w:jc w:val="right"/>
              <w:rPr>
                <w:rFonts w:ascii="宋体" w:hAnsi="宋体" w:cs="宋体" w:eastAsia="宋体" w:hint="default"/>
                <w:sz w:val="21"/>
                <w:szCs w:val="21"/>
              </w:rPr>
            </w:pPr>
            <w:r>
              <w:rPr>
                <w:rFonts w:ascii="宋体"/>
                <w:w w:val="100"/>
                <w:sz w:val="21"/>
              </w:rPr>
              <w:t>9</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555"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创新投资</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pacing w:val="-1"/>
                <w:sz w:val="21"/>
              </w:rPr>
              <w:t>227,700,00</w:t>
            </w:r>
          </w:p>
          <w:p>
            <w:pPr>
              <w:pStyle w:val="TableParagraph"/>
              <w:spacing w:line="274" w:lineRule="exact"/>
              <w:ind w:right="101"/>
              <w:jc w:val="right"/>
              <w:rPr>
                <w:rFonts w:ascii="宋体" w:hAnsi="宋体" w:cs="宋体" w:eastAsia="宋体" w:hint="default"/>
                <w:sz w:val="21"/>
                <w:szCs w:val="21"/>
              </w:rPr>
            </w:pPr>
            <w:r>
              <w:rPr>
                <w:rFonts w:ascii="宋体"/>
                <w:w w:val="100"/>
                <w:sz w:val="21"/>
              </w:rPr>
              <w:t>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6"/>
              <w:jc w:val="right"/>
              <w:rPr>
                <w:rFonts w:ascii="宋体" w:hAnsi="宋体" w:cs="宋体" w:eastAsia="宋体" w:hint="default"/>
                <w:sz w:val="21"/>
                <w:szCs w:val="21"/>
              </w:rPr>
            </w:pPr>
            <w:r>
              <w:rPr>
                <w:rFonts w:ascii="宋体"/>
                <w:spacing w:val="-1"/>
                <w:sz w:val="21"/>
              </w:rPr>
              <w:t>227,700,00</w:t>
            </w:r>
          </w:p>
          <w:p>
            <w:pPr>
              <w:pStyle w:val="TableParagraph"/>
              <w:spacing w:line="274" w:lineRule="exact"/>
              <w:ind w:right="98"/>
              <w:jc w:val="right"/>
              <w:rPr>
                <w:rFonts w:ascii="宋体" w:hAnsi="宋体" w:cs="宋体" w:eastAsia="宋体" w:hint="default"/>
                <w:sz w:val="21"/>
                <w:szCs w:val="21"/>
              </w:rPr>
            </w:pPr>
            <w:r>
              <w:rPr>
                <w:rFonts w:ascii="宋体"/>
                <w:w w:val="100"/>
                <w:sz w:val="21"/>
              </w:rPr>
              <w:t>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畅捷通</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pacing w:val="-1"/>
                <w:sz w:val="21"/>
              </w:rPr>
              <w:t>220,060,62</w:t>
            </w:r>
          </w:p>
          <w:p>
            <w:pPr>
              <w:pStyle w:val="TableParagraph"/>
              <w:spacing w:line="274" w:lineRule="exact"/>
              <w:ind w:right="101"/>
              <w:jc w:val="right"/>
              <w:rPr>
                <w:rFonts w:ascii="宋体" w:hAnsi="宋体" w:cs="宋体" w:eastAsia="宋体" w:hint="default"/>
                <w:sz w:val="21"/>
                <w:szCs w:val="21"/>
              </w:rPr>
            </w:pPr>
            <w:r>
              <w:rPr>
                <w:rFonts w:ascii="宋体"/>
                <w:w w:val="100"/>
                <w:sz w:val="21"/>
              </w:rPr>
              <w:t>3</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6"/>
              <w:jc w:val="right"/>
              <w:rPr>
                <w:rFonts w:ascii="宋体" w:hAnsi="宋体" w:cs="宋体" w:eastAsia="宋体" w:hint="default"/>
                <w:sz w:val="21"/>
                <w:szCs w:val="21"/>
              </w:rPr>
            </w:pPr>
            <w:r>
              <w:rPr>
                <w:rFonts w:ascii="宋体"/>
                <w:spacing w:val="-1"/>
                <w:sz w:val="21"/>
              </w:rPr>
              <w:t>220,060,62</w:t>
            </w:r>
          </w:p>
          <w:p>
            <w:pPr>
              <w:pStyle w:val="TableParagraph"/>
              <w:spacing w:line="274" w:lineRule="exact"/>
              <w:ind w:right="98"/>
              <w:jc w:val="right"/>
              <w:rPr>
                <w:rFonts w:ascii="宋体" w:hAnsi="宋体" w:cs="宋体" w:eastAsia="宋体" w:hint="default"/>
                <w:sz w:val="21"/>
                <w:szCs w:val="21"/>
              </w:rPr>
            </w:pPr>
            <w:r>
              <w:rPr>
                <w:rFonts w:ascii="宋体"/>
                <w:w w:val="100"/>
                <w:sz w:val="21"/>
              </w:rPr>
              <w:t>3</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320" w:bottom="1380" w:left="1580" w:right="1040"/>
        </w:sectPr>
      </w:pPr>
    </w:p>
    <w:p>
      <w:pPr>
        <w:spacing w:line="240" w:lineRule="auto" w:before="1"/>
        <w:rPr>
          <w:rFonts w:ascii="Times New Roman" w:hAnsi="Times New Roman" w:cs="Times New Roman" w:eastAsia="Times New Roman" w:hint="default"/>
          <w:sz w:val="20"/>
          <w:szCs w:val="20"/>
        </w:rPr>
      </w:pPr>
    </w:p>
    <w:tbl>
      <w:tblPr>
        <w:tblW w:w="0" w:type="auto"/>
        <w:jc w:val="left"/>
        <w:tblInd w:w="105" w:type="dxa"/>
        <w:tblLayout w:type="fixed"/>
        <w:tblCellMar>
          <w:top w:w="0" w:type="dxa"/>
          <w:left w:w="0" w:type="dxa"/>
          <w:bottom w:w="0" w:type="dxa"/>
          <w:right w:w="0" w:type="dxa"/>
        </w:tblCellMar>
        <w:tblLook w:val="01E0"/>
      </w:tblPr>
      <w:tblGrid>
        <w:gridCol w:w="1882"/>
        <w:gridCol w:w="1357"/>
        <w:gridCol w:w="1181"/>
        <w:gridCol w:w="1092"/>
        <w:gridCol w:w="1354"/>
        <w:gridCol w:w="1093"/>
        <w:gridCol w:w="1092"/>
      </w:tblGrid>
      <w:tr>
        <w:trPr>
          <w:trHeight w:val="557"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103" w:right="0"/>
              <w:jc w:val="left"/>
              <w:rPr>
                <w:rFonts w:ascii="宋体" w:hAnsi="宋体" w:cs="宋体" w:eastAsia="宋体" w:hint="default"/>
                <w:sz w:val="21"/>
                <w:szCs w:val="21"/>
              </w:rPr>
            </w:pPr>
            <w:r>
              <w:rPr>
                <w:rFonts w:ascii="宋体" w:hAnsi="宋体" w:cs="宋体" w:eastAsia="宋体" w:hint="default"/>
                <w:sz w:val="21"/>
                <w:szCs w:val="21"/>
              </w:rPr>
              <w:t>用友优普</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right="99"/>
              <w:jc w:val="right"/>
              <w:rPr>
                <w:rFonts w:ascii="宋体" w:hAnsi="宋体" w:cs="宋体" w:eastAsia="宋体" w:hint="default"/>
                <w:sz w:val="21"/>
                <w:szCs w:val="21"/>
              </w:rPr>
            </w:pPr>
            <w:r>
              <w:rPr>
                <w:rFonts w:ascii="宋体"/>
                <w:spacing w:val="-1"/>
                <w:sz w:val="21"/>
              </w:rPr>
              <w:t>200,000,00</w:t>
            </w:r>
          </w:p>
          <w:p>
            <w:pPr>
              <w:pStyle w:val="TableParagraph"/>
              <w:spacing w:line="273" w:lineRule="exact"/>
              <w:ind w:right="101"/>
              <w:jc w:val="right"/>
              <w:rPr>
                <w:rFonts w:ascii="宋体" w:hAnsi="宋体" w:cs="宋体" w:eastAsia="宋体" w:hint="default"/>
                <w:sz w:val="21"/>
                <w:szCs w:val="21"/>
              </w:rPr>
            </w:pPr>
            <w:r>
              <w:rPr>
                <w:rFonts w:ascii="宋体"/>
                <w:w w:val="100"/>
                <w:sz w:val="21"/>
              </w:rPr>
              <w:t>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right="96"/>
              <w:jc w:val="right"/>
              <w:rPr>
                <w:rFonts w:ascii="宋体" w:hAnsi="宋体" w:cs="宋体" w:eastAsia="宋体" w:hint="default"/>
                <w:sz w:val="21"/>
                <w:szCs w:val="21"/>
              </w:rPr>
            </w:pPr>
            <w:r>
              <w:rPr>
                <w:rFonts w:ascii="宋体"/>
                <w:spacing w:val="-1"/>
                <w:sz w:val="21"/>
              </w:rPr>
              <w:t>200,000,00</w:t>
            </w:r>
          </w:p>
          <w:p>
            <w:pPr>
              <w:pStyle w:val="TableParagraph"/>
              <w:spacing w:line="273" w:lineRule="exact"/>
              <w:ind w:right="98"/>
              <w:jc w:val="right"/>
              <w:rPr>
                <w:rFonts w:ascii="宋体" w:hAnsi="宋体" w:cs="宋体" w:eastAsia="宋体" w:hint="default"/>
                <w:sz w:val="21"/>
                <w:szCs w:val="21"/>
              </w:rPr>
            </w:pPr>
            <w:r>
              <w:rPr>
                <w:rFonts w:ascii="宋体"/>
                <w:w w:val="100"/>
                <w:sz w:val="21"/>
              </w:rPr>
              <w:t>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秉钧网络</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99"/>
              <w:jc w:val="right"/>
              <w:rPr>
                <w:rFonts w:ascii="宋体" w:hAnsi="宋体" w:cs="宋体" w:eastAsia="宋体" w:hint="default"/>
                <w:sz w:val="21"/>
                <w:szCs w:val="21"/>
              </w:rPr>
            </w:pPr>
            <w:r>
              <w:rPr>
                <w:rFonts w:ascii="宋体"/>
                <w:spacing w:val="-1"/>
                <w:sz w:val="21"/>
              </w:rPr>
              <w:t>175,000,00</w:t>
            </w:r>
          </w:p>
          <w:p>
            <w:pPr>
              <w:pStyle w:val="TableParagraph"/>
              <w:spacing w:line="273" w:lineRule="exact"/>
              <w:ind w:right="101"/>
              <w:jc w:val="right"/>
              <w:rPr>
                <w:rFonts w:ascii="宋体" w:hAnsi="宋体" w:cs="宋体" w:eastAsia="宋体" w:hint="default"/>
                <w:sz w:val="21"/>
                <w:szCs w:val="21"/>
              </w:rPr>
            </w:pPr>
            <w:r>
              <w:rPr>
                <w:rFonts w:ascii="宋体"/>
                <w:w w:val="100"/>
                <w:sz w:val="21"/>
              </w:rPr>
              <w:t>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96"/>
              <w:jc w:val="right"/>
              <w:rPr>
                <w:rFonts w:ascii="宋体" w:hAnsi="宋体" w:cs="宋体" w:eastAsia="宋体" w:hint="default"/>
                <w:sz w:val="21"/>
                <w:szCs w:val="21"/>
              </w:rPr>
            </w:pPr>
            <w:r>
              <w:rPr>
                <w:rFonts w:ascii="宋体"/>
                <w:spacing w:val="-1"/>
                <w:sz w:val="21"/>
              </w:rPr>
              <w:t>175,000,00</w:t>
            </w:r>
          </w:p>
          <w:p>
            <w:pPr>
              <w:pStyle w:val="TableParagraph"/>
              <w:spacing w:line="273" w:lineRule="exact"/>
              <w:ind w:right="98"/>
              <w:jc w:val="right"/>
              <w:rPr>
                <w:rFonts w:ascii="宋体" w:hAnsi="宋体" w:cs="宋体" w:eastAsia="宋体" w:hint="default"/>
                <w:sz w:val="21"/>
                <w:szCs w:val="21"/>
              </w:rPr>
            </w:pPr>
            <w:r>
              <w:rPr>
                <w:rFonts w:ascii="宋体"/>
                <w:w w:val="100"/>
                <w:sz w:val="21"/>
              </w:rPr>
              <w:t>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三亚用友</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99"/>
              <w:jc w:val="right"/>
              <w:rPr>
                <w:rFonts w:ascii="宋体" w:hAnsi="宋体" w:cs="宋体" w:eastAsia="宋体" w:hint="default"/>
                <w:sz w:val="21"/>
                <w:szCs w:val="21"/>
              </w:rPr>
            </w:pPr>
            <w:r>
              <w:rPr>
                <w:rFonts w:ascii="宋体"/>
                <w:spacing w:val="-1"/>
                <w:sz w:val="21"/>
              </w:rPr>
              <w:t>100,000,00</w:t>
            </w:r>
          </w:p>
          <w:p>
            <w:pPr>
              <w:pStyle w:val="TableParagraph"/>
              <w:spacing w:line="273" w:lineRule="exact"/>
              <w:ind w:right="101"/>
              <w:jc w:val="right"/>
              <w:rPr>
                <w:rFonts w:ascii="宋体" w:hAnsi="宋体" w:cs="宋体" w:eastAsia="宋体" w:hint="default"/>
                <w:sz w:val="21"/>
                <w:szCs w:val="21"/>
              </w:rPr>
            </w:pPr>
            <w:r>
              <w:rPr>
                <w:rFonts w:ascii="宋体"/>
                <w:w w:val="100"/>
                <w:sz w:val="21"/>
              </w:rPr>
              <w:t>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96"/>
              <w:jc w:val="right"/>
              <w:rPr>
                <w:rFonts w:ascii="宋体" w:hAnsi="宋体" w:cs="宋体" w:eastAsia="宋体" w:hint="default"/>
                <w:sz w:val="21"/>
                <w:szCs w:val="21"/>
              </w:rPr>
            </w:pPr>
            <w:r>
              <w:rPr>
                <w:rFonts w:ascii="宋体"/>
                <w:spacing w:val="-1"/>
                <w:sz w:val="21"/>
              </w:rPr>
              <w:t>100,000,00</w:t>
            </w:r>
          </w:p>
          <w:p>
            <w:pPr>
              <w:pStyle w:val="TableParagraph"/>
              <w:spacing w:line="273" w:lineRule="exact"/>
              <w:ind w:right="98"/>
              <w:jc w:val="right"/>
              <w:rPr>
                <w:rFonts w:ascii="宋体" w:hAnsi="宋体" w:cs="宋体" w:eastAsia="宋体" w:hint="default"/>
                <w:sz w:val="21"/>
                <w:szCs w:val="21"/>
              </w:rPr>
            </w:pPr>
            <w:r>
              <w:rPr>
                <w:rFonts w:ascii="宋体"/>
                <w:w w:val="100"/>
                <w:sz w:val="21"/>
              </w:rPr>
              <w:t>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用友医疗</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80,000,000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80,000,000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用友（南昌）</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80,000,000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80,000,000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深圳用友</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63,000,000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63,000,000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用友超客</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60,000,000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60,000,000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98"/>
              <w:jc w:val="right"/>
              <w:rPr>
                <w:rFonts w:ascii="宋体" w:hAnsi="宋体" w:cs="宋体" w:eastAsia="宋体" w:hint="default"/>
                <w:sz w:val="21"/>
                <w:szCs w:val="21"/>
              </w:rPr>
            </w:pPr>
            <w:r>
              <w:rPr>
                <w:rFonts w:ascii="宋体"/>
                <w:spacing w:val="-1"/>
                <w:sz w:val="21"/>
              </w:rPr>
              <w:t>46,698,5</w:t>
            </w:r>
          </w:p>
          <w:p>
            <w:pPr>
              <w:pStyle w:val="TableParagraph"/>
              <w:spacing w:line="273" w:lineRule="exact"/>
              <w:ind w:right="101"/>
              <w:jc w:val="right"/>
              <w:rPr>
                <w:rFonts w:ascii="宋体" w:hAnsi="宋体" w:cs="宋体" w:eastAsia="宋体" w:hint="default"/>
                <w:sz w:val="21"/>
                <w:szCs w:val="21"/>
              </w:rPr>
            </w:pPr>
            <w:r>
              <w:rPr>
                <w:rFonts w:ascii="宋体"/>
                <w:sz w:val="21"/>
              </w:rPr>
              <w:t>00</w:t>
            </w:r>
          </w:p>
        </w:tc>
      </w:tr>
      <w:tr>
        <w:trPr>
          <w:trHeight w:val="555"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103" w:right="0"/>
              <w:jc w:val="left"/>
              <w:rPr>
                <w:rFonts w:ascii="宋体" w:hAnsi="宋体" w:cs="宋体" w:eastAsia="宋体" w:hint="default"/>
                <w:sz w:val="21"/>
                <w:szCs w:val="21"/>
              </w:rPr>
            </w:pPr>
            <w:r>
              <w:rPr>
                <w:rFonts w:ascii="宋体" w:hAnsi="宋体" w:cs="宋体" w:eastAsia="宋体" w:hint="default"/>
                <w:sz w:val="21"/>
                <w:szCs w:val="21"/>
              </w:rPr>
              <w:t>民太安保险</w:t>
            </w:r>
          </w:p>
        </w:tc>
        <w:tc>
          <w:tcPr>
            <w:tcW w:w="1357"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98"/>
              <w:jc w:val="right"/>
              <w:rPr>
                <w:rFonts w:ascii="宋体" w:hAnsi="宋体" w:cs="宋体" w:eastAsia="宋体" w:hint="default"/>
                <w:sz w:val="21"/>
                <w:szCs w:val="21"/>
              </w:rPr>
            </w:pPr>
            <w:r>
              <w:rPr>
                <w:rFonts w:ascii="宋体"/>
                <w:spacing w:val="-1"/>
                <w:sz w:val="21"/>
              </w:rPr>
              <w:t>59,760,00</w:t>
            </w:r>
          </w:p>
          <w:p>
            <w:pPr>
              <w:pStyle w:val="TableParagraph"/>
              <w:spacing w:line="273" w:lineRule="exact"/>
              <w:ind w:right="101"/>
              <w:jc w:val="right"/>
              <w:rPr>
                <w:rFonts w:ascii="宋体" w:hAnsi="宋体" w:cs="宋体" w:eastAsia="宋体" w:hint="default"/>
                <w:sz w:val="21"/>
                <w:szCs w:val="21"/>
              </w:rPr>
            </w:pPr>
            <w:r>
              <w:rPr>
                <w:rFonts w:ascii="宋体"/>
                <w:w w:val="100"/>
                <w:sz w:val="21"/>
              </w:rPr>
              <w:t>0</w:t>
            </w: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59,760,000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YONYOUINTERNATI</w:t>
            </w:r>
          </w:p>
          <w:p>
            <w:pPr>
              <w:pStyle w:val="TableParagraph"/>
              <w:spacing w:line="274" w:lineRule="exact"/>
              <w:ind w:left="103" w:right="0"/>
              <w:jc w:val="left"/>
              <w:rPr>
                <w:rFonts w:ascii="宋体" w:hAnsi="宋体" w:cs="宋体" w:eastAsia="宋体" w:hint="default"/>
                <w:sz w:val="21"/>
                <w:szCs w:val="21"/>
              </w:rPr>
            </w:pPr>
            <w:r>
              <w:rPr>
                <w:rFonts w:ascii="宋体"/>
                <w:sz w:val="21"/>
              </w:rPr>
              <w:t>ONAL</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59,260,659</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59,260,659</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8"/>
              <w:jc w:val="right"/>
              <w:rPr>
                <w:rFonts w:ascii="宋体" w:hAnsi="宋体" w:cs="宋体" w:eastAsia="宋体" w:hint="default"/>
                <w:sz w:val="21"/>
                <w:szCs w:val="21"/>
              </w:rPr>
            </w:pPr>
            <w:r>
              <w:rPr>
                <w:rFonts w:ascii="宋体"/>
                <w:spacing w:val="-1"/>
                <w:sz w:val="21"/>
              </w:rPr>
              <w:t>6,300,75</w:t>
            </w:r>
          </w:p>
          <w:p>
            <w:pPr>
              <w:pStyle w:val="TableParagraph"/>
              <w:spacing w:line="274" w:lineRule="exact"/>
              <w:ind w:right="101"/>
              <w:jc w:val="right"/>
              <w:rPr>
                <w:rFonts w:ascii="宋体" w:hAnsi="宋体" w:cs="宋体" w:eastAsia="宋体" w:hint="default"/>
                <w:sz w:val="21"/>
                <w:szCs w:val="21"/>
              </w:rPr>
            </w:pPr>
            <w:r>
              <w:rPr>
                <w:rFonts w:ascii="宋体"/>
                <w:w w:val="100"/>
                <w:sz w:val="21"/>
              </w:rPr>
              <w:t>5</w:t>
            </w:r>
          </w:p>
        </w:tc>
      </w:tr>
      <w:tr>
        <w:trPr>
          <w:trHeight w:val="283"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用友金融</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50,000,000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50,000,000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新道科技</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46,652,000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46,652,000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用友建筑</w:t>
            </w:r>
          </w:p>
        </w:tc>
        <w:tc>
          <w:tcPr>
            <w:tcW w:w="1357"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44,000,00</w:t>
            </w:r>
          </w:p>
          <w:p>
            <w:pPr>
              <w:pStyle w:val="TableParagraph"/>
              <w:spacing w:line="273" w:lineRule="exact"/>
              <w:ind w:right="101"/>
              <w:jc w:val="right"/>
              <w:rPr>
                <w:rFonts w:ascii="宋体" w:hAnsi="宋体" w:cs="宋体" w:eastAsia="宋体" w:hint="default"/>
                <w:sz w:val="21"/>
                <w:szCs w:val="21"/>
              </w:rPr>
            </w:pPr>
            <w:r>
              <w:rPr>
                <w:rFonts w:ascii="宋体"/>
                <w:w w:val="100"/>
                <w:sz w:val="21"/>
              </w:rPr>
              <w:t>0</w:t>
            </w: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44,000,000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用友广信</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40,000,000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40,000,000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用友能源</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40,000,000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40,000,000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友金所</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36,000,000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36,000,000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用友长伴</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30,000,000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30,000,000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薪福社</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30,000,000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30,000,000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红火台</w:t>
            </w:r>
          </w:p>
        </w:tc>
        <w:tc>
          <w:tcPr>
            <w:tcW w:w="1357"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98"/>
              <w:jc w:val="right"/>
              <w:rPr>
                <w:rFonts w:ascii="宋体" w:hAnsi="宋体" w:cs="宋体" w:eastAsia="宋体" w:hint="default"/>
                <w:sz w:val="21"/>
                <w:szCs w:val="21"/>
              </w:rPr>
            </w:pPr>
            <w:r>
              <w:rPr>
                <w:rFonts w:ascii="宋体"/>
                <w:spacing w:val="-1"/>
                <w:sz w:val="21"/>
              </w:rPr>
              <w:t>27,500,00</w:t>
            </w:r>
          </w:p>
          <w:p>
            <w:pPr>
              <w:pStyle w:val="TableParagraph"/>
              <w:spacing w:line="273" w:lineRule="exact"/>
              <w:ind w:right="101"/>
              <w:jc w:val="right"/>
              <w:rPr>
                <w:rFonts w:ascii="宋体" w:hAnsi="宋体" w:cs="宋体" w:eastAsia="宋体" w:hint="default"/>
                <w:sz w:val="21"/>
                <w:szCs w:val="21"/>
              </w:rPr>
            </w:pPr>
            <w:r>
              <w:rPr>
                <w:rFonts w:ascii="宋体"/>
                <w:w w:val="100"/>
                <w:sz w:val="21"/>
              </w:rPr>
              <w:t>0</w:t>
            </w: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27,500,000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江西用友</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20,000,000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20,000,000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用友移动</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15,100,000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15,100,000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厦门烟草</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14,600,000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14,600,000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用友审计</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13,685,542</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13,685,542</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用友云达</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10,000,000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10,000,000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10,000,0</w:t>
            </w:r>
          </w:p>
          <w:p>
            <w:pPr>
              <w:pStyle w:val="TableParagraph"/>
              <w:spacing w:line="273" w:lineRule="exact"/>
              <w:ind w:right="101"/>
              <w:jc w:val="right"/>
              <w:rPr>
                <w:rFonts w:ascii="宋体" w:hAnsi="宋体" w:cs="宋体" w:eastAsia="宋体" w:hint="default"/>
                <w:sz w:val="21"/>
                <w:szCs w:val="21"/>
              </w:rPr>
            </w:pPr>
            <w:r>
              <w:rPr>
                <w:rFonts w:ascii="宋体"/>
                <w:sz w:val="21"/>
              </w:rPr>
              <w:t>00</w:t>
            </w:r>
          </w:p>
        </w:tc>
      </w:tr>
      <w:tr>
        <w:trPr>
          <w:trHeight w:val="554"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用友艾福斯</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8,392,716</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8,392,716</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98"/>
              <w:jc w:val="right"/>
              <w:rPr>
                <w:rFonts w:ascii="宋体" w:hAnsi="宋体" w:cs="宋体" w:eastAsia="宋体" w:hint="default"/>
                <w:sz w:val="21"/>
                <w:szCs w:val="21"/>
              </w:rPr>
            </w:pPr>
            <w:r>
              <w:rPr>
                <w:rFonts w:ascii="宋体"/>
                <w:spacing w:val="-1"/>
                <w:sz w:val="21"/>
              </w:rPr>
              <w:t>8,392,71</w:t>
            </w:r>
          </w:p>
          <w:p>
            <w:pPr>
              <w:pStyle w:val="TableParagraph"/>
              <w:spacing w:line="273" w:lineRule="exact"/>
              <w:ind w:right="101"/>
              <w:jc w:val="right"/>
              <w:rPr>
                <w:rFonts w:ascii="宋体" w:hAnsi="宋体" w:cs="宋体" w:eastAsia="宋体" w:hint="default"/>
                <w:sz w:val="21"/>
                <w:szCs w:val="21"/>
              </w:rPr>
            </w:pPr>
            <w:r>
              <w:rPr>
                <w:rFonts w:ascii="宋体"/>
                <w:w w:val="100"/>
                <w:sz w:val="21"/>
              </w:rPr>
              <w:t>6</w:t>
            </w:r>
          </w:p>
        </w:tc>
      </w:tr>
      <w:tr>
        <w:trPr>
          <w:trHeight w:val="281"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广东用友</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7,890,000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7,890,000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天津用友</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7,019,999</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7,019,999</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浙江用友</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4,500,000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4,500,000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山东用友</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4,500,000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4,500,000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幸福投资</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3,750,000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3,750,000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沈阳用友</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2,700,000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2,700,000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大连用友</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2,700,000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2,700,000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广西用友</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2,700,000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2,700,000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湖南用友</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2,700,000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2,700,000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内蒙古用友</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2,700,000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2,700,000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滨海用友</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1,800,000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1,800,000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灏麓梵科技</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1,000,000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安徽用友</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876,000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876,000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重庆用友</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675,000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675,000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用友华表</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46,334,169</w:t>
            </w: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39" w:right="0"/>
              <w:jc w:val="left"/>
              <w:rPr>
                <w:rFonts w:ascii="宋体" w:hAnsi="宋体" w:cs="宋体" w:eastAsia="宋体" w:hint="default"/>
                <w:sz w:val="21"/>
                <w:szCs w:val="21"/>
              </w:rPr>
            </w:pPr>
            <w:r>
              <w:rPr>
                <w:rFonts w:ascii="宋体"/>
                <w:sz w:val="21"/>
              </w:rPr>
              <w:t>46,334,1</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39" w:right="0"/>
              <w:jc w:val="left"/>
              <w:rPr>
                <w:rFonts w:ascii="宋体" w:hAnsi="宋体" w:cs="宋体" w:eastAsia="宋体" w:hint="default"/>
                <w:sz w:val="21"/>
                <w:szCs w:val="21"/>
              </w:rPr>
            </w:pPr>
            <w:r>
              <w:rPr>
                <w:rFonts w:ascii="宋体"/>
                <w:sz w:val="21"/>
              </w:rPr>
              <w:t>17,742,5</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w:t>
            </w:r>
          </w:p>
        </w:tc>
      </w:tr>
    </w:tbl>
    <w:p>
      <w:pPr>
        <w:spacing w:after="0" w:line="241" w:lineRule="exact"/>
        <w:jc w:val="right"/>
        <w:rPr>
          <w:rFonts w:ascii="宋体" w:hAnsi="宋体" w:cs="宋体" w:eastAsia="宋体" w:hint="default"/>
          <w:sz w:val="21"/>
          <w:szCs w:val="21"/>
        </w:rPr>
        <w:sectPr>
          <w:pgSz w:w="11910" w:h="16840"/>
          <w:pgMar w:header="857" w:footer="1195" w:top="1280" w:bottom="1380" w:left="1580" w:right="1040"/>
        </w:sectPr>
      </w:pPr>
    </w:p>
    <w:p>
      <w:pPr>
        <w:spacing w:line="240" w:lineRule="auto" w:before="1"/>
        <w:rPr>
          <w:rFonts w:ascii="Times New Roman" w:hAnsi="Times New Roman" w:cs="Times New Roman" w:eastAsia="Times New Roman" w:hint="default"/>
          <w:sz w:val="20"/>
          <w:szCs w:val="20"/>
        </w:rPr>
      </w:pPr>
    </w:p>
    <w:tbl>
      <w:tblPr>
        <w:tblW w:w="0" w:type="auto"/>
        <w:jc w:val="left"/>
        <w:tblInd w:w="1665" w:type="dxa"/>
        <w:tblLayout w:type="fixed"/>
        <w:tblCellMar>
          <w:top w:w="0" w:type="dxa"/>
          <w:left w:w="0" w:type="dxa"/>
          <w:bottom w:w="0" w:type="dxa"/>
          <w:right w:w="0" w:type="dxa"/>
        </w:tblCellMar>
        <w:tblLook w:val="01E0"/>
      </w:tblPr>
      <w:tblGrid>
        <w:gridCol w:w="1882"/>
        <w:gridCol w:w="1357"/>
        <w:gridCol w:w="1181"/>
        <w:gridCol w:w="1092"/>
        <w:gridCol w:w="1354"/>
        <w:gridCol w:w="1093"/>
        <w:gridCol w:w="1092"/>
      </w:tblGrid>
      <w:tr>
        <w:trPr>
          <w:trHeight w:val="284" w:hRule="exact"/>
        </w:trPr>
        <w:tc>
          <w:tcPr>
            <w:tcW w:w="1882"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01"/>
              <w:jc w:val="right"/>
              <w:rPr>
                <w:rFonts w:ascii="宋体" w:hAnsi="宋体" w:cs="宋体" w:eastAsia="宋体" w:hint="default"/>
                <w:sz w:val="21"/>
                <w:szCs w:val="21"/>
              </w:rPr>
            </w:pPr>
            <w:r>
              <w:rPr>
                <w:rFonts w:ascii="宋体"/>
                <w:sz w:val="21"/>
              </w:rPr>
              <w:t>69</w:t>
            </w:r>
          </w:p>
        </w:tc>
        <w:tc>
          <w:tcPr>
            <w:tcW w:w="1354" w:type="dxa"/>
            <w:tcBorders>
              <w:top w:val="single" w:sz="4" w:space="0" w:color="000000"/>
              <w:left w:val="single" w:sz="4" w:space="0" w:color="000000"/>
              <w:bottom w:val="single" w:sz="4" w:space="0" w:color="000000"/>
              <w:right w:val="single" w:sz="4" w:space="0" w:color="000000"/>
            </w:tcBorders>
          </w:tcPr>
          <w:p>
            <w:pP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01"/>
              <w:jc w:val="right"/>
              <w:rPr>
                <w:rFonts w:ascii="宋体" w:hAnsi="宋体" w:cs="宋体" w:eastAsia="宋体" w:hint="default"/>
                <w:sz w:val="21"/>
                <w:szCs w:val="21"/>
              </w:rPr>
            </w:pPr>
            <w:r>
              <w:rPr>
                <w:rFonts w:ascii="宋体"/>
                <w:sz w:val="21"/>
              </w:rPr>
              <w:t>70</w:t>
            </w: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82"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882"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82"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
        </w:tc>
        <w:tc>
          <w:tcPr>
            <w:tcW w:w="109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pacing w:val="-1"/>
                <w:sz w:val="21"/>
              </w:rPr>
              <w:t>2,774,564,</w:t>
            </w:r>
          </w:p>
          <w:p>
            <w:pPr>
              <w:pStyle w:val="TableParagraph"/>
              <w:spacing w:line="274" w:lineRule="exact"/>
              <w:ind w:right="98"/>
              <w:jc w:val="right"/>
              <w:rPr>
                <w:rFonts w:ascii="宋体" w:hAnsi="宋体" w:cs="宋体" w:eastAsia="宋体" w:hint="default"/>
                <w:sz w:val="21"/>
                <w:szCs w:val="21"/>
              </w:rPr>
            </w:pPr>
            <w:r>
              <w:rPr>
                <w:rFonts w:ascii="宋体"/>
                <w:sz w:val="21"/>
              </w:rPr>
              <w:t>700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8"/>
              <w:jc w:val="right"/>
              <w:rPr>
                <w:rFonts w:ascii="宋体" w:hAnsi="宋体" w:cs="宋体" w:eastAsia="宋体" w:hint="default"/>
                <w:sz w:val="21"/>
                <w:szCs w:val="21"/>
              </w:rPr>
            </w:pPr>
            <w:r>
              <w:rPr>
                <w:rFonts w:ascii="宋体"/>
                <w:spacing w:val="-1"/>
                <w:sz w:val="21"/>
              </w:rPr>
              <w:t>326,820,8</w:t>
            </w:r>
          </w:p>
          <w:p>
            <w:pPr>
              <w:pStyle w:val="TableParagraph"/>
              <w:spacing w:line="274" w:lineRule="exact"/>
              <w:ind w:right="101"/>
              <w:jc w:val="right"/>
              <w:rPr>
                <w:rFonts w:ascii="宋体" w:hAnsi="宋体" w:cs="宋体" w:eastAsia="宋体" w:hint="default"/>
                <w:sz w:val="21"/>
                <w:szCs w:val="21"/>
              </w:rPr>
            </w:pPr>
            <w:r>
              <w:rPr>
                <w:rFonts w:ascii="宋体"/>
                <w:sz w:val="21"/>
              </w:rPr>
              <w:t>49</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pacing w:val="-1"/>
                <w:sz w:val="21"/>
              </w:rPr>
              <w:t>46,334,1</w:t>
            </w:r>
          </w:p>
          <w:p>
            <w:pPr>
              <w:pStyle w:val="TableParagraph"/>
              <w:spacing w:line="274" w:lineRule="exact"/>
              <w:ind w:right="101"/>
              <w:jc w:val="right"/>
              <w:rPr>
                <w:rFonts w:ascii="宋体" w:hAnsi="宋体" w:cs="宋体" w:eastAsia="宋体" w:hint="default"/>
                <w:sz w:val="21"/>
                <w:szCs w:val="21"/>
              </w:rPr>
            </w:pPr>
            <w:r>
              <w:rPr>
                <w:rFonts w:ascii="宋体"/>
                <w:sz w:val="21"/>
              </w:rPr>
              <w:t>69</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6"/>
              <w:jc w:val="right"/>
              <w:rPr>
                <w:rFonts w:ascii="宋体" w:hAnsi="宋体" w:cs="宋体" w:eastAsia="宋体" w:hint="default"/>
                <w:sz w:val="21"/>
                <w:szCs w:val="21"/>
              </w:rPr>
            </w:pPr>
            <w:r>
              <w:rPr>
                <w:rFonts w:ascii="宋体"/>
                <w:spacing w:val="-1"/>
                <w:sz w:val="21"/>
              </w:rPr>
              <w:t>3,055,051,</w:t>
            </w:r>
          </w:p>
          <w:p>
            <w:pPr>
              <w:pStyle w:val="TableParagraph"/>
              <w:spacing w:line="274" w:lineRule="exact"/>
              <w:ind w:right="96"/>
              <w:jc w:val="right"/>
              <w:rPr>
                <w:rFonts w:ascii="宋体" w:hAnsi="宋体" w:cs="宋体" w:eastAsia="宋体" w:hint="default"/>
                <w:sz w:val="21"/>
                <w:szCs w:val="21"/>
              </w:rPr>
            </w:pPr>
            <w:r>
              <w:rPr>
                <w:rFonts w:ascii="宋体"/>
                <w:sz w:val="21"/>
              </w:rPr>
              <w:t>380</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pacing w:val="-1"/>
                <w:sz w:val="21"/>
              </w:rPr>
              <w:t>17,742,5</w:t>
            </w:r>
          </w:p>
          <w:p>
            <w:pPr>
              <w:pStyle w:val="TableParagraph"/>
              <w:spacing w:line="274" w:lineRule="exact"/>
              <w:ind w:right="101"/>
              <w:jc w:val="right"/>
              <w:rPr>
                <w:rFonts w:ascii="宋体" w:hAnsi="宋体" w:cs="宋体" w:eastAsia="宋体" w:hint="default"/>
                <w:sz w:val="21"/>
                <w:szCs w:val="21"/>
              </w:rPr>
            </w:pPr>
            <w:r>
              <w:rPr>
                <w:rFonts w:ascii="宋体"/>
                <w:sz w:val="21"/>
              </w:rPr>
              <w:t>70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98"/>
              <w:jc w:val="right"/>
              <w:rPr>
                <w:rFonts w:ascii="宋体" w:hAnsi="宋体" w:cs="宋体" w:eastAsia="宋体" w:hint="default"/>
                <w:sz w:val="21"/>
                <w:szCs w:val="21"/>
              </w:rPr>
            </w:pPr>
            <w:r>
              <w:rPr>
                <w:rFonts w:ascii="宋体"/>
                <w:spacing w:val="-1"/>
                <w:sz w:val="21"/>
              </w:rPr>
              <w:t>71,391,9</w:t>
            </w:r>
          </w:p>
          <w:p>
            <w:pPr>
              <w:pStyle w:val="TableParagraph"/>
              <w:spacing w:line="274" w:lineRule="exact"/>
              <w:ind w:right="101"/>
              <w:jc w:val="right"/>
              <w:rPr>
                <w:rFonts w:ascii="宋体" w:hAnsi="宋体" w:cs="宋体" w:eastAsia="宋体" w:hint="default"/>
                <w:sz w:val="21"/>
                <w:szCs w:val="21"/>
              </w:rPr>
            </w:pPr>
            <w:r>
              <w:rPr>
                <w:rFonts w:ascii="宋体"/>
                <w:sz w:val="21"/>
              </w:rPr>
              <w:t>71</w:t>
            </w:r>
          </w:p>
        </w:tc>
      </w:tr>
    </w:tbl>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6"/>
          <w:szCs w:val="26"/>
        </w:rPr>
      </w:pPr>
    </w:p>
    <w:p>
      <w:pPr>
        <w:spacing w:after="0" w:line="240" w:lineRule="auto"/>
        <w:rPr>
          <w:rFonts w:ascii="Times New Roman" w:hAnsi="Times New Roman" w:cs="Times New Roman" w:eastAsia="Times New Roman" w:hint="default"/>
          <w:sz w:val="26"/>
          <w:szCs w:val="26"/>
        </w:rPr>
        <w:sectPr>
          <w:pgSz w:w="11910" w:h="16840"/>
          <w:pgMar w:header="857" w:footer="1195" w:top="1280" w:bottom="1380" w:left="20" w:right="20"/>
        </w:sectPr>
      </w:pPr>
    </w:p>
    <w:p>
      <w:pPr>
        <w:pStyle w:val="Heading3"/>
        <w:spacing w:line="240" w:lineRule="auto" w:before="36"/>
        <w:ind w:left="1778" w:right="-19"/>
        <w:jc w:val="left"/>
        <w:rPr>
          <w:b w:val="0"/>
          <w:bCs w:val="0"/>
        </w:rPr>
      </w:pPr>
      <w:r>
        <w:rPr>
          <w:rFonts w:ascii="宋体" w:hAnsi="宋体" w:cs="宋体" w:eastAsia="宋体" w:hint="default"/>
        </w:rPr>
        <w:t>(2)</w:t>
      </w:r>
      <w:r>
        <w:rPr>
          <w:rFonts w:ascii="宋体" w:hAnsi="宋体" w:cs="宋体" w:eastAsia="宋体" w:hint="default"/>
          <w:spacing w:val="2"/>
        </w:rPr>
        <w:t> </w:t>
      </w:r>
      <w:r>
        <w:rPr/>
        <w:t>对联营、合营企业投资</w:t>
      </w:r>
      <w:r>
        <w:rPr>
          <w:b w:val="0"/>
          <w:bCs w:val="0"/>
        </w:rPr>
      </w:r>
    </w:p>
    <w:p>
      <w:pPr>
        <w:pStyle w:val="BodyText"/>
        <w:spacing w:line="240" w:lineRule="auto" w:before="58"/>
        <w:ind w:left="1778" w:right="-19"/>
        <w:jc w:val="left"/>
      </w:pPr>
      <w:r>
        <w:rPr/>
        <w:t>√适用</w:t>
      </w:r>
      <w:r>
        <w:rPr>
          <w:spacing w:val="-1"/>
        </w:rPr>
        <w:t> </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left="1778" w:right="0"/>
        <w:jc w:val="left"/>
      </w:pPr>
      <w:r>
        <w:rPr/>
        <w:t>单位：元币种：人民币</w:t>
      </w:r>
    </w:p>
    <w:p>
      <w:pPr>
        <w:spacing w:after="0" w:line="240" w:lineRule="auto"/>
        <w:jc w:val="left"/>
        <w:sectPr>
          <w:type w:val="continuous"/>
          <w:pgSz w:w="11910" w:h="16840"/>
          <w:pgMar w:top="1320" w:bottom="1380" w:left="20" w:right="20"/>
          <w:cols w:num="2" w:equalWidth="0">
            <w:col w:w="4313" w:space="2420"/>
            <w:col w:w="5137"/>
          </w:cols>
        </w:sectPr>
      </w:pPr>
    </w:p>
    <w:p>
      <w:pPr>
        <w:spacing w:line="240" w:lineRule="auto" w:before="7"/>
        <w:rPr>
          <w:rFonts w:ascii="宋体" w:hAnsi="宋体" w:cs="宋体" w:eastAsia="宋体" w:hint="default"/>
          <w:sz w:val="2"/>
          <w:szCs w:val="2"/>
        </w:rPr>
      </w:pPr>
    </w:p>
    <w:tbl>
      <w:tblPr>
        <w:tblW w:w="0" w:type="auto"/>
        <w:jc w:val="left"/>
        <w:tblInd w:w="100" w:type="dxa"/>
        <w:tblLayout w:type="fixed"/>
        <w:tblCellMar>
          <w:top w:w="0" w:type="dxa"/>
          <w:left w:w="0" w:type="dxa"/>
          <w:bottom w:w="0" w:type="dxa"/>
          <w:right w:w="0" w:type="dxa"/>
        </w:tblCellMar>
        <w:tblLook w:val="01E0"/>
      </w:tblPr>
      <w:tblGrid>
        <w:gridCol w:w="1452"/>
        <w:gridCol w:w="1310"/>
        <w:gridCol w:w="1455"/>
        <w:gridCol w:w="432"/>
        <w:gridCol w:w="1162"/>
        <w:gridCol w:w="728"/>
        <w:gridCol w:w="871"/>
        <w:gridCol w:w="874"/>
        <w:gridCol w:w="728"/>
        <w:gridCol w:w="439"/>
        <w:gridCol w:w="1454"/>
        <w:gridCol w:w="728"/>
      </w:tblGrid>
      <w:tr>
        <w:trPr>
          <w:trHeight w:val="243" w:hRule="exact"/>
        </w:trPr>
        <w:tc>
          <w:tcPr>
            <w:tcW w:w="1452"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32" w:lineRule="exact"/>
              <w:ind w:left="539" w:right="540"/>
              <w:jc w:val="center"/>
              <w:rPr>
                <w:rFonts w:ascii="宋体" w:hAnsi="宋体" w:cs="宋体" w:eastAsia="宋体" w:hint="default"/>
                <w:sz w:val="18"/>
                <w:szCs w:val="18"/>
              </w:rPr>
            </w:pPr>
            <w:r>
              <w:rPr>
                <w:rFonts w:ascii="宋体" w:hAnsi="宋体" w:cs="宋体" w:eastAsia="宋体" w:hint="default"/>
                <w:sz w:val="18"/>
                <w:szCs w:val="18"/>
              </w:rPr>
              <w:t>投资 单位</w:t>
            </w:r>
          </w:p>
        </w:tc>
        <w:tc>
          <w:tcPr>
            <w:tcW w:w="131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32" w:lineRule="exact"/>
              <w:ind w:left="467" w:right="470"/>
              <w:jc w:val="center"/>
              <w:rPr>
                <w:rFonts w:ascii="宋体" w:hAnsi="宋体" w:cs="宋体" w:eastAsia="宋体" w:hint="default"/>
                <w:sz w:val="18"/>
                <w:szCs w:val="18"/>
              </w:rPr>
            </w:pPr>
            <w:r>
              <w:rPr>
                <w:rFonts w:ascii="宋体" w:hAnsi="宋体" w:cs="宋体" w:eastAsia="宋体" w:hint="default"/>
                <w:sz w:val="18"/>
                <w:szCs w:val="18"/>
              </w:rPr>
              <w:t>期初 余额</w:t>
            </w:r>
          </w:p>
        </w:tc>
        <w:tc>
          <w:tcPr>
            <w:tcW w:w="6688" w:type="dxa"/>
            <w:gridSpan w:val="8"/>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3"/>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1454"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32" w:lineRule="exact"/>
              <w:ind w:left="542" w:right="540"/>
              <w:jc w:val="center"/>
              <w:rPr>
                <w:rFonts w:ascii="宋体" w:hAnsi="宋体" w:cs="宋体" w:eastAsia="宋体" w:hint="default"/>
                <w:sz w:val="18"/>
                <w:szCs w:val="18"/>
              </w:rPr>
            </w:pPr>
            <w:r>
              <w:rPr>
                <w:rFonts w:ascii="宋体" w:hAnsi="宋体" w:cs="宋体" w:eastAsia="宋体" w:hint="default"/>
                <w:sz w:val="18"/>
                <w:szCs w:val="18"/>
              </w:rPr>
              <w:t>期末 余额</w:t>
            </w:r>
          </w:p>
        </w:tc>
        <w:tc>
          <w:tcPr>
            <w:tcW w:w="728" w:type="dxa"/>
            <w:vMerge w:val="restart"/>
            <w:tcBorders>
              <w:top w:val="single" w:sz="4" w:space="0" w:color="000000"/>
              <w:left w:val="single" w:sz="4" w:space="0" w:color="000000"/>
              <w:right w:val="single" w:sz="4" w:space="0" w:color="000000"/>
            </w:tcBorders>
          </w:tcPr>
          <w:p>
            <w:pPr>
              <w:pStyle w:val="TableParagraph"/>
              <w:spacing w:line="232" w:lineRule="exact" w:before="117"/>
              <w:ind w:left="177" w:right="178"/>
              <w:jc w:val="both"/>
              <w:rPr>
                <w:rFonts w:ascii="宋体" w:hAnsi="宋体" w:cs="宋体" w:eastAsia="宋体" w:hint="default"/>
                <w:sz w:val="18"/>
                <w:szCs w:val="18"/>
              </w:rPr>
            </w:pPr>
            <w:r>
              <w:rPr>
                <w:rFonts w:ascii="宋体" w:hAnsi="宋体" w:cs="宋体" w:eastAsia="宋体" w:hint="default"/>
                <w:sz w:val="18"/>
                <w:szCs w:val="18"/>
              </w:rPr>
              <w:t>减值 准备 期末 余额</w:t>
            </w:r>
          </w:p>
        </w:tc>
      </w:tr>
      <w:tr>
        <w:trPr>
          <w:trHeight w:val="943" w:hRule="exact"/>
        </w:trPr>
        <w:tc>
          <w:tcPr>
            <w:tcW w:w="1452" w:type="dxa"/>
            <w:vMerge/>
            <w:tcBorders>
              <w:left w:val="single" w:sz="4" w:space="0" w:color="000000"/>
              <w:bottom w:val="single" w:sz="4" w:space="0" w:color="000000"/>
              <w:right w:val="single" w:sz="4" w:space="0" w:color="000000"/>
            </w:tcBorders>
          </w:tcPr>
          <w:p>
            <w:pPr/>
          </w:p>
        </w:tc>
        <w:tc>
          <w:tcPr>
            <w:tcW w:w="1310" w:type="dxa"/>
            <w:vMerge/>
            <w:tcBorders>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359"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17" w:right="0"/>
              <w:jc w:val="both"/>
              <w:rPr>
                <w:rFonts w:ascii="宋体" w:hAnsi="宋体" w:cs="宋体" w:eastAsia="宋体" w:hint="default"/>
                <w:sz w:val="18"/>
                <w:szCs w:val="18"/>
              </w:rPr>
            </w:pPr>
            <w:r>
              <w:rPr>
                <w:rFonts w:ascii="宋体" w:hAnsi="宋体" w:cs="宋体" w:eastAsia="宋体" w:hint="default"/>
                <w:sz w:val="18"/>
                <w:szCs w:val="18"/>
              </w:rPr>
              <w:t>减</w:t>
            </w:r>
          </w:p>
          <w:p>
            <w:pPr>
              <w:pStyle w:val="TableParagraph"/>
              <w:spacing w:line="232" w:lineRule="exact" w:before="24"/>
              <w:ind w:left="117" w:right="122"/>
              <w:jc w:val="both"/>
              <w:rPr>
                <w:rFonts w:ascii="宋体" w:hAnsi="宋体" w:cs="宋体" w:eastAsia="宋体" w:hint="default"/>
                <w:sz w:val="18"/>
                <w:szCs w:val="18"/>
              </w:rPr>
            </w:pPr>
            <w:r>
              <w:rPr>
                <w:rFonts w:ascii="宋体" w:hAnsi="宋体" w:cs="宋体" w:eastAsia="宋体" w:hint="default"/>
                <w:sz w:val="18"/>
                <w:szCs w:val="18"/>
              </w:rPr>
              <w:t>少 投 资</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2"/>
              <w:ind w:left="124" w:right="125"/>
              <w:jc w:val="center"/>
              <w:rPr>
                <w:rFonts w:ascii="宋体" w:hAnsi="宋体" w:cs="宋体" w:eastAsia="宋体" w:hint="default"/>
                <w:sz w:val="18"/>
                <w:szCs w:val="18"/>
              </w:rPr>
            </w:pPr>
            <w:r>
              <w:rPr>
                <w:rFonts w:ascii="宋体" w:hAnsi="宋体" w:cs="宋体" w:eastAsia="宋体" w:hint="default"/>
                <w:sz w:val="18"/>
                <w:szCs w:val="18"/>
              </w:rPr>
              <w:t>权益法下确 认的投资损 益</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7" w:right="0"/>
              <w:jc w:val="both"/>
              <w:rPr>
                <w:rFonts w:ascii="宋体" w:hAnsi="宋体" w:cs="宋体" w:eastAsia="宋体" w:hint="default"/>
                <w:sz w:val="18"/>
                <w:szCs w:val="18"/>
              </w:rPr>
            </w:pPr>
            <w:r>
              <w:rPr>
                <w:rFonts w:ascii="宋体" w:hAnsi="宋体" w:cs="宋体" w:eastAsia="宋体" w:hint="default"/>
                <w:sz w:val="18"/>
                <w:szCs w:val="18"/>
              </w:rPr>
              <w:t>其他</w:t>
            </w:r>
          </w:p>
          <w:p>
            <w:pPr>
              <w:pStyle w:val="TableParagraph"/>
              <w:spacing w:line="232" w:lineRule="exact" w:before="24"/>
              <w:ind w:left="177" w:right="178"/>
              <w:jc w:val="both"/>
              <w:rPr>
                <w:rFonts w:ascii="宋体" w:hAnsi="宋体" w:cs="宋体" w:eastAsia="宋体" w:hint="default"/>
                <w:sz w:val="18"/>
                <w:szCs w:val="18"/>
              </w:rPr>
            </w:pPr>
            <w:r>
              <w:rPr>
                <w:rFonts w:ascii="宋体" w:hAnsi="宋体" w:cs="宋体" w:eastAsia="宋体" w:hint="default"/>
                <w:sz w:val="18"/>
                <w:szCs w:val="18"/>
              </w:rPr>
              <w:t>综合 收益 调整</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32" w:lineRule="exact"/>
              <w:ind w:left="160" w:right="158"/>
              <w:jc w:val="left"/>
              <w:rPr>
                <w:rFonts w:ascii="宋体" w:hAnsi="宋体" w:cs="宋体" w:eastAsia="宋体" w:hint="default"/>
                <w:sz w:val="18"/>
                <w:szCs w:val="18"/>
              </w:rPr>
            </w:pPr>
            <w:r>
              <w:rPr>
                <w:rFonts w:ascii="宋体" w:hAnsi="宋体" w:cs="宋体" w:eastAsia="宋体" w:hint="default"/>
                <w:sz w:val="18"/>
                <w:szCs w:val="18"/>
              </w:rPr>
              <w:t>其他权 益变动</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60" w:right="0"/>
              <w:jc w:val="both"/>
              <w:rPr>
                <w:rFonts w:ascii="宋体" w:hAnsi="宋体" w:cs="宋体" w:eastAsia="宋体" w:hint="default"/>
                <w:sz w:val="18"/>
                <w:szCs w:val="18"/>
              </w:rPr>
            </w:pPr>
            <w:r>
              <w:rPr>
                <w:rFonts w:ascii="宋体" w:hAnsi="宋体" w:cs="宋体" w:eastAsia="宋体" w:hint="default"/>
                <w:sz w:val="18"/>
                <w:szCs w:val="18"/>
              </w:rPr>
              <w:t>宣告发</w:t>
            </w:r>
          </w:p>
          <w:p>
            <w:pPr>
              <w:pStyle w:val="TableParagraph"/>
              <w:spacing w:line="232" w:lineRule="exact" w:before="24"/>
              <w:ind w:left="160" w:right="161"/>
              <w:jc w:val="both"/>
              <w:rPr>
                <w:rFonts w:ascii="宋体" w:hAnsi="宋体" w:cs="宋体" w:eastAsia="宋体" w:hint="default"/>
                <w:sz w:val="18"/>
                <w:szCs w:val="18"/>
              </w:rPr>
            </w:pPr>
            <w:r>
              <w:rPr>
                <w:rFonts w:ascii="宋体" w:hAnsi="宋体" w:cs="宋体" w:eastAsia="宋体" w:hint="default"/>
                <w:sz w:val="18"/>
                <w:szCs w:val="18"/>
              </w:rPr>
              <w:t>放现金 股利或 利润</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2"/>
              <w:ind w:left="175" w:right="182"/>
              <w:jc w:val="both"/>
              <w:rPr>
                <w:rFonts w:ascii="宋体" w:hAnsi="宋体" w:cs="宋体" w:eastAsia="宋体" w:hint="default"/>
                <w:sz w:val="18"/>
                <w:szCs w:val="18"/>
              </w:rPr>
            </w:pPr>
            <w:r>
              <w:rPr>
                <w:rFonts w:ascii="宋体" w:hAnsi="宋体" w:cs="宋体" w:eastAsia="宋体" w:hint="default"/>
                <w:sz w:val="18"/>
                <w:szCs w:val="18"/>
              </w:rPr>
              <w:t>计提 减值 准备</w:t>
            </w:r>
          </w:p>
        </w:tc>
        <w:tc>
          <w:tcPr>
            <w:tcW w:w="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32" w:lineRule="exact"/>
              <w:ind w:left="124" w:right="122"/>
              <w:jc w:val="left"/>
              <w:rPr>
                <w:rFonts w:ascii="宋体" w:hAnsi="宋体" w:cs="宋体" w:eastAsia="宋体" w:hint="default"/>
                <w:sz w:val="18"/>
                <w:szCs w:val="18"/>
              </w:rPr>
            </w:pPr>
            <w:r>
              <w:rPr>
                <w:rFonts w:ascii="宋体" w:hAnsi="宋体" w:cs="宋体" w:eastAsia="宋体" w:hint="default"/>
                <w:sz w:val="18"/>
                <w:szCs w:val="18"/>
              </w:rPr>
              <w:t>其 他</w:t>
            </w:r>
          </w:p>
        </w:tc>
        <w:tc>
          <w:tcPr>
            <w:tcW w:w="1454" w:type="dxa"/>
            <w:vMerge/>
            <w:tcBorders>
              <w:left w:val="single" w:sz="4" w:space="0" w:color="000000"/>
              <w:bottom w:val="single" w:sz="4" w:space="0" w:color="000000"/>
              <w:right w:val="single" w:sz="4" w:space="0" w:color="000000"/>
            </w:tcBorders>
          </w:tcPr>
          <w:p>
            <w:pPr/>
          </w:p>
        </w:tc>
        <w:tc>
          <w:tcPr>
            <w:tcW w:w="728" w:type="dxa"/>
            <w:vMerge/>
            <w:tcBorders>
              <w:left w:val="single" w:sz="4" w:space="0" w:color="000000"/>
              <w:bottom w:val="single" w:sz="4" w:space="0" w:color="000000"/>
              <w:right w:val="single" w:sz="4" w:space="0" w:color="000000"/>
            </w:tcBorders>
          </w:tcPr>
          <w:p>
            <w:pPr/>
          </w:p>
        </w:tc>
      </w:tr>
      <w:tr>
        <w:trPr>
          <w:trHeight w:val="245" w:hRule="exact"/>
        </w:trPr>
        <w:tc>
          <w:tcPr>
            <w:tcW w:w="11633" w:type="dxa"/>
            <w:gridSpan w:val="1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242" w:hRule="exact"/>
        </w:trPr>
        <w:tc>
          <w:tcPr>
            <w:tcW w:w="1452"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
        </w:tc>
        <w:tc>
          <w:tcPr>
            <w:tcW w:w="43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439"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1452"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
        </w:tc>
        <w:tc>
          <w:tcPr>
            <w:tcW w:w="43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439"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31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
        </w:tc>
        <w:tc>
          <w:tcPr>
            <w:tcW w:w="43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439"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11633" w:type="dxa"/>
            <w:gridSpan w:val="1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245" w:hRule="exact"/>
        </w:trPr>
        <w:tc>
          <w:tcPr>
            <w:tcW w:w="1452"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
        </w:tc>
        <w:tc>
          <w:tcPr>
            <w:tcW w:w="43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439"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中关村银行</w:t>
            </w:r>
          </w:p>
        </w:tc>
        <w:tc>
          <w:tcPr>
            <w:tcW w:w="131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4"/>
              <w:jc w:val="right"/>
              <w:rPr>
                <w:rFonts w:ascii="宋体" w:hAnsi="宋体" w:cs="宋体" w:eastAsia="宋体" w:hint="default"/>
                <w:sz w:val="18"/>
                <w:szCs w:val="18"/>
              </w:rPr>
            </w:pPr>
            <w:r>
              <w:rPr>
                <w:rFonts w:ascii="宋体"/>
                <w:spacing w:val="-1"/>
                <w:sz w:val="18"/>
              </w:rPr>
              <w:t>1,192,000,000</w:t>
            </w:r>
          </w:p>
        </w:tc>
        <w:tc>
          <w:tcPr>
            <w:tcW w:w="43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1,896,699</w:t>
            </w:r>
          </w:p>
        </w:tc>
        <w:tc>
          <w:tcPr>
            <w:tcW w:w="728"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439"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1,193,896,699</w:t>
            </w:r>
          </w:p>
        </w:tc>
        <w:tc>
          <w:tcPr>
            <w:tcW w:w="728"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汉唐信通</w:t>
            </w:r>
          </w:p>
        </w:tc>
        <w:tc>
          <w:tcPr>
            <w:tcW w:w="131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2"/>
              <w:jc w:val="right"/>
              <w:rPr>
                <w:rFonts w:ascii="宋体" w:hAnsi="宋体" w:cs="宋体" w:eastAsia="宋体" w:hint="default"/>
                <w:sz w:val="18"/>
                <w:szCs w:val="18"/>
              </w:rPr>
            </w:pPr>
            <w:r>
              <w:rPr>
                <w:rFonts w:ascii="宋体"/>
                <w:spacing w:val="-1"/>
                <w:sz w:val="18"/>
              </w:rPr>
              <w:t>78,402,131</w:t>
            </w:r>
          </w:p>
        </w:tc>
        <w:tc>
          <w:tcPr>
            <w:tcW w:w="43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0"/>
              <w:jc w:val="right"/>
              <w:rPr>
                <w:rFonts w:ascii="宋体" w:hAnsi="宋体" w:cs="宋体" w:eastAsia="宋体" w:hint="default"/>
                <w:sz w:val="18"/>
                <w:szCs w:val="18"/>
              </w:rPr>
            </w:pPr>
            <w:r>
              <w:rPr>
                <w:rFonts w:ascii="宋体"/>
                <w:spacing w:val="-1"/>
                <w:sz w:val="18"/>
              </w:rPr>
              <w:t>1,039,561</w:t>
            </w:r>
          </w:p>
        </w:tc>
        <w:tc>
          <w:tcPr>
            <w:tcW w:w="728"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439"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0"/>
              <w:jc w:val="right"/>
              <w:rPr>
                <w:rFonts w:ascii="宋体" w:hAnsi="宋体" w:cs="宋体" w:eastAsia="宋体" w:hint="default"/>
                <w:sz w:val="18"/>
                <w:szCs w:val="18"/>
              </w:rPr>
            </w:pPr>
            <w:r>
              <w:rPr>
                <w:rFonts w:ascii="宋体"/>
                <w:spacing w:val="-1"/>
                <w:sz w:val="18"/>
              </w:rPr>
              <w:t>79,441,692</w:t>
            </w:r>
          </w:p>
        </w:tc>
        <w:tc>
          <w:tcPr>
            <w:tcW w:w="728"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大易云</w:t>
            </w:r>
          </w:p>
        </w:tc>
        <w:tc>
          <w:tcPr>
            <w:tcW w:w="131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67,108,612</w:t>
            </w:r>
          </w:p>
        </w:tc>
        <w:tc>
          <w:tcPr>
            <w:tcW w:w="43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-1,636,387</w:t>
            </w:r>
          </w:p>
        </w:tc>
        <w:tc>
          <w:tcPr>
            <w:tcW w:w="728"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439"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65,472,225</w:t>
            </w:r>
          </w:p>
        </w:tc>
        <w:tc>
          <w:tcPr>
            <w:tcW w:w="728"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幸福联创</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3"/>
              <w:jc w:val="right"/>
              <w:rPr>
                <w:rFonts w:ascii="宋体" w:hAnsi="宋体" w:cs="宋体" w:eastAsia="宋体" w:hint="default"/>
                <w:sz w:val="18"/>
                <w:szCs w:val="18"/>
              </w:rPr>
            </w:pPr>
            <w:r>
              <w:rPr>
                <w:rFonts w:ascii="宋体"/>
                <w:spacing w:val="-1"/>
                <w:sz w:val="18"/>
              </w:rPr>
              <w:t>64,209,051</w:t>
            </w:r>
          </w:p>
        </w:tc>
        <w:tc>
          <w:tcPr>
            <w:tcW w:w="1455" w:type="dxa"/>
            <w:tcBorders>
              <w:top w:val="single" w:sz="4" w:space="0" w:color="000000"/>
              <w:left w:val="single" w:sz="4" w:space="0" w:color="000000"/>
              <w:bottom w:val="single" w:sz="4" w:space="0" w:color="000000"/>
              <w:right w:val="single" w:sz="4" w:space="0" w:color="000000"/>
            </w:tcBorders>
          </w:tcPr>
          <w:p>
            <w:pPr/>
          </w:p>
        </w:tc>
        <w:tc>
          <w:tcPr>
            <w:tcW w:w="43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0"/>
              <w:jc w:val="right"/>
              <w:rPr>
                <w:rFonts w:ascii="宋体" w:hAnsi="宋体" w:cs="宋体" w:eastAsia="宋体" w:hint="default"/>
                <w:sz w:val="18"/>
                <w:szCs w:val="18"/>
              </w:rPr>
            </w:pPr>
            <w:r>
              <w:rPr>
                <w:rFonts w:ascii="宋体"/>
                <w:spacing w:val="-1"/>
                <w:sz w:val="18"/>
              </w:rPr>
              <w:t>-204,068</w:t>
            </w:r>
          </w:p>
        </w:tc>
        <w:tc>
          <w:tcPr>
            <w:tcW w:w="728"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439"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0"/>
              <w:jc w:val="right"/>
              <w:rPr>
                <w:rFonts w:ascii="宋体" w:hAnsi="宋体" w:cs="宋体" w:eastAsia="宋体" w:hint="default"/>
                <w:sz w:val="18"/>
                <w:szCs w:val="18"/>
              </w:rPr>
            </w:pPr>
            <w:r>
              <w:rPr>
                <w:rFonts w:ascii="宋体"/>
                <w:spacing w:val="-1"/>
                <w:sz w:val="18"/>
              </w:rPr>
              <w:t>64,004,983</w:t>
            </w:r>
          </w:p>
        </w:tc>
        <w:tc>
          <w:tcPr>
            <w:tcW w:w="728"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民太安公估</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50,714,004</w:t>
            </w:r>
          </w:p>
        </w:tc>
        <w:tc>
          <w:tcPr>
            <w:tcW w:w="1455" w:type="dxa"/>
            <w:tcBorders>
              <w:top w:val="single" w:sz="4" w:space="0" w:color="000000"/>
              <w:left w:val="single" w:sz="4" w:space="0" w:color="000000"/>
              <w:bottom w:val="single" w:sz="4" w:space="0" w:color="000000"/>
              <w:right w:val="single" w:sz="4" w:space="0" w:color="000000"/>
            </w:tcBorders>
          </w:tcPr>
          <w:p>
            <w:pPr/>
          </w:p>
        </w:tc>
        <w:tc>
          <w:tcPr>
            <w:tcW w:w="43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2,274,922</w:t>
            </w:r>
          </w:p>
        </w:tc>
        <w:tc>
          <w:tcPr>
            <w:tcW w:w="728"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54,105</w:t>
            </w:r>
          </w:p>
        </w:tc>
        <w:tc>
          <w:tcPr>
            <w:tcW w:w="874"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439"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53,043,031</w:t>
            </w:r>
          </w:p>
        </w:tc>
        <w:tc>
          <w:tcPr>
            <w:tcW w:w="728"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用友商业保理</w:t>
            </w:r>
          </w:p>
        </w:tc>
        <w:tc>
          <w:tcPr>
            <w:tcW w:w="131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15,000,000</w:t>
            </w:r>
          </w:p>
        </w:tc>
        <w:tc>
          <w:tcPr>
            <w:tcW w:w="43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-847,386</w:t>
            </w:r>
          </w:p>
        </w:tc>
        <w:tc>
          <w:tcPr>
            <w:tcW w:w="728"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439"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14,152,614</w:t>
            </w:r>
          </w:p>
        </w:tc>
        <w:tc>
          <w:tcPr>
            <w:tcW w:w="728"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北京博晨</w:t>
            </w:r>
          </w:p>
        </w:tc>
        <w:tc>
          <w:tcPr>
            <w:tcW w:w="131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11,680,000</w:t>
            </w:r>
          </w:p>
        </w:tc>
        <w:tc>
          <w:tcPr>
            <w:tcW w:w="43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-1,503,572</w:t>
            </w:r>
          </w:p>
        </w:tc>
        <w:tc>
          <w:tcPr>
            <w:tcW w:w="728"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439"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10,176,428</w:t>
            </w:r>
          </w:p>
        </w:tc>
        <w:tc>
          <w:tcPr>
            <w:tcW w:w="728"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西玛国正</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7,265,075</w:t>
            </w:r>
          </w:p>
        </w:tc>
        <w:tc>
          <w:tcPr>
            <w:tcW w:w="1455" w:type="dxa"/>
            <w:tcBorders>
              <w:top w:val="single" w:sz="4" w:space="0" w:color="000000"/>
              <w:left w:val="single" w:sz="4" w:space="0" w:color="000000"/>
              <w:bottom w:val="single" w:sz="4" w:space="0" w:color="000000"/>
              <w:right w:val="single" w:sz="4" w:space="0" w:color="000000"/>
            </w:tcBorders>
          </w:tcPr>
          <w:p>
            <w:pPr/>
          </w:p>
        </w:tc>
        <w:tc>
          <w:tcPr>
            <w:tcW w:w="43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1,134,203</w:t>
            </w:r>
          </w:p>
        </w:tc>
        <w:tc>
          <w:tcPr>
            <w:tcW w:w="728"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313,636</w:t>
            </w:r>
          </w:p>
        </w:tc>
        <w:tc>
          <w:tcPr>
            <w:tcW w:w="728" w:type="dxa"/>
            <w:tcBorders>
              <w:top w:val="single" w:sz="4" w:space="0" w:color="000000"/>
              <w:left w:val="single" w:sz="4" w:space="0" w:color="000000"/>
              <w:bottom w:val="single" w:sz="4" w:space="0" w:color="000000"/>
              <w:right w:val="single" w:sz="4" w:space="0" w:color="000000"/>
            </w:tcBorders>
          </w:tcPr>
          <w:p>
            <w:pPr/>
          </w:p>
        </w:tc>
        <w:tc>
          <w:tcPr>
            <w:tcW w:w="439"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8,085,642</w:t>
            </w:r>
          </w:p>
        </w:tc>
        <w:tc>
          <w:tcPr>
            <w:tcW w:w="728"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用友融联</w:t>
            </w:r>
          </w:p>
        </w:tc>
        <w:tc>
          <w:tcPr>
            <w:tcW w:w="131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3"/>
              <w:jc w:val="right"/>
              <w:rPr>
                <w:rFonts w:ascii="宋体" w:hAnsi="宋体" w:cs="宋体" w:eastAsia="宋体" w:hint="default"/>
                <w:sz w:val="18"/>
                <w:szCs w:val="18"/>
              </w:rPr>
            </w:pPr>
            <w:r>
              <w:rPr>
                <w:rFonts w:ascii="宋体"/>
                <w:spacing w:val="-1"/>
                <w:sz w:val="18"/>
              </w:rPr>
              <w:t>3,000,000</w:t>
            </w:r>
          </w:p>
        </w:tc>
        <w:tc>
          <w:tcPr>
            <w:tcW w:w="43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0"/>
              <w:jc w:val="right"/>
              <w:rPr>
                <w:rFonts w:ascii="宋体" w:hAnsi="宋体" w:cs="宋体" w:eastAsia="宋体" w:hint="default"/>
                <w:sz w:val="18"/>
                <w:szCs w:val="18"/>
              </w:rPr>
            </w:pPr>
            <w:r>
              <w:rPr>
                <w:rFonts w:ascii="宋体"/>
                <w:spacing w:val="-1"/>
                <w:sz w:val="18"/>
              </w:rPr>
              <w:t>-1,395,265</w:t>
            </w:r>
          </w:p>
        </w:tc>
        <w:tc>
          <w:tcPr>
            <w:tcW w:w="728"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439"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0"/>
              <w:jc w:val="right"/>
              <w:rPr>
                <w:rFonts w:ascii="宋体" w:hAnsi="宋体" w:cs="宋体" w:eastAsia="宋体" w:hint="default"/>
                <w:sz w:val="18"/>
                <w:szCs w:val="18"/>
              </w:rPr>
            </w:pPr>
            <w:r>
              <w:rPr>
                <w:rFonts w:ascii="宋体"/>
                <w:spacing w:val="-1"/>
                <w:sz w:val="18"/>
              </w:rPr>
              <w:t>1,604,735</w:t>
            </w:r>
          </w:p>
        </w:tc>
        <w:tc>
          <w:tcPr>
            <w:tcW w:w="728"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中企永联</w:t>
            </w:r>
          </w:p>
        </w:tc>
        <w:tc>
          <w:tcPr>
            <w:tcW w:w="131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2,500,000</w:t>
            </w:r>
          </w:p>
        </w:tc>
        <w:tc>
          <w:tcPr>
            <w:tcW w:w="43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1,537,023</w:t>
            </w:r>
          </w:p>
        </w:tc>
        <w:tc>
          <w:tcPr>
            <w:tcW w:w="728"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439"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4,037,023</w:t>
            </w:r>
          </w:p>
        </w:tc>
        <w:tc>
          <w:tcPr>
            <w:tcW w:w="728"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上海长伴</w:t>
            </w:r>
          </w:p>
        </w:tc>
        <w:tc>
          <w:tcPr>
            <w:tcW w:w="131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z w:val="18"/>
              </w:rPr>
              <w:t>540,000</w:t>
            </w:r>
          </w:p>
        </w:tc>
        <w:tc>
          <w:tcPr>
            <w:tcW w:w="43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-416,434</w:t>
            </w:r>
          </w:p>
        </w:tc>
        <w:tc>
          <w:tcPr>
            <w:tcW w:w="728"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439"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123,566</w:t>
            </w:r>
          </w:p>
        </w:tc>
        <w:tc>
          <w:tcPr>
            <w:tcW w:w="728"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西玛永泰</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4"/>
              <w:jc w:val="right"/>
              <w:rPr>
                <w:rFonts w:ascii="宋体" w:hAnsi="宋体" w:cs="宋体" w:eastAsia="宋体" w:hint="default"/>
                <w:sz w:val="18"/>
                <w:szCs w:val="18"/>
              </w:rPr>
            </w:pPr>
            <w:r>
              <w:rPr>
                <w:rFonts w:ascii="宋体"/>
                <w:sz w:val="18"/>
              </w:rPr>
              <w:t>397,181</w:t>
            </w:r>
          </w:p>
        </w:tc>
        <w:tc>
          <w:tcPr>
            <w:tcW w:w="1455" w:type="dxa"/>
            <w:tcBorders>
              <w:top w:val="single" w:sz="4" w:space="0" w:color="000000"/>
              <w:left w:val="single" w:sz="4" w:space="0" w:color="000000"/>
              <w:bottom w:val="single" w:sz="4" w:space="0" w:color="000000"/>
              <w:right w:val="single" w:sz="4" w:space="0" w:color="000000"/>
            </w:tcBorders>
          </w:tcPr>
          <w:p>
            <w:pPr/>
          </w:p>
        </w:tc>
        <w:tc>
          <w:tcPr>
            <w:tcW w:w="43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-281</w:t>
            </w:r>
          </w:p>
        </w:tc>
        <w:tc>
          <w:tcPr>
            <w:tcW w:w="728"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439"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396,900</w:t>
            </w:r>
          </w:p>
        </w:tc>
        <w:tc>
          <w:tcPr>
            <w:tcW w:w="728"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优数征信</w:t>
            </w:r>
          </w:p>
        </w:tc>
        <w:tc>
          <w:tcPr>
            <w:tcW w:w="131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z w:val="18"/>
              </w:rPr>
              <w:t>300,000</w:t>
            </w:r>
          </w:p>
        </w:tc>
        <w:tc>
          <w:tcPr>
            <w:tcW w:w="43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439"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300,000</w:t>
            </w:r>
          </w:p>
        </w:tc>
        <w:tc>
          <w:tcPr>
            <w:tcW w:w="728"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122,585,311</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pacing w:val="-1"/>
                <w:sz w:val="18"/>
              </w:rPr>
              <w:t>1,370,530,743</w:t>
            </w:r>
          </w:p>
        </w:tc>
        <w:tc>
          <w:tcPr>
            <w:tcW w:w="43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1,879,015</w:t>
            </w:r>
          </w:p>
        </w:tc>
        <w:tc>
          <w:tcPr>
            <w:tcW w:w="728"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54,105</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313,636</w:t>
            </w:r>
          </w:p>
        </w:tc>
        <w:tc>
          <w:tcPr>
            <w:tcW w:w="728" w:type="dxa"/>
            <w:tcBorders>
              <w:top w:val="single" w:sz="4" w:space="0" w:color="000000"/>
              <w:left w:val="single" w:sz="4" w:space="0" w:color="000000"/>
              <w:bottom w:val="single" w:sz="4" w:space="0" w:color="000000"/>
              <w:right w:val="single" w:sz="4" w:space="0" w:color="000000"/>
            </w:tcBorders>
          </w:tcPr>
          <w:p>
            <w:pPr/>
          </w:p>
        </w:tc>
        <w:tc>
          <w:tcPr>
            <w:tcW w:w="439"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1,494,735,538</w:t>
            </w:r>
          </w:p>
        </w:tc>
        <w:tc>
          <w:tcPr>
            <w:tcW w:w="728"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3"/>
              <w:jc w:val="right"/>
              <w:rPr>
                <w:rFonts w:ascii="宋体" w:hAnsi="宋体" w:cs="宋体" w:eastAsia="宋体" w:hint="default"/>
                <w:sz w:val="18"/>
                <w:szCs w:val="18"/>
              </w:rPr>
            </w:pPr>
            <w:r>
              <w:rPr>
                <w:rFonts w:ascii="宋体"/>
                <w:spacing w:val="-1"/>
                <w:sz w:val="18"/>
              </w:rPr>
              <w:t>122,585,311</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4"/>
              <w:jc w:val="right"/>
              <w:rPr>
                <w:rFonts w:ascii="宋体" w:hAnsi="宋体" w:cs="宋体" w:eastAsia="宋体" w:hint="default"/>
                <w:sz w:val="18"/>
                <w:szCs w:val="18"/>
              </w:rPr>
            </w:pPr>
            <w:r>
              <w:rPr>
                <w:rFonts w:ascii="宋体"/>
                <w:spacing w:val="-1"/>
                <w:sz w:val="18"/>
              </w:rPr>
              <w:t>1,370,530,743</w:t>
            </w:r>
          </w:p>
        </w:tc>
        <w:tc>
          <w:tcPr>
            <w:tcW w:w="43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1,879,015</w:t>
            </w:r>
          </w:p>
        </w:tc>
        <w:tc>
          <w:tcPr>
            <w:tcW w:w="728"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54,105</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4"/>
              <w:jc w:val="right"/>
              <w:rPr>
                <w:rFonts w:ascii="宋体" w:hAnsi="宋体" w:cs="宋体" w:eastAsia="宋体" w:hint="default"/>
                <w:sz w:val="18"/>
                <w:szCs w:val="18"/>
              </w:rPr>
            </w:pPr>
            <w:r>
              <w:rPr>
                <w:rFonts w:ascii="宋体"/>
                <w:sz w:val="18"/>
              </w:rPr>
              <w:t>313,636</w:t>
            </w:r>
          </w:p>
        </w:tc>
        <w:tc>
          <w:tcPr>
            <w:tcW w:w="728" w:type="dxa"/>
            <w:tcBorders>
              <w:top w:val="single" w:sz="4" w:space="0" w:color="000000"/>
              <w:left w:val="single" w:sz="4" w:space="0" w:color="000000"/>
              <w:bottom w:val="single" w:sz="4" w:space="0" w:color="000000"/>
              <w:right w:val="single" w:sz="4" w:space="0" w:color="000000"/>
            </w:tcBorders>
          </w:tcPr>
          <w:p>
            <w:pPr/>
          </w:p>
        </w:tc>
        <w:tc>
          <w:tcPr>
            <w:tcW w:w="439"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1,494,735,538</w:t>
            </w:r>
          </w:p>
        </w:tc>
        <w:tc>
          <w:tcPr>
            <w:tcW w:w="72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type w:val="continuous"/>
          <w:pgSz w:w="11910" w:h="16840"/>
          <w:pgMar w:top="1320" w:bottom="1380" w:left="20" w:right="20"/>
        </w:sectPr>
      </w:pPr>
    </w:p>
    <w:p>
      <w:pPr>
        <w:pStyle w:val="Heading3"/>
        <w:spacing w:line="240" w:lineRule="auto" w:before="36"/>
        <w:ind w:left="1778" w:right="-19"/>
        <w:jc w:val="left"/>
        <w:rPr>
          <w:b w:val="0"/>
          <w:bCs w:val="0"/>
        </w:rPr>
      </w:pPr>
      <w:r>
        <w:rPr>
          <w:rFonts w:ascii="宋体" w:hAnsi="宋体" w:cs="宋体" w:eastAsia="宋体" w:hint="default"/>
        </w:rPr>
        <w:t>4</w:t>
      </w:r>
      <w:r>
        <w:rPr/>
        <w:t>、</w:t>
      </w:r>
      <w:r>
        <w:rPr>
          <w:spacing w:val="2"/>
        </w:rPr>
        <w:t> </w:t>
      </w:r>
      <w:r>
        <w:rPr/>
        <w:t>营业收入和营业成本：</w:t>
      </w:r>
      <w:r>
        <w:rPr>
          <w:b w:val="0"/>
          <w:bCs w:val="0"/>
        </w:rPr>
      </w:r>
    </w:p>
    <w:p>
      <w:pPr>
        <w:pStyle w:val="BodyText"/>
        <w:tabs>
          <w:tab w:pos="2620" w:val="left" w:leader="none"/>
        </w:tabs>
        <w:spacing w:line="240" w:lineRule="auto" w:before="56"/>
        <w:ind w:left="1778" w:right="-19"/>
        <w:jc w:val="left"/>
      </w:pPr>
      <w:r>
        <w:rPr>
          <w:spacing w:val="-1"/>
        </w:rPr>
        <w:t>√适用</w:t>
        <w:tab/>
      </w:r>
      <w:r>
        <w:rPr>
          <w:spacing w:val="-2"/>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left="1778" w:right="0"/>
        <w:jc w:val="left"/>
      </w:pPr>
      <w:r>
        <w:rPr/>
        <w:t>单位：元币种：人民币</w:t>
      </w:r>
    </w:p>
    <w:p>
      <w:pPr>
        <w:spacing w:after="0" w:line="240" w:lineRule="auto"/>
        <w:jc w:val="left"/>
        <w:sectPr>
          <w:type w:val="continuous"/>
          <w:pgSz w:w="11910" w:h="16840"/>
          <w:pgMar w:top="1320" w:bottom="1380" w:left="20" w:right="20"/>
          <w:cols w:num="2" w:equalWidth="0">
            <w:col w:w="4313" w:space="2420"/>
            <w:col w:w="5137"/>
          </w:cols>
        </w:sectPr>
      </w:pPr>
    </w:p>
    <w:p>
      <w:pPr>
        <w:spacing w:line="240" w:lineRule="auto" w:before="4"/>
        <w:rPr>
          <w:rFonts w:ascii="宋体" w:hAnsi="宋体" w:cs="宋体" w:eastAsia="宋体" w:hint="default"/>
          <w:sz w:val="2"/>
          <w:szCs w:val="2"/>
        </w:rPr>
      </w:pPr>
    </w:p>
    <w:tbl>
      <w:tblPr>
        <w:tblW w:w="0" w:type="auto"/>
        <w:jc w:val="left"/>
        <w:tblInd w:w="1665" w:type="dxa"/>
        <w:tblLayout w:type="fixed"/>
        <w:tblCellMar>
          <w:top w:w="0" w:type="dxa"/>
          <w:left w:w="0" w:type="dxa"/>
          <w:bottom w:w="0" w:type="dxa"/>
          <w:right w:w="0" w:type="dxa"/>
        </w:tblCellMar>
        <w:tblLook w:val="01E0"/>
      </w:tblPr>
      <w:tblGrid>
        <w:gridCol w:w="2816"/>
        <w:gridCol w:w="1642"/>
        <w:gridCol w:w="1640"/>
        <w:gridCol w:w="1582"/>
        <w:gridCol w:w="1370"/>
      </w:tblGrid>
      <w:tr>
        <w:trPr>
          <w:trHeight w:val="283" w:hRule="exact"/>
        </w:trPr>
        <w:tc>
          <w:tcPr>
            <w:tcW w:w="2816" w:type="dxa"/>
            <w:vMerge w:val="restart"/>
            <w:tcBorders>
              <w:top w:val="single" w:sz="4" w:space="0" w:color="000000"/>
              <w:left w:val="single" w:sz="4" w:space="0" w:color="000000"/>
              <w:right w:val="single" w:sz="4" w:space="0" w:color="000000"/>
            </w:tcBorders>
          </w:tcPr>
          <w:p>
            <w:pPr>
              <w:pStyle w:val="TableParagraph"/>
              <w:spacing w:line="240" w:lineRule="auto" w:before="107"/>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2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295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945"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83" w:hRule="exact"/>
        </w:trPr>
        <w:tc>
          <w:tcPr>
            <w:tcW w:w="2816" w:type="dxa"/>
            <w:vMerge/>
            <w:tcBorders>
              <w:left w:val="single" w:sz="4" w:space="0" w:color="000000"/>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收入</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成本</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收入</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成本</w:t>
            </w:r>
          </w:p>
        </w:tc>
      </w:tr>
      <w:tr>
        <w:trPr>
          <w:trHeight w:val="281" w:hRule="exact"/>
        </w:trPr>
        <w:tc>
          <w:tcPr>
            <w:tcW w:w="28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主营业务</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2,393,406,664</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707,706,835</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1,676,223,667</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624,789,093</w:t>
            </w:r>
          </w:p>
        </w:tc>
      </w:tr>
      <w:tr>
        <w:trPr>
          <w:trHeight w:val="283" w:hRule="exact"/>
        </w:trPr>
        <w:tc>
          <w:tcPr>
            <w:tcW w:w="281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其他业务</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214,378,282</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21,501,601</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156,010,532</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center"/>
              <w:rPr>
                <w:rFonts w:ascii="宋体" w:hAnsi="宋体" w:cs="宋体" w:eastAsia="宋体" w:hint="default"/>
                <w:sz w:val="21"/>
                <w:szCs w:val="21"/>
              </w:rPr>
            </w:pPr>
            <w:r>
              <w:rPr>
                <w:rFonts w:ascii="宋体"/>
                <w:sz w:val="21"/>
              </w:rPr>
              <w:t>19,386,437</w:t>
            </w:r>
          </w:p>
        </w:tc>
      </w:tr>
      <w:tr>
        <w:trPr>
          <w:trHeight w:val="283" w:hRule="exact"/>
        </w:trPr>
        <w:tc>
          <w:tcPr>
            <w:tcW w:w="28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2,607,784,946</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729,208,436</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1,832,234,199</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644,175,530</w:t>
            </w:r>
          </w:p>
        </w:tc>
      </w:tr>
    </w:tbl>
    <w:p>
      <w:pPr>
        <w:spacing w:line="240" w:lineRule="auto" w:before="7"/>
        <w:rPr>
          <w:rFonts w:ascii="宋体" w:hAnsi="宋体" w:cs="宋体" w:eastAsia="宋体" w:hint="default"/>
          <w:sz w:val="24"/>
          <w:szCs w:val="24"/>
        </w:rPr>
      </w:pPr>
    </w:p>
    <w:p>
      <w:pPr>
        <w:pStyle w:val="Heading3"/>
        <w:spacing w:line="240" w:lineRule="auto" w:before="36"/>
        <w:ind w:left="1778" w:right="0"/>
        <w:jc w:val="left"/>
        <w:rPr>
          <w:b w:val="0"/>
          <w:bCs w:val="0"/>
        </w:rPr>
      </w:pPr>
      <w:r>
        <w:rPr>
          <w:rFonts w:ascii="宋体" w:hAnsi="宋体" w:cs="宋体" w:eastAsia="宋体" w:hint="default"/>
        </w:rPr>
        <w:t>5</w:t>
      </w:r>
      <w:r>
        <w:rPr/>
        <w:t>、</w:t>
      </w:r>
      <w:r>
        <w:rPr>
          <w:spacing w:val="3"/>
        </w:rPr>
        <w:t> </w:t>
      </w:r>
      <w:r>
        <w:rPr/>
        <w:t>投资收益</w:t>
      </w:r>
      <w:r>
        <w:rPr>
          <w:b w:val="0"/>
          <w:bCs w:val="0"/>
        </w:rPr>
      </w:r>
    </w:p>
    <w:p>
      <w:pPr>
        <w:pStyle w:val="BodyText"/>
        <w:spacing w:line="240" w:lineRule="auto" w:before="58"/>
        <w:ind w:left="1778" w:right="0"/>
        <w:jc w:val="left"/>
      </w:pPr>
      <w:r>
        <w:rPr/>
        <w:t>√适用</w:t>
      </w:r>
      <w:r>
        <w:rPr>
          <w:spacing w:val="-1"/>
        </w:rPr>
        <w:t> </w:t>
      </w:r>
      <w:r>
        <w:rPr/>
        <w:t>□不适用</w:t>
      </w:r>
    </w:p>
    <w:p>
      <w:pPr>
        <w:spacing w:after="0" w:line="240" w:lineRule="auto"/>
        <w:jc w:val="left"/>
        <w:sectPr>
          <w:type w:val="continuous"/>
          <w:pgSz w:w="11910" w:h="16840"/>
          <w:pgMar w:top="1320" w:bottom="1380" w:left="20" w:right="20"/>
        </w:sectPr>
      </w:pPr>
    </w:p>
    <w:p>
      <w:pPr>
        <w:spacing w:line="240" w:lineRule="auto" w:before="4"/>
        <w:rPr>
          <w:rFonts w:ascii="宋体" w:hAnsi="宋体" w:cs="宋体" w:eastAsia="宋体" w:hint="default"/>
          <w:sz w:val="12"/>
          <w:szCs w:val="12"/>
        </w:rPr>
      </w:pPr>
    </w:p>
    <w:p>
      <w:pPr>
        <w:pStyle w:val="BodyText"/>
        <w:spacing w:line="240" w:lineRule="auto" w:before="36"/>
        <w:ind w:left="0" w:right="230"/>
        <w:jc w:val="right"/>
      </w:pPr>
      <w:r>
        <w:rPr>
          <w:spacing w:val="-2"/>
        </w:rPr>
        <w:t>单位：元币种：人民币</w:t>
      </w: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4052"/>
        <w:gridCol w:w="2496"/>
        <w:gridCol w:w="2501"/>
      </w:tblGrid>
      <w:tr>
        <w:trPr>
          <w:trHeight w:val="283" w:hRule="exact"/>
        </w:trPr>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4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17"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20"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81" w:hRule="exact"/>
        </w:trPr>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成本法核算的长期股权投资收益</w:t>
            </w:r>
          </w:p>
        </w:tc>
        <w:tc>
          <w:tcPr>
            <w:tcW w:w="24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163,157,993</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364,264,282</w:t>
            </w:r>
          </w:p>
        </w:tc>
      </w:tr>
      <w:tr>
        <w:trPr>
          <w:trHeight w:val="283" w:hRule="exact"/>
        </w:trPr>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权益法核算的长期股权投资收益</w:t>
            </w:r>
          </w:p>
        </w:tc>
        <w:tc>
          <w:tcPr>
            <w:tcW w:w="24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1,879,015</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4,687,123</w:t>
            </w:r>
          </w:p>
        </w:tc>
      </w:tr>
      <w:tr>
        <w:trPr>
          <w:trHeight w:val="281" w:hRule="exact"/>
        </w:trPr>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处置长期股权投资产生的投资收益</w:t>
            </w:r>
          </w:p>
        </w:tc>
        <w:tc>
          <w:tcPr>
            <w:tcW w:w="24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-104,450</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-15,949,353</w:t>
            </w:r>
          </w:p>
        </w:tc>
      </w:tr>
      <w:tr>
        <w:trPr>
          <w:trHeight w:val="557" w:hRule="exact"/>
        </w:trPr>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以公允价值计量且其变动计入当期损益的</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金融资产在持有期间的投资收益</w:t>
            </w:r>
          </w:p>
        </w:tc>
        <w:tc>
          <w:tcPr>
            <w:tcW w:w="2496"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处置以公允价值计量且其变动计入当期损</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益的金融资产取得的投资收益</w:t>
            </w:r>
          </w:p>
        </w:tc>
        <w:tc>
          <w:tcPr>
            <w:tcW w:w="2496"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持有至到期投资在持有期间的投资收益</w:t>
            </w:r>
          </w:p>
        </w:tc>
        <w:tc>
          <w:tcPr>
            <w:tcW w:w="2496"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可供出售金融资产在持有期间的投资收益</w:t>
            </w:r>
          </w:p>
        </w:tc>
        <w:tc>
          <w:tcPr>
            <w:tcW w:w="24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884,692</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537,260</w:t>
            </w:r>
          </w:p>
        </w:tc>
      </w:tr>
      <w:tr>
        <w:trPr>
          <w:trHeight w:val="284" w:hRule="exact"/>
        </w:trPr>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处置可供出售金融资产取得的投资收益</w:t>
            </w:r>
          </w:p>
        </w:tc>
        <w:tc>
          <w:tcPr>
            <w:tcW w:w="2496"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丧失控制权后，剩余股权按公允价值重新</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计量产生的利得</w:t>
            </w:r>
          </w:p>
        </w:tc>
        <w:tc>
          <w:tcPr>
            <w:tcW w:w="2496"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金融资产在持有期间取得的投资收益</w:t>
            </w:r>
          </w:p>
        </w:tc>
        <w:tc>
          <w:tcPr>
            <w:tcW w:w="24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56,941,587</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26,585,487</w:t>
            </w:r>
          </w:p>
        </w:tc>
      </w:tr>
      <w:tr>
        <w:trPr>
          <w:trHeight w:val="283" w:hRule="exact"/>
        </w:trPr>
        <w:tc>
          <w:tcPr>
            <w:tcW w:w="4052" w:type="dxa"/>
            <w:tcBorders>
              <w:top w:val="single" w:sz="4" w:space="0" w:color="000000"/>
              <w:left w:val="single" w:sz="4" w:space="0" w:color="000000"/>
              <w:bottom w:val="single" w:sz="4" w:space="0" w:color="000000"/>
              <w:right w:val="single" w:sz="4" w:space="0" w:color="000000"/>
            </w:tcBorders>
          </w:tcPr>
          <w:p>
            <w:pPr/>
          </w:p>
        </w:tc>
        <w:tc>
          <w:tcPr>
            <w:tcW w:w="2496"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4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222,758,837</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380,124,799</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pStyle w:val="Heading3"/>
        <w:spacing w:line="240" w:lineRule="auto" w:before="36"/>
        <w:ind w:right="99"/>
        <w:jc w:val="left"/>
        <w:rPr>
          <w:b w:val="0"/>
          <w:bCs w:val="0"/>
        </w:rPr>
      </w:pPr>
      <w:r>
        <w:rPr>
          <w:rFonts w:ascii="宋体" w:hAnsi="宋体" w:cs="宋体" w:eastAsia="宋体" w:hint="default"/>
        </w:rPr>
        <w:t>6</w:t>
      </w:r>
      <w:r>
        <w:rPr/>
        <w:t>、</w:t>
      </w:r>
      <w:r>
        <w:rPr>
          <w:spacing w:val="2"/>
        </w:rPr>
        <w:t> </w:t>
      </w:r>
      <w:r>
        <w:rPr/>
        <w:t>其他</w:t>
      </w:r>
      <w:r>
        <w:rPr>
          <w:b w:val="0"/>
          <w:bCs w:val="0"/>
        </w:rPr>
      </w:r>
    </w:p>
    <w:p>
      <w:pPr>
        <w:pStyle w:val="BodyText"/>
        <w:tabs>
          <w:tab w:pos="1060" w:val="left" w:leader="none"/>
        </w:tabs>
        <w:spacing w:line="274" w:lineRule="exact" w:before="56"/>
        <w:ind w:right="99"/>
        <w:jc w:val="left"/>
      </w:pPr>
      <w:r>
        <w:rPr>
          <w:spacing w:val="-1"/>
        </w:rPr>
        <w:t>√适用</w:t>
        <w:tab/>
      </w:r>
      <w:r>
        <w:rPr>
          <w:spacing w:val="-2"/>
        </w:rPr>
        <w:t>□不适用</w:t>
      </w:r>
    </w:p>
    <w:p>
      <w:pPr>
        <w:pStyle w:val="BodyText"/>
        <w:spacing w:line="272" w:lineRule="exact"/>
        <w:ind w:right="99"/>
        <w:jc w:val="left"/>
      </w:pPr>
      <w:r>
        <w:rPr/>
        <w:t>注</w:t>
      </w:r>
      <w:r>
        <w:rPr>
          <w:spacing w:val="-56"/>
        </w:rPr>
        <w:t> </w:t>
      </w:r>
      <w:r>
        <w:rPr>
          <w:rFonts w:ascii="宋体" w:hAnsi="宋体" w:cs="宋体" w:eastAsia="宋体" w:hint="default"/>
        </w:rPr>
        <w:t>1.</w:t>
      </w:r>
      <w:r>
        <w:rPr/>
        <w:t>详情参见附注十七、</w:t>
      </w:r>
      <w:r>
        <w:rPr>
          <w:rFonts w:ascii="宋体" w:hAnsi="宋体" w:cs="宋体" w:eastAsia="宋体" w:hint="default"/>
        </w:rPr>
        <w:t>3</w:t>
      </w:r>
      <w:r>
        <w:rPr/>
        <w:t>。</w:t>
      </w:r>
    </w:p>
    <w:p>
      <w:pPr>
        <w:pStyle w:val="BodyText"/>
        <w:spacing w:line="273" w:lineRule="exact"/>
        <w:ind w:right="99"/>
        <w:jc w:val="left"/>
      </w:pPr>
      <w:r>
        <w:rPr/>
        <w:t>于</w:t>
      </w:r>
      <w:r>
        <w:rPr>
          <w:spacing w:val="-53"/>
        </w:rPr>
        <w:t> </w:t>
      </w:r>
      <w:r>
        <w:rPr>
          <w:rFonts w:ascii="宋体" w:hAnsi="宋体" w:cs="宋体" w:eastAsia="宋体" w:hint="default"/>
        </w:rPr>
        <w:t>2017</w:t>
      </w:r>
      <w:r>
        <w:rPr>
          <w:rFonts w:ascii="宋体" w:hAnsi="宋体" w:cs="宋体" w:eastAsia="宋体" w:hint="default"/>
          <w:spacing w:val="-53"/>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日及</w:t>
      </w:r>
      <w:r>
        <w:rPr>
          <w:spacing w:val="-54"/>
        </w:rPr>
        <w:t> </w:t>
      </w:r>
      <w:r>
        <w:rPr>
          <w:rFonts w:ascii="宋体" w:hAnsi="宋体" w:cs="宋体" w:eastAsia="宋体" w:hint="default"/>
        </w:rPr>
        <w:t>2016</w:t>
      </w:r>
      <w:r>
        <w:rPr>
          <w:rFonts w:ascii="宋体" w:hAnsi="宋体" w:cs="宋体" w:eastAsia="宋体" w:hint="default"/>
          <w:spacing w:val="-53"/>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日，本公司投资收益的汇回均无重大限制。</w:t>
      </w: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footerReference w:type="default" r:id="rId88"/>
          <w:pgSz w:w="11910" w:h="16840"/>
          <w:pgMar w:footer="1195" w:header="857" w:top="1280" w:bottom="1380" w:left="1580" w:right="1040"/>
        </w:sectPr>
      </w:pPr>
    </w:p>
    <w:p>
      <w:pPr>
        <w:pStyle w:val="Heading3"/>
        <w:tabs>
          <w:tab w:pos="1057" w:val="left" w:leader="none"/>
        </w:tabs>
        <w:spacing w:line="240" w:lineRule="auto" w:before="36"/>
        <w:ind w:right="-19"/>
        <w:jc w:val="left"/>
        <w:rPr>
          <w:b w:val="0"/>
          <w:bCs w:val="0"/>
        </w:rPr>
      </w:pPr>
      <w:r>
        <w:rPr/>
        <w:t>十八、</w:t>
        <w:tab/>
        <w:t>补充资料</w:t>
      </w:r>
      <w:r>
        <w:rPr>
          <w:b w:val="0"/>
          <w:bCs w:val="0"/>
        </w:rPr>
      </w:r>
    </w:p>
    <w:p>
      <w:pPr>
        <w:pStyle w:val="Heading3"/>
        <w:spacing w:line="240" w:lineRule="auto" w:before="58"/>
        <w:ind w:right="-19"/>
        <w:jc w:val="left"/>
        <w:rPr>
          <w:b w:val="0"/>
          <w:bCs w:val="0"/>
        </w:rPr>
      </w:pPr>
      <w:r>
        <w:rPr>
          <w:rFonts w:ascii="宋体" w:hAnsi="宋体" w:cs="宋体" w:eastAsia="宋体" w:hint="default"/>
        </w:rPr>
        <w:t>1</w:t>
      </w:r>
      <w:r>
        <w:rPr/>
        <w:t>、 当期非经常性损益明细表</w:t>
      </w:r>
      <w:r>
        <w:rPr>
          <w:b w:val="0"/>
          <w:bCs w:val="0"/>
        </w:rPr>
      </w:r>
    </w:p>
    <w:p>
      <w:pPr>
        <w:pStyle w:val="BodyText"/>
        <w:tabs>
          <w:tab w:pos="1060" w:val="left" w:leader="none"/>
        </w:tabs>
        <w:spacing w:line="240" w:lineRule="auto" w:before="56"/>
        <w:ind w:right="-19"/>
        <w:jc w:val="left"/>
      </w:pPr>
      <w:r>
        <w:rPr>
          <w:spacing w:val="-1"/>
        </w:rPr>
        <w:t>√适用</w:t>
        <w:tab/>
      </w:r>
      <w:r>
        <w:rPr>
          <w:spacing w:val="-2"/>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BodyText"/>
        <w:spacing w:line="240" w:lineRule="auto"/>
        <w:ind w:right="0"/>
        <w:jc w:val="left"/>
      </w:pPr>
      <w:r>
        <w:rPr/>
        <w:t>单位：元币种：人民币</w:t>
      </w:r>
    </w:p>
    <w:p>
      <w:pPr>
        <w:spacing w:after="0" w:line="240" w:lineRule="auto"/>
        <w:jc w:val="left"/>
        <w:sectPr>
          <w:type w:val="continuous"/>
          <w:pgSz w:w="11910" w:h="16840"/>
          <w:pgMar w:top="1320" w:bottom="1380" w:left="1580" w:right="1040"/>
          <w:cols w:num="2" w:equalWidth="0">
            <w:col w:w="2962" w:space="3771"/>
            <w:col w:w="2557"/>
          </w:cols>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4059"/>
        <w:gridCol w:w="2489"/>
        <w:gridCol w:w="2501"/>
      </w:tblGrid>
      <w:tr>
        <w:trPr>
          <w:trHeight w:val="283"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说明</w:t>
            </w:r>
          </w:p>
        </w:tc>
      </w:tr>
      <w:tr>
        <w:trPr>
          <w:trHeight w:val="281"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405,547</w:t>
            </w: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越权审批或无正式批准文件的税收返还、</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减免</w:t>
            </w: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826"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计入当期损益的政府补助（与企业业务密</w:t>
            </w:r>
          </w:p>
          <w:p>
            <w:pPr>
              <w:pStyle w:val="TableParagraph"/>
              <w:spacing w:line="240" w:lineRule="auto"/>
              <w:ind w:left="103" w:right="158"/>
              <w:jc w:val="left"/>
              <w:rPr>
                <w:rFonts w:ascii="宋体" w:hAnsi="宋体" w:cs="宋体" w:eastAsia="宋体" w:hint="default"/>
                <w:sz w:val="21"/>
                <w:szCs w:val="21"/>
              </w:rPr>
            </w:pPr>
            <w:r>
              <w:rPr>
                <w:rFonts w:ascii="宋体" w:hAnsi="宋体" w:cs="宋体" w:eastAsia="宋体" w:hint="default"/>
                <w:spacing w:val="-2"/>
                <w:sz w:val="21"/>
                <w:szCs w:val="21"/>
              </w:rPr>
              <w:t>切相关，按照国家统一标准定额或定量享</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受的政府补助除外）</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54,936,885</w:t>
            </w: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计入当期损益的对非金融企业收取的资金</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占用费</w:t>
            </w: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828"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企业取得子公司、联营企业及合营企业的</w:t>
            </w:r>
          </w:p>
          <w:p>
            <w:pPr>
              <w:pStyle w:val="TableParagraph"/>
              <w:spacing w:line="272" w:lineRule="exact" w:before="27"/>
              <w:ind w:left="103" w:right="158"/>
              <w:jc w:val="left"/>
              <w:rPr>
                <w:rFonts w:ascii="宋体" w:hAnsi="宋体" w:cs="宋体" w:eastAsia="宋体" w:hint="default"/>
                <w:sz w:val="21"/>
                <w:szCs w:val="21"/>
              </w:rPr>
            </w:pPr>
            <w:r>
              <w:rPr>
                <w:rFonts w:ascii="宋体" w:hAnsi="宋体" w:cs="宋体" w:eastAsia="宋体" w:hint="default"/>
                <w:spacing w:val="-2"/>
                <w:sz w:val="21"/>
                <w:szCs w:val="21"/>
              </w:rPr>
              <w:t>投资成本小于取得投资时应享有被投资单</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位可辨认净资产公允价值产生的收益</w:t>
            </w: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非货币性资产交换损益</w:t>
            </w: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委托他人投资或管理资产的损益</w:t>
            </w: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因不可抗力因素，如遭受自然灾害而计提</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的各项资产减值准备</w:t>
            </w: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债务重组损益</w:t>
            </w: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555"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企业重组费用，如安置职工的支出、整合</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费用等</w:t>
            </w: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交易价格显失公允的交易产生的超过公允</w:t>
            </w: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320" w:bottom="1380" w:left="1580" w:right="1040"/>
        </w:sectPr>
      </w:pPr>
    </w:p>
    <w:p>
      <w:pPr>
        <w:spacing w:line="240" w:lineRule="auto" w:before="9"/>
        <w:rPr>
          <w:rFonts w:ascii="宋体" w:hAnsi="宋体" w:cs="宋体" w:eastAsia="宋体" w:hint="default"/>
          <w:sz w:val="17"/>
          <w:szCs w:val="17"/>
        </w:rPr>
      </w:pPr>
    </w:p>
    <w:tbl>
      <w:tblPr>
        <w:tblW w:w="0" w:type="auto"/>
        <w:jc w:val="left"/>
        <w:tblInd w:w="105" w:type="dxa"/>
        <w:tblLayout w:type="fixed"/>
        <w:tblCellMar>
          <w:top w:w="0" w:type="dxa"/>
          <w:left w:w="0" w:type="dxa"/>
          <w:bottom w:w="0" w:type="dxa"/>
          <w:right w:w="0" w:type="dxa"/>
        </w:tblCellMar>
        <w:tblLook w:val="01E0"/>
      </w:tblPr>
      <w:tblGrid>
        <w:gridCol w:w="4059"/>
        <w:gridCol w:w="2489"/>
        <w:gridCol w:w="2501"/>
      </w:tblGrid>
      <w:tr>
        <w:trPr>
          <w:trHeight w:val="28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价值部分的损益</w:t>
            </w: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同一控制下企业合并产生的子公司期初至</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合并日的当期净损益</w:t>
            </w: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与公司正常经营业务无关的或有事项产生</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的损益</w:t>
            </w: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1373"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除同公司正常经营业务相关的有效套期保</w:t>
            </w:r>
          </w:p>
          <w:p>
            <w:pPr>
              <w:pStyle w:val="TableParagraph"/>
              <w:spacing w:line="237" w:lineRule="auto" w:before="2"/>
              <w:ind w:left="103" w:right="158"/>
              <w:jc w:val="both"/>
              <w:rPr>
                <w:rFonts w:ascii="宋体" w:hAnsi="宋体" w:cs="宋体" w:eastAsia="宋体" w:hint="default"/>
                <w:sz w:val="21"/>
                <w:szCs w:val="21"/>
              </w:rPr>
            </w:pPr>
            <w:r>
              <w:rPr>
                <w:rFonts w:ascii="宋体" w:hAnsi="宋体" w:cs="宋体" w:eastAsia="宋体" w:hint="default"/>
                <w:spacing w:val="-2"/>
                <w:sz w:val="21"/>
                <w:szCs w:val="21"/>
              </w:rPr>
              <w:t>值业务外，持有交易性金融资产、交易性</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pacing w:val="-2"/>
                <w:sz w:val="21"/>
                <w:szCs w:val="21"/>
              </w:rPr>
              <w:t>金融负债产生的公允价值变动损益，以及</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pacing w:val="-2"/>
                <w:sz w:val="21"/>
                <w:szCs w:val="21"/>
              </w:rPr>
              <w:t>处置交易性金融资产、交易性金融负债和</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可供出售金融资产取得的投资收益</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43,170,732</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主要为远期外汇合约取</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得的收益所致</w:t>
            </w:r>
          </w:p>
        </w:tc>
      </w:tr>
      <w:tr>
        <w:trPr>
          <w:trHeight w:val="55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单独进行减值测试的应收款项减值准备转</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回</w:t>
            </w: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对外委托贷款取得的损益</w:t>
            </w: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采用公允价值模式进行后续计量的投资性</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房地产公允价值变动产生的损益</w:t>
            </w: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根据税收、会计等法律、法规的要求对当</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期损益进行一次性调整对当期损益的影响</w:t>
            </w: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受托经营取得的托管费收入</w:t>
            </w: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1,180,357</w:t>
            </w: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其他符合非经常性损益定义的损益项目</w:t>
            </w: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405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05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-10,386,204</w:t>
            </w: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少数股东权益影响额</w:t>
            </w: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96,005,745</w:t>
            </w:r>
          </w:p>
        </w:tc>
        <w:tc>
          <w:tcPr>
            <w:tcW w:w="250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7"/>
        <w:rPr>
          <w:rFonts w:ascii="宋体" w:hAnsi="宋体" w:cs="宋体" w:eastAsia="宋体" w:hint="default"/>
          <w:sz w:val="15"/>
          <w:szCs w:val="15"/>
        </w:rPr>
      </w:pPr>
    </w:p>
    <w:p>
      <w:pPr>
        <w:pStyle w:val="BodyText"/>
        <w:spacing w:line="273" w:lineRule="exact" w:before="36"/>
        <w:ind w:right="99"/>
        <w:jc w:val="left"/>
      </w:pPr>
      <w:r>
        <w:rPr/>
        <w:t>对公司根据《公开发行证券的公司信息披露解释性公告第</w:t>
      </w:r>
      <w:r>
        <w:rPr>
          <w:spacing w:val="-55"/>
        </w:rPr>
        <w:t> </w:t>
      </w:r>
      <w:r>
        <w:rPr>
          <w:rFonts w:ascii="宋体" w:hAnsi="宋体" w:cs="宋体" w:eastAsia="宋体" w:hint="default"/>
        </w:rPr>
        <w:t>1</w:t>
      </w:r>
      <w:r>
        <w:rPr>
          <w:rFonts w:ascii="宋体" w:hAnsi="宋体" w:cs="宋体" w:eastAsia="宋体" w:hint="default"/>
          <w:spacing w:val="-55"/>
        </w:rPr>
        <w:t> </w:t>
      </w:r>
      <w:r>
        <w:rPr/>
        <w:t>号——非经常性损益》定义界定的非</w:t>
      </w:r>
    </w:p>
    <w:p>
      <w:pPr>
        <w:pStyle w:val="BodyText"/>
        <w:spacing w:line="240" w:lineRule="auto"/>
        <w:ind w:right="233"/>
        <w:jc w:val="left"/>
      </w:pPr>
      <w:r>
        <w:rPr/>
        <w:t>经常性损益项目，以及把《公开发行证券的公司信息披露解释性公告第</w:t>
      </w:r>
      <w:r>
        <w:rPr>
          <w:spacing w:val="-55"/>
        </w:rPr>
        <w:t> </w:t>
      </w:r>
      <w:r>
        <w:rPr>
          <w:rFonts w:ascii="宋体" w:hAnsi="宋体" w:cs="宋体" w:eastAsia="宋体" w:hint="default"/>
        </w:rPr>
        <w:t>1</w:t>
      </w:r>
      <w:r>
        <w:rPr>
          <w:rFonts w:ascii="宋体" w:hAnsi="宋体" w:cs="宋体" w:eastAsia="宋体" w:hint="default"/>
          <w:spacing w:val="-55"/>
        </w:rPr>
        <w:t> </w:t>
      </w:r>
      <w:r>
        <w:rPr/>
        <w:t>号——非经常性损益》</w:t>
      </w:r>
      <w:r>
        <w:rPr>
          <w:w w:val="100"/>
        </w:rPr>
        <w:t> </w:t>
      </w:r>
      <w:r>
        <w:rPr/>
        <w:t>中列举的非经常性损益项目界定为经常性损益的项目，应说明原因。</w:t>
      </w:r>
    </w:p>
    <w:p>
      <w:pPr>
        <w:pStyle w:val="BodyText"/>
        <w:spacing w:line="271" w:lineRule="exact"/>
        <w:ind w:right="99"/>
        <w:jc w:val="left"/>
      </w:pPr>
      <w:r>
        <w:rPr/>
        <w:t>□适用</w:t>
      </w:r>
      <w:r>
        <w:rPr>
          <w:spacing w:val="-1"/>
        </w:rPr>
        <w:t> </w:t>
      </w:r>
      <w:r>
        <w:rPr/>
        <w:t>√不适用</w:t>
      </w:r>
    </w:p>
    <w:p>
      <w:pPr>
        <w:pStyle w:val="Heading3"/>
        <w:spacing w:line="240" w:lineRule="auto" w:before="58"/>
        <w:ind w:right="99"/>
        <w:jc w:val="left"/>
        <w:rPr>
          <w:b w:val="0"/>
          <w:bCs w:val="0"/>
        </w:rPr>
      </w:pPr>
      <w:r>
        <w:rPr>
          <w:rFonts w:ascii="宋体" w:hAnsi="宋体" w:cs="宋体" w:eastAsia="宋体" w:hint="default"/>
        </w:rPr>
        <w:t>2</w:t>
      </w:r>
      <w:r>
        <w:rPr/>
        <w:t>、 净资产收益率及每股收益</w:t>
      </w:r>
      <w:r>
        <w:rPr>
          <w:b w:val="0"/>
          <w:bCs w:val="0"/>
        </w:rPr>
      </w:r>
    </w:p>
    <w:p>
      <w:pPr>
        <w:pStyle w:val="BodyText"/>
        <w:spacing w:line="240" w:lineRule="auto" w:before="56"/>
        <w:ind w:right="99"/>
        <w:jc w:val="left"/>
      </w:pPr>
      <w:r>
        <w:rPr/>
        <w:t>√适用</w:t>
      </w:r>
      <w:r>
        <w:rPr>
          <w:spacing w:val="-1"/>
        </w:rPr>
        <w:t> </w:t>
      </w:r>
      <w:r>
        <w:rPr/>
        <w:t>□不适用</w:t>
      </w: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914"/>
        <w:gridCol w:w="1841"/>
        <w:gridCol w:w="2146"/>
        <w:gridCol w:w="2149"/>
      </w:tblGrid>
      <w:tr>
        <w:trPr>
          <w:trHeight w:val="281" w:hRule="exact"/>
        </w:trPr>
        <w:tc>
          <w:tcPr>
            <w:tcW w:w="2914" w:type="dxa"/>
            <w:vMerge w:val="restart"/>
            <w:tcBorders>
              <w:top w:val="single" w:sz="4" w:space="0" w:color="000000"/>
              <w:left w:val="single" w:sz="4" w:space="0" w:color="000000"/>
              <w:right w:val="single" w:sz="4" w:space="0" w:color="000000"/>
            </w:tcBorders>
          </w:tcPr>
          <w:p>
            <w:pPr>
              <w:pStyle w:val="TableParagraph"/>
              <w:spacing w:line="240" w:lineRule="auto" w:before="150"/>
              <w:ind w:left="926" w:right="0"/>
              <w:jc w:val="left"/>
              <w:rPr>
                <w:rFonts w:ascii="宋体" w:hAnsi="宋体" w:cs="宋体" w:eastAsia="宋体" w:hint="default"/>
                <w:sz w:val="21"/>
                <w:szCs w:val="21"/>
              </w:rPr>
            </w:pPr>
            <w:r>
              <w:rPr>
                <w:rFonts w:ascii="宋体" w:hAnsi="宋体" w:cs="宋体" w:eastAsia="宋体" w:hint="default"/>
                <w:sz w:val="21"/>
                <w:szCs w:val="21"/>
              </w:rPr>
              <w:t>报告期利润</w:t>
            </w:r>
          </w:p>
        </w:tc>
        <w:tc>
          <w:tcPr>
            <w:tcW w:w="1841" w:type="dxa"/>
            <w:vMerge w:val="restart"/>
            <w:tcBorders>
              <w:top w:val="single" w:sz="4" w:space="0" w:color="000000"/>
              <w:left w:val="single" w:sz="4" w:space="0" w:color="000000"/>
              <w:right w:val="single" w:sz="4" w:space="0" w:color="000000"/>
            </w:tcBorders>
          </w:tcPr>
          <w:p>
            <w:pPr>
              <w:pStyle w:val="TableParagraph"/>
              <w:spacing w:line="272" w:lineRule="exact" w:before="41"/>
              <w:ind w:left="338" w:right="175" w:hanging="159"/>
              <w:jc w:val="left"/>
              <w:rPr>
                <w:rFonts w:ascii="宋体" w:hAnsi="宋体" w:cs="宋体" w:eastAsia="宋体" w:hint="default"/>
                <w:sz w:val="21"/>
                <w:szCs w:val="21"/>
              </w:rPr>
            </w:pPr>
            <w:r>
              <w:rPr>
                <w:rFonts w:ascii="宋体" w:hAnsi="宋体" w:cs="宋体" w:eastAsia="宋体" w:hint="default"/>
                <w:sz w:val="21"/>
                <w:szCs w:val="21"/>
              </w:rPr>
              <w:t>加权平均净资产</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收益率（</w:t>
            </w:r>
            <w:r>
              <w:rPr>
                <w:rFonts w:ascii="宋体" w:hAnsi="宋体" w:cs="宋体" w:eastAsia="宋体" w:hint="default"/>
                <w:sz w:val="21"/>
                <w:szCs w:val="21"/>
              </w:rPr>
              <w:t>%</w:t>
            </w:r>
            <w:r>
              <w:rPr>
                <w:rFonts w:ascii="宋体" w:hAnsi="宋体" w:cs="宋体" w:eastAsia="宋体" w:hint="default"/>
                <w:sz w:val="21"/>
                <w:szCs w:val="21"/>
              </w:rPr>
              <w:t>）</w:t>
            </w:r>
          </w:p>
        </w:tc>
        <w:tc>
          <w:tcPr>
            <w:tcW w:w="42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每股收益</w:t>
            </w:r>
          </w:p>
        </w:tc>
      </w:tr>
      <w:tr>
        <w:trPr>
          <w:trHeight w:val="370" w:hRule="exact"/>
        </w:trPr>
        <w:tc>
          <w:tcPr>
            <w:tcW w:w="2914" w:type="dxa"/>
            <w:vMerge/>
            <w:tcBorders>
              <w:left w:val="single" w:sz="4" w:space="0" w:color="000000"/>
              <w:bottom w:val="single" w:sz="4" w:space="0" w:color="000000"/>
              <w:right w:val="single" w:sz="4" w:space="0" w:color="000000"/>
            </w:tcBorders>
          </w:tcPr>
          <w:p>
            <w:pPr/>
          </w:p>
        </w:tc>
        <w:tc>
          <w:tcPr>
            <w:tcW w:w="1841" w:type="dxa"/>
            <w:vMerge/>
            <w:tcBorders>
              <w:left w:val="single" w:sz="4" w:space="0" w:color="000000"/>
              <w:bottom w:val="single" w:sz="4" w:space="0" w:color="000000"/>
              <w:right w:val="single" w:sz="4" w:space="0" w:color="000000"/>
            </w:tcBorders>
          </w:tcPr>
          <w:p>
            <w:pP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36" w:right="0"/>
              <w:jc w:val="left"/>
              <w:rPr>
                <w:rFonts w:ascii="宋体" w:hAnsi="宋体" w:cs="宋体" w:eastAsia="宋体" w:hint="default"/>
                <w:sz w:val="21"/>
                <w:szCs w:val="21"/>
              </w:rPr>
            </w:pPr>
            <w:r>
              <w:rPr>
                <w:rFonts w:ascii="宋体" w:hAnsi="宋体" w:cs="宋体" w:eastAsia="宋体" w:hint="default"/>
                <w:sz w:val="21"/>
                <w:szCs w:val="21"/>
              </w:rPr>
              <w:t>基本每股收益</w:t>
            </w:r>
          </w:p>
        </w:tc>
        <w:tc>
          <w:tcPr>
            <w:tcW w:w="21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39" w:right="0"/>
              <w:jc w:val="left"/>
              <w:rPr>
                <w:rFonts w:ascii="宋体" w:hAnsi="宋体" w:cs="宋体" w:eastAsia="宋体" w:hint="default"/>
                <w:sz w:val="21"/>
                <w:szCs w:val="21"/>
              </w:rPr>
            </w:pPr>
            <w:r>
              <w:rPr>
                <w:rFonts w:ascii="宋体" w:hAnsi="宋体" w:cs="宋体" w:eastAsia="宋体" w:hint="default"/>
                <w:sz w:val="21"/>
                <w:szCs w:val="21"/>
              </w:rPr>
              <w:t>稀释每股收益</w:t>
            </w:r>
          </w:p>
        </w:tc>
      </w:tr>
      <w:tr>
        <w:trPr>
          <w:trHeight w:val="555" w:hRule="exact"/>
        </w:trPr>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归属于公司普通股股东的净</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利润</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6.71</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0.27</w:t>
            </w:r>
          </w:p>
        </w:tc>
        <w:tc>
          <w:tcPr>
            <w:tcW w:w="21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0.27</w:t>
            </w:r>
          </w:p>
        </w:tc>
      </w:tr>
      <w:tr>
        <w:trPr>
          <w:trHeight w:val="557" w:hRule="exact"/>
        </w:trPr>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扣除非经常性损益后归属于</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公司普通股股东的净利润</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z w:val="21"/>
              </w:rPr>
              <w:t>5.05</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0.20</w:t>
            </w:r>
          </w:p>
        </w:tc>
        <w:tc>
          <w:tcPr>
            <w:tcW w:w="214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0.20</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pStyle w:val="Heading3"/>
        <w:spacing w:line="240" w:lineRule="auto" w:before="36"/>
        <w:ind w:right="99"/>
        <w:jc w:val="left"/>
        <w:rPr>
          <w:b w:val="0"/>
          <w:bCs w:val="0"/>
        </w:rPr>
      </w:pPr>
      <w:r>
        <w:rPr>
          <w:rFonts w:ascii="宋体" w:hAnsi="宋体" w:cs="宋体" w:eastAsia="宋体" w:hint="default"/>
        </w:rPr>
        <w:t>3</w:t>
      </w:r>
      <w:r>
        <w:rPr/>
        <w:t>、</w:t>
      </w:r>
      <w:r>
        <w:rPr>
          <w:spacing w:val="-2"/>
        </w:rPr>
        <w:t> </w:t>
      </w:r>
      <w:r>
        <w:rPr/>
        <w:t>境内外会计准则下会计数据差异</w:t>
      </w:r>
      <w:r>
        <w:rPr>
          <w:b w:val="0"/>
          <w:bCs w:val="0"/>
        </w:rPr>
      </w:r>
    </w:p>
    <w:p>
      <w:pPr>
        <w:pStyle w:val="BodyText"/>
        <w:spacing w:line="240" w:lineRule="auto" w:before="56"/>
        <w:ind w:right="99"/>
        <w:jc w:val="left"/>
      </w:pPr>
      <w:r>
        <w:rPr/>
        <w:t>□适用</w:t>
      </w:r>
      <w:r>
        <w:rPr>
          <w:spacing w:val="-1"/>
        </w:rPr>
        <w:t> </w:t>
      </w:r>
      <w:r>
        <w:rPr/>
        <w:t>√不适用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pStyle w:val="Heading3"/>
        <w:spacing w:line="240" w:lineRule="auto"/>
        <w:ind w:right="99"/>
        <w:jc w:val="left"/>
        <w:rPr>
          <w:b w:val="0"/>
          <w:bCs w:val="0"/>
        </w:rPr>
      </w:pPr>
      <w:r>
        <w:rPr>
          <w:rFonts w:ascii="宋体" w:hAnsi="宋体" w:cs="宋体" w:eastAsia="宋体" w:hint="default"/>
        </w:rPr>
        <w:t>4</w:t>
      </w:r>
      <w:r>
        <w:rPr/>
        <w:t>、</w:t>
      </w:r>
      <w:r>
        <w:rPr>
          <w:spacing w:val="-1"/>
        </w:rPr>
        <w:t> </w:t>
      </w:r>
      <w:r>
        <w:rPr/>
        <w:t>其他</w:t>
      </w:r>
      <w:r>
        <w:rPr>
          <w:b w:val="0"/>
          <w:bCs w:val="0"/>
        </w:rPr>
      </w:r>
    </w:p>
    <w:p>
      <w:pPr>
        <w:pStyle w:val="BodyText"/>
        <w:tabs>
          <w:tab w:pos="1060" w:val="left" w:leader="none"/>
        </w:tabs>
        <w:spacing w:line="240" w:lineRule="auto" w:before="56"/>
        <w:ind w:right="99"/>
        <w:jc w:val="left"/>
      </w:pPr>
      <w:r>
        <w:rPr>
          <w:spacing w:val="-1"/>
        </w:rPr>
        <w:t>□适用</w:t>
        <w:tab/>
      </w:r>
      <w:r>
        <w:rPr>
          <w:spacing w:val="-2"/>
        </w:rPr>
        <w:t>√不适用</w:t>
      </w:r>
    </w:p>
    <w:p>
      <w:pPr>
        <w:spacing w:after="0" w:line="240" w:lineRule="auto"/>
        <w:jc w:val="left"/>
        <w:sectPr>
          <w:footerReference w:type="default" r:id="rId89"/>
          <w:pgSz w:w="11910" w:h="16840"/>
          <w:pgMar w:footer="1195" w:header="857" w:top="1280" w:bottom="1380" w:left="1580" w:right="1040"/>
          <w:pgNumType w:start="201"/>
        </w:sectPr>
      </w:pPr>
    </w:p>
    <w:p>
      <w:pPr>
        <w:spacing w:line="240" w:lineRule="auto" w:before="11"/>
        <w:rPr>
          <w:rFonts w:ascii="宋体" w:hAnsi="宋体" w:cs="宋体" w:eastAsia="宋体" w:hint="default"/>
          <w:sz w:val="12"/>
          <w:szCs w:val="12"/>
        </w:rPr>
      </w:pPr>
    </w:p>
    <w:p>
      <w:pPr>
        <w:pStyle w:val="Heading1"/>
        <w:spacing w:line="240" w:lineRule="auto"/>
        <w:ind w:left="3062" w:right="3077"/>
        <w:jc w:val="center"/>
        <w:rPr>
          <w:b w:val="0"/>
          <w:bCs w:val="0"/>
        </w:rPr>
      </w:pPr>
      <w:bookmarkStart w:name="_TOC_250000" w:id="12"/>
      <w:r>
        <w:rPr/>
        <w:t>第十二节</w:t>
      </w:r>
      <w:r>
        <w:rPr>
          <w:spacing w:val="-6"/>
        </w:rPr>
        <w:t> </w:t>
      </w:r>
      <w:r>
        <w:rPr/>
        <w:t>备查文件目录</w:t>
      </w:r>
      <w:bookmarkEnd w:id="12"/>
      <w:r>
        <w:rPr>
          <w:b w:val="0"/>
          <w:bCs w:val="0"/>
        </w:rPr>
      </w:r>
    </w:p>
    <w:p>
      <w:pPr>
        <w:spacing w:line="240" w:lineRule="auto" w:before="0"/>
        <w:rPr>
          <w:rFonts w:ascii="黑体" w:hAnsi="黑体" w:cs="黑体" w:eastAsia="黑体" w:hint="default"/>
          <w:b/>
          <w:bCs/>
          <w:sz w:val="20"/>
          <w:szCs w:val="20"/>
        </w:rPr>
      </w:pPr>
    </w:p>
    <w:p>
      <w:pPr>
        <w:spacing w:line="240" w:lineRule="auto" w:before="6"/>
        <w:rPr>
          <w:rFonts w:ascii="黑体" w:hAnsi="黑体" w:cs="黑体" w:eastAsia="黑体" w:hint="default"/>
          <w:b/>
          <w:bCs/>
          <w:sz w:val="29"/>
          <w:szCs w:val="29"/>
        </w:rPr>
      </w:pPr>
    </w:p>
    <w:tbl>
      <w:tblPr>
        <w:tblW w:w="0" w:type="auto"/>
        <w:jc w:val="left"/>
        <w:tblInd w:w="102" w:type="dxa"/>
        <w:tblLayout w:type="fixed"/>
        <w:tblCellMar>
          <w:top w:w="0" w:type="dxa"/>
          <w:left w:w="0" w:type="dxa"/>
          <w:bottom w:w="0" w:type="dxa"/>
          <w:right w:w="0" w:type="dxa"/>
        </w:tblCellMar>
        <w:tblLook w:val="01E0"/>
      </w:tblPr>
      <w:tblGrid>
        <w:gridCol w:w="2278"/>
        <w:gridCol w:w="6548"/>
      </w:tblGrid>
      <w:tr>
        <w:trPr>
          <w:trHeight w:val="554" w:hRule="exact"/>
        </w:trPr>
        <w:tc>
          <w:tcPr>
            <w:tcW w:w="2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503" w:right="0"/>
              <w:jc w:val="left"/>
              <w:rPr>
                <w:rFonts w:ascii="宋体" w:hAnsi="宋体" w:cs="宋体" w:eastAsia="宋体" w:hint="default"/>
                <w:sz w:val="21"/>
                <w:szCs w:val="21"/>
              </w:rPr>
            </w:pPr>
            <w:r>
              <w:rPr>
                <w:rFonts w:ascii="宋体" w:hAnsi="宋体" w:cs="宋体" w:eastAsia="宋体" w:hint="default"/>
                <w:sz w:val="21"/>
                <w:szCs w:val="21"/>
              </w:rPr>
              <w:t>备查文件目录</w:t>
            </w:r>
          </w:p>
        </w:tc>
        <w:tc>
          <w:tcPr>
            <w:tcW w:w="65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pacing w:val="-3"/>
                <w:sz w:val="21"/>
                <w:szCs w:val="21"/>
              </w:rPr>
              <w:t>载有公司法定代表人、主管会计工作负责人和会计机构负责人签名并盖</w:t>
            </w:r>
          </w:p>
          <w:p>
            <w:pPr>
              <w:pStyle w:val="TableParagraph"/>
              <w:spacing w:line="273" w:lineRule="exact"/>
              <w:ind w:left="23" w:right="0"/>
              <w:jc w:val="left"/>
              <w:rPr>
                <w:rFonts w:ascii="宋体" w:hAnsi="宋体" w:cs="宋体" w:eastAsia="宋体" w:hint="default"/>
                <w:sz w:val="21"/>
                <w:szCs w:val="21"/>
              </w:rPr>
            </w:pPr>
            <w:r>
              <w:rPr>
                <w:rFonts w:ascii="宋体" w:hAnsi="宋体" w:cs="宋体" w:eastAsia="宋体" w:hint="default"/>
                <w:sz w:val="21"/>
                <w:szCs w:val="21"/>
              </w:rPr>
              <w:t>章的会计报表</w:t>
            </w:r>
          </w:p>
        </w:tc>
      </w:tr>
      <w:tr>
        <w:trPr>
          <w:trHeight w:val="283" w:hRule="exact"/>
        </w:trPr>
        <w:tc>
          <w:tcPr>
            <w:tcW w:w="227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03" w:right="0"/>
              <w:jc w:val="left"/>
              <w:rPr>
                <w:rFonts w:ascii="宋体" w:hAnsi="宋体" w:cs="宋体" w:eastAsia="宋体" w:hint="default"/>
                <w:sz w:val="21"/>
                <w:szCs w:val="21"/>
              </w:rPr>
            </w:pPr>
            <w:r>
              <w:rPr>
                <w:rFonts w:ascii="宋体" w:hAnsi="宋体" w:cs="宋体" w:eastAsia="宋体" w:hint="default"/>
                <w:sz w:val="21"/>
                <w:szCs w:val="21"/>
              </w:rPr>
              <w:t>备查文件目录</w:t>
            </w:r>
          </w:p>
        </w:tc>
        <w:tc>
          <w:tcPr>
            <w:tcW w:w="654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宋体" w:hAnsi="宋体" w:cs="宋体" w:eastAsia="宋体" w:hint="default"/>
                <w:sz w:val="21"/>
                <w:szCs w:val="21"/>
              </w:rPr>
              <w:t>载有会计师事务所盖章、注册会计师签名并盖章的审计报告原件</w:t>
            </w:r>
          </w:p>
        </w:tc>
      </w:tr>
      <w:tr>
        <w:trPr>
          <w:trHeight w:val="554" w:hRule="exact"/>
        </w:trPr>
        <w:tc>
          <w:tcPr>
            <w:tcW w:w="2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503" w:right="0"/>
              <w:jc w:val="left"/>
              <w:rPr>
                <w:rFonts w:ascii="宋体" w:hAnsi="宋体" w:cs="宋体" w:eastAsia="宋体" w:hint="default"/>
                <w:sz w:val="21"/>
                <w:szCs w:val="21"/>
              </w:rPr>
            </w:pPr>
            <w:r>
              <w:rPr>
                <w:rFonts w:ascii="宋体" w:hAnsi="宋体" w:cs="宋体" w:eastAsia="宋体" w:hint="default"/>
                <w:sz w:val="21"/>
                <w:szCs w:val="21"/>
              </w:rPr>
              <w:t>备查文件目录</w:t>
            </w:r>
          </w:p>
        </w:tc>
        <w:tc>
          <w:tcPr>
            <w:tcW w:w="654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报告期内在中国证监会指定报刊上公开披露过的所有公司文件的正本</w:t>
            </w:r>
          </w:p>
          <w:p>
            <w:pPr>
              <w:pStyle w:val="TableParagraph"/>
              <w:spacing w:line="274" w:lineRule="exact"/>
              <w:ind w:left="23" w:right="0"/>
              <w:jc w:val="left"/>
              <w:rPr>
                <w:rFonts w:ascii="宋体" w:hAnsi="宋体" w:cs="宋体" w:eastAsia="宋体" w:hint="default"/>
                <w:sz w:val="21"/>
                <w:szCs w:val="21"/>
              </w:rPr>
            </w:pPr>
            <w:r>
              <w:rPr>
                <w:rFonts w:ascii="宋体" w:hAnsi="宋体" w:cs="宋体" w:eastAsia="宋体" w:hint="default"/>
                <w:sz w:val="21"/>
                <w:szCs w:val="21"/>
              </w:rPr>
              <w:t>和公告原稿</w:t>
            </w:r>
          </w:p>
        </w:tc>
      </w:tr>
    </w:tbl>
    <w:p>
      <w:pPr>
        <w:spacing w:line="240" w:lineRule="auto" w:before="5"/>
        <w:rPr>
          <w:rFonts w:ascii="黑体" w:hAnsi="黑体" w:cs="黑体" w:eastAsia="黑体" w:hint="default"/>
          <w:b/>
          <w:bCs/>
          <w:sz w:val="21"/>
          <w:szCs w:val="21"/>
        </w:rPr>
      </w:pPr>
    </w:p>
    <w:p>
      <w:pPr>
        <w:pStyle w:val="BodyText"/>
        <w:spacing w:line="314" w:lineRule="auto" w:before="36"/>
        <w:ind w:left="5239" w:right="148" w:firstLine="2256"/>
        <w:jc w:val="left"/>
      </w:pPr>
      <w:r>
        <w:rPr>
          <w:spacing w:val="-1"/>
        </w:rPr>
        <w:t>董事长：王文京</w:t>
      </w:r>
      <w:r>
        <w:rPr>
          <w:w w:val="100"/>
        </w:rPr>
        <w:t> </w:t>
      </w:r>
      <w:r>
        <w:rPr/>
        <w:t>董事会批准报送日期：</w:t>
      </w:r>
      <w:r>
        <w:rPr>
          <w:rFonts w:ascii="宋体" w:hAnsi="宋体" w:cs="宋体" w:eastAsia="宋体" w:hint="default"/>
        </w:rPr>
        <w:t>2018</w:t>
      </w:r>
      <w:r>
        <w:rPr>
          <w:rFonts w:ascii="宋体" w:hAnsi="宋体" w:cs="宋体" w:eastAsia="宋体" w:hint="default"/>
          <w:spacing w:val="-54"/>
        </w:rPr>
        <w:t> </w:t>
      </w:r>
      <w:r>
        <w:rPr/>
        <w:t>年</w:t>
      </w:r>
      <w:r>
        <w:rPr>
          <w:spacing w:val="-54"/>
        </w:rPr>
        <w:t> </w:t>
      </w:r>
      <w:r>
        <w:rPr>
          <w:rFonts w:ascii="宋体" w:hAnsi="宋体" w:cs="宋体" w:eastAsia="宋体" w:hint="default"/>
        </w:rPr>
        <w:t>3</w:t>
      </w:r>
      <w:r>
        <w:rPr>
          <w:rFonts w:ascii="宋体" w:hAnsi="宋体" w:cs="宋体" w:eastAsia="宋体" w:hint="default"/>
          <w:spacing w:val="-56"/>
        </w:rPr>
        <w:t> </w:t>
      </w:r>
      <w:r>
        <w:rPr/>
        <w:t>月</w:t>
      </w:r>
      <w:r>
        <w:rPr>
          <w:spacing w:val="-54"/>
        </w:rPr>
        <w:t> </w:t>
      </w:r>
      <w:r>
        <w:rPr>
          <w:rFonts w:ascii="宋体" w:hAnsi="宋体" w:cs="宋体" w:eastAsia="宋体" w:hint="default"/>
        </w:rPr>
        <w:t>23</w:t>
      </w:r>
      <w:r>
        <w:rPr>
          <w:rFonts w:ascii="宋体" w:hAnsi="宋体" w:cs="宋体" w:eastAsia="宋体" w:hint="default"/>
          <w:spacing w:val="-54"/>
        </w:rPr>
        <w:t> </w:t>
      </w:r>
      <w:r>
        <w:rPr/>
        <w:t>日</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2"/>
        <w:spacing w:line="240" w:lineRule="auto" w:before="182"/>
        <w:ind w:right="0"/>
        <w:jc w:val="left"/>
        <w:rPr>
          <w:rFonts w:ascii="宋体" w:hAnsi="宋体" w:cs="宋体" w:eastAsia="宋体" w:hint="default"/>
          <w:b w:val="0"/>
          <w:bCs w:val="0"/>
        </w:rPr>
      </w:pPr>
      <w:r>
        <w:rPr>
          <w:rFonts w:ascii="宋体" w:hAnsi="宋体" w:cs="宋体" w:eastAsia="宋体" w:hint="default"/>
        </w:rPr>
        <w:t>修订信息</w:t>
      </w:r>
      <w:r>
        <w:rPr>
          <w:rFonts w:ascii="宋体" w:hAnsi="宋体" w:cs="宋体" w:eastAsia="宋体" w:hint="default"/>
          <w:b w:val="0"/>
          <w:bCs w:val="0"/>
        </w:rPr>
      </w:r>
    </w:p>
    <w:p>
      <w:pPr>
        <w:pStyle w:val="BodyText"/>
        <w:spacing w:line="240" w:lineRule="auto" w:before="4"/>
        <w:ind w:left="138" w:right="0"/>
        <w:jc w:val="left"/>
      </w:pPr>
      <w:r>
        <w:rPr/>
        <w:t>□适用</w:t>
      </w:r>
      <w:r>
        <w:rPr>
          <w:spacing w:val="-1"/>
        </w:rPr>
        <w:t> </w:t>
      </w:r>
      <w:r>
        <w:rPr/>
        <w:t>√不适用</w:t>
      </w:r>
    </w:p>
    <w:sectPr>
      <w:pgSz w:w="11910" w:h="16840"/>
      <w:pgMar w:header="857" w:footer="1195" w:top="1280" w:bottom="1380" w:left="1660" w:right="11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w:altName w:val="Cambria"/>
    <w:charset w:val="0"/>
    <w:family w:val="roman"/>
    <w:pitch w:val="variable"/>
  </w:font>
  <w:font w:name="黑体">
    <w:altName w:val="黑体"/>
    <w:charset w:val="86"/>
    <w:family w:val="modern"/>
    <w:pitch w:val="fixed"/>
  </w:font>
  <w:font w:name="Calibri">
    <w:altName w:val="Calibri"/>
    <w:charset w:val="0"/>
    <w:family w:val="swiss"/>
    <w:pitch w:val="variable"/>
  </w:font>
  <w:font w:name="宋体">
    <w:altName w:val="宋体"/>
    <w:charset w:val="86"/>
    <w:family w:val="auto"/>
    <w:pitch w:val="variable"/>
  </w:font>
  <w:font w:name="微软雅黑">
    <w:altName w:val="微软雅黑"/>
    <w:charset w:val="86"/>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5.769989pt;margin-top:771.169983pt;width:28.8pt;height:11pt;mso-position-horizontal-relative:page;mso-position-vertical-relative:page;z-index:-104670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69983pt;width:33.4pt;height:11pt;mso-position-horizontal-relative:page;mso-position-vertical-relative:page;z-index:-104648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31</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69983pt;width:33.4pt;height:11pt;mso-position-horizontal-relative:page;mso-position-vertical-relative:page;z-index:-104646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35</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71.169983pt;width:32.4pt;height:11pt;mso-position-horizontal-relative:page;mso-position-vertical-relative:page;z-index:-104644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40 </w:t>
                </w:r>
                <w:r>
                  <w:rPr>
                    <w:rFonts w:ascii="Calibri"/>
                    <w:sz w:val="18"/>
                  </w:rPr>
                  <w:t>/</w:t>
                </w:r>
                <w:r>
                  <w:rPr>
                    <w:rFonts w:ascii="Calibri"/>
                    <w:spacing w:val="-4"/>
                    <w:sz w:val="18"/>
                  </w:rPr>
                  <w:t> </w:t>
                </w:r>
                <w:r>
                  <w:rPr>
                    <w:rFonts w:ascii="Calibri"/>
                    <w:b/>
                    <w:sz w:val="18"/>
                  </w:rPr>
                  <w:t>202</w:t>
                </w:r>
                <w:r>
                  <w:rPr>
                    <w:rFonts w:ascii="Calibri"/>
                    <w:sz w:val="18"/>
                  </w:rPr>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69983pt;width:33.4pt;height:11pt;mso-position-horizontal-relative:page;mso-position-vertical-relative:page;z-index:-104641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41</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71.169983pt;width:32.4pt;height:11pt;mso-position-horizontal-relative:page;mso-position-vertical-relative:page;z-index:-104639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50 </w:t>
                </w:r>
                <w:r>
                  <w:rPr>
                    <w:rFonts w:ascii="Calibri"/>
                    <w:sz w:val="18"/>
                  </w:rPr>
                  <w:t>/</w:t>
                </w:r>
                <w:r>
                  <w:rPr>
                    <w:rFonts w:ascii="Calibri"/>
                    <w:spacing w:val="-4"/>
                    <w:sz w:val="18"/>
                  </w:rPr>
                  <w:t> </w:t>
                </w:r>
                <w:r>
                  <w:rPr>
                    <w:rFonts w:ascii="Calibri"/>
                    <w:b/>
                    <w:sz w:val="18"/>
                  </w:rPr>
                  <w:t>202</w:t>
                </w:r>
                <w:r>
                  <w:rPr>
                    <w:rFonts w:ascii="Calibri"/>
                    <w:sz w:val="18"/>
                  </w:rPr>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71.169983pt;width:32.4pt;height:11pt;mso-position-horizontal-relative:page;mso-position-vertical-relative:page;z-index:-104636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51 </w:t>
                </w:r>
                <w:r>
                  <w:rPr>
                    <w:rFonts w:ascii="Calibri"/>
                    <w:sz w:val="18"/>
                  </w:rPr>
                  <w:t>/</w:t>
                </w:r>
                <w:r>
                  <w:rPr>
                    <w:rFonts w:ascii="Calibri"/>
                    <w:spacing w:val="-4"/>
                    <w:sz w:val="18"/>
                  </w:rPr>
                  <w:t> </w:t>
                </w:r>
                <w:r>
                  <w:rPr>
                    <w:rFonts w:ascii="Calibri"/>
                    <w:b/>
                    <w:sz w:val="18"/>
                  </w:rPr>
                  <w:t>202</w:t>
                </w:r>
                <w:r>
                  <w:rPr>
                    <w:rFonts w:ascii="Calibri"/>
                    <w:sz w:val="18"/>
                  </w:rPr>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69983pt;width:33.4pt;height:11pt;mso-position-horizontal-relative:page;mso-position-vertical-relative:page;z-index:-104634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52</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71.169983pt;width:32.4pt;height:11pt;mso-position-horizontal-relative:page;mso-position-vertical-relative:page;z-index:-104632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60 </w:t>
                </w:r>
                <w:r>
                  <w:rPr>
                    <w:rFonts w:ascii="Calibri"/>
                    <w:sz w:val="18"/>
                  </w:rPr>
                  <w:t>/</w:t>
                </w:r>
                <w:r>
                  <w:rPr>
                    <w:rFonts w:ascii="Calibri"/>
                    <w:spacing w:val="-4"/>
                    <w:sz w:val="18"/>
                  </w:rPr>
                  <w:t> </w:t>
                </w:r>
                <w:r>
                  <w:rPr>
                    <w:rFonts w:ascii="Calibri"/>
                    <w:b/>
                    <w:sz w:val="18"/>
                  </w:rPr>
                  <w:t>202</w:t>
                </w:r>
                <w:r>
                  <w:rPr>
                    <w:rFonts w:ascii="Calibri"/>
                    <w:sz w:val="18"/>
                  </w:rPr>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71.169983pt;width:32.4pt;height:11pt;mso-position-horizontal-relative:page;mso-position-vertical-relative:page;z-index:-104629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61 </w:t>
                </w:r>
                <w:r>
                  <w:rPr>
                    <w:rFonts w:ascii="Calibri"/>
                    <w:sz w:val="18"/>
                  </w:rPr>
                  <w:t>/</w:t>
                </w:r>
                <w:r>
                  <w:rPr>
                    <w:rFonts w:ascii="Calibri"/>
                    <w:spacing w:val="-4"/>
                    <w:sz w:val="18"/>
                  </w:rPr>
                  <w:t> </w:t>
                </w:r>
                <w:r>
                  <w:rPr>
                    <w:rFonts w:ascii="Calibri"/>
                    <w:b/>
                    <w:sz w:val="18"/>
                  </w:rPr>
                  <w:t>202</w:t>
                </w:r>
                <w:r>
                  <w:rPr>
                    <w:rFonts w:ascii="Calibri"/>
                    <w:sz w:val="18"/>
                  </w:rPr>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5.829987pt;margin-top:524.546021pt;width:33.4pt;height:11pt;mso-position-horizontal-relative:page;mso-position-vertical-relative:page;z-index:-104622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62</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71.169983pt;width:32.4pt;height:11pt;mso-position-horizontal-relative:page;mso-position-vertical-relative:page;z-index:-104668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10 </w:t>
                </w:r>
                <w:r>
                  <w:rPr>
                    <w:rFonts w:ascii="Calibri"/>
                    <w:sz w:val="18"/>
                  </w:rPr>
                  <w:t>/</w:t>
                </w:r>
                <w:r>
                  <w:rPr>
                    <w:rFonts w:ascii="Calibri"/>
                    <w:spacing w:val="-4"/>
                    <w:sz w:val="18"/>
                  </w:rPr>
                  <w:t> </w:t>
                </w:r>
                <w:r>
                  <w:rPr>
                    <w:rFonts w:ascii="Calibri"/>
                    <w:b/>
                    <w:sz w:val="18"/>
                  </w:rPr>
                  <w:t>202</w:t>
                </w:r>
                <w:r>
                  <w:rPr>
                    <w:rFonts w:ascii="Calibri"/>
                    <w:sz w:val="18"/>
                  </w:rPr>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6.829987pt;margin-top:524.546021pt;width:32.4pt;height:11pt;mso-position-horizontal-relative:page;mso-position-vertical-relative:page;z-index:-104620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70 </w:t>
                </w:r>
                <w:r>
                  <w:rPr>
                    <w:rFonts w:ascii="Calibri"/>
                    <w:sz w:val="18"/>
                  </w:rPr>
                  <w:t>/</w:t>
                </w:r>
                <w:r>
                  <w:rPr>
                    <w:rFonts w:ascii="Calibri"/>
                    <w:spacing w:val="-4"/>
                    <w:sz w:val="18"/>
                  </w:rPr>
                  <w:t> </w:t>
                </w:r>
                <w:r>
                  <w:rPr>
                    <w:rFonts w:ascii="Calibri"/>
                    <w:b/>
                    <w:sz w:val="18"/>
                  </w:rPr>
                  <w:t>202</w:t>
                </w:r>
                <w:r>
                  <w:rPr>
                    <w:rFonts w:ascii="Calibri"/>
                    <w:sz w:val="18"/>
                  </w:rPr>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5.829987pt;margin-top:524.546021pt;width:33.4pt;height:11pt;mso-position-horizontal-relative:page;mso-position-vertical-relative:page;z-index:-104617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71</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69983pt;width:33.4pt;height:11pt;mso-position-horizontal-relative:page;mso-position-vertical-relative:page;z-index:-104608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73</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71.169983pt;width:32.4pt;height:11pt;mso-position-horizontal-relative:page;mso-position-vertical-relative:page;z-index:-104605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80 </w:t>
                </w:r>
                <w:r>
                  <w:rPr>
                    <w:rFonts w:ascii="Calibri"/>
                    <w:sz w:val="18"/>
                  </w:rPr>
                  <w:t>/</w:t>
                </w:r>
                <w:r>
                  <w:rPr>
                    <w:rFonts w:ascii="Calibri"/>
                    <w:spacing w:val="-4"/>
                    <w:sz w:val="18"/>
                  </w:rPr>
                  <w:t> </w:t>
                </w:r>
                <w:r>
                  <w:rPr>
                    <w:rFonts w:ascii="Calibri"/>
                    <w:b/>
                    <w:sz w:val="18"/>
                  </w:rPr>
                  <w:t>202</w:t>
                </w:r>
                <w:r>
                  <w:rPr>
                    <w:rFonts w:ascii="Calibri"/>
                    <w:sz w:val="18"/>
                  </w:rPr>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69983pt;width:33.4pt;height:11pt;mso-position-horizontal-relative:page;mso-position-vertical-relative:page;z-index:-104603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81</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71.169983pt;width:32.4pt;height:11pt;mso-position-horizontal-relative:page;mso-position-vertical-relative:page;z-index:-104600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90 </w:t>
                </w:r>
                <w:r>
                  <w:rPr>
                    <w:rFonts w:ascii="Calibri"/>
                    <w:sz w:val="18"/>
                  </w:rPr>
                  <w:t>/</w:t>
                </w:r>
                <w:r>
                  <w:rPr>
                    <w:rFonts w:ascii="Calibri"/>
                    <w:spacing w:val="-4"/>
                    <w:sz w:val="18"/>
                  </w:rPr>
                  <w:t> </w:t>
                </w:r>
                <w:r>
                  <w:rPr>
                    <w:rFonts w:ascii="Calibri"/>
                    <w:b/>
                    <w:sz w:val="18"/>
                  </w:rPr>
                  <w:t>202</w:t>
                </w:r>
                <w:r>
                  <w:rPr>
                    <w:rFonts w:ascii="Calibri"/>
                    <w:sz w:val="18"/>
                  </w:rPr>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71.169983pt;width:32.4pt;height:11pt;mso-position-horizontal-relative:page;mso-position-vertical-relative:page;z-index:-104598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91 </w:t>
                </w:r>
                <w:r>
                  <w:rPr>
                    <w:rFonts w:ascii="Calibri"/>
                    <w:sz w:val="18"/>
                  </w:rPr>
                  <w:t>/</w:t>
                </w:r>
                <w:r>
                  <w:rPr>
                    <w:rFonts w:ascii="Calibri"/>
                    <w:spacing w:val="-4"/>
                    <w:sz w:val="18"/>
                  </w:rPr>
                  <w:t> </w:t>
                </w:r>
                <w:r>
                  <w:rPr>
                    <w:rFonts w:ascii="Calibri"/>
                    <w:b/>
                    <w:sz w:val="18"/>
                  </w:rPr>
                  <w:t>202</w:t>
                </w:r>
                <w:r>
                  <w:rPr>
                    <w:rFonts w:ascii="Calibri"/>
                    <w:sz w:val="18"/>
                  </w:rPr>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1.609985pt;margin-top:524.546021pt;width:33.4pt;height:11pt;mso-position-horizontal-relative:page;mso-position-vertical-relative:page;z-index:-104588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92</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69983pt;width:33.4pt;height:11pt;mso-position-horizontal-relative:page;mso-position-vertical-relative:page;z-index:-104579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98</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209991pt;margin-top:771.169983pt;width:36.950pt;height:11pt;mso-position-horizontal-relative:page;mso-position-vertical-relative:page;z-index:-104576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100 </w:t>
                </w:r>
                <w:r>
                  <w:rPr>
                    <w:rFonts w:ascii="Calibri"/>
                    <w:sz w:val="18"/>
                  </w:rPr>
                  <w:t>/</w:t>
                </w:r>
                <w:r>
                  <w:rPr>
                    <w:rFonts w:ascii="Calibri"/>
                    <w:spacing w:val="-5"/>
                    <w:sz w:val="18"/>
                  </w:rPr>
                  <w:t> </w:t>
                </w:r>
                <w:r>
                  <w:rPr>
                    <w:rFonts w:ascii="Calibri"/>
                    <w:b/>
                    <w:sz w:val="18"/>
                  </w:rPr>
                  <w:t>202</w:t>
                </w:r>
                <w:r>
                  <w:rPr>
                    <w:rFonts w:ascii="Calibri"/>
                    <w:sz w:val="18"/>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69983pt;width:33.4pt;height:11pt;mso-position-horizontal-relative:page;mso-position-vertical-relative:page;z-index:-104665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11</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209991pt;margin-top:771.169983pt;width:36.950pt;height:11pt;mso-position-horizontal-relative:page;mso-position-vertical-relative:page;z-index:-104574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101 </w:t>
                </w:r>
                <w:r>
                  <w:rPr>
                    <w:rFonts w:ascii="Calibri"/>
                    <w:sz w:val="18"/>
                  </w:rPr>
                  <w:t>/</w:t>
                </w:r>
                <w:r>
                  <w:rPr>
                    <w:rFonts w:ascii="Calibri"/>
                    <w:spacing w:val="-5"/>
                    <w:sz w:val="18"/>
                  </w:rPr>
                  <w:t> </w:t>
                </w:r>
                <w:r>
                  <w:rPr>
                    <w:rFonts w:ascii="Calibri"/>
                    <w:b/>
                    <w:sz w:val="18"/>
                  </w:rPr>
                  <w:t>202</w:t>
                </w:r>
                <w:r>
                  <w:rPr>
                    <w:rFonts w:ascii="Calibri"/>
                    <w:sz w:val="18"/>
                  </w:rPr>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169983pt;width:37.950pt;height:11pt;mso-position-horizontal-relative:page;mso-position-vertical-relative:page;z-index:-104572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102</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209991pt;margin-top:771.169983pt;width:36.950pt;height:11pt;mso-position-horizontal-relative:page;mso-position-vertical-relative:page;z-index:-104569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110 </w:t>
                </w:r>
                <w:r>
                  <w:rPr>
                    <w:rFonts w:ascii="Calibri"/>
                    <w:sz w:val="18"/>
                  </w:rPr>
                  <w:t>/</w:t>
                </w:r>
                <w:r>
                  <w:rPr>
                    <w:rFonts w:ascii="Calibri"/>
                    <w:spacing w:val="-5"/>
                    <w:sz w:val="18"/>
                  </w:rPr>
                  <w:t> </w:t>
                </w:r>
                <w:r>
                  <w:rPr>
                    <w:rFonts w:ascii="Calibri"/>
                    <w:b/>
                    <w:sz w:val="18"/>
                  </w:rPr>
                  <w:t>202</w:t>
                </w:r>
                <w:r>
                  <w:rPr>
                    <w:rFonts w:ascii="Calibri"/>
                    <w:sz w:val="18"/>
                  </w:rPr>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169983pt;width:37.950pt;height:11pt;mso-position-horizontal-relative:page;mso-position-vertical-relative:page;z-index:-104567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111</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209991pt;margin-top:771.169983pt;width:36.950pt;height:11pt;mso-position-horizontal-relative:page;mso-position-vertical-relative:page;z-index:-104564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120 </w:t>
                </w:r>
                <w:r>
                  <w:rPr>
                    <w:rFonts w:ascii="Calibri"/>
                    <w:sz w:val="18"/>
                  </w:rPr>
                  <w:t>/</w:t>
                </w:r>
                <w:r>
                  <w:rPr>
                    <w:rFonts w:ascii="Calibri"/>
                    <w:spacing w:val="-5"/>
                    <w:sz w:val="18"/>
                  </w:rPr>
                  <w:t> </w:t>
                </w:r>
                <w:r>
                  <w:rPr>
                    <w:rFonts w:ascii="Calibri"/>
                    <w:b/>
                    <w:sz w:val="18"/>
                  </w:rPr>
                  <w:t>202</w:t>
                </w:r>
                <w:r>
                  <w:rPr>
                    <w:rFonts w:ascii="Calibri"/>
                    <w:sz w:val="18"/>
                  </w:rPr>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169983pt;width:37.950pt;height:11pt;mso-position-horizontal-relative:page;mso-position-vertical-relative:page;z-index:-104562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121</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209991pt;margin-top:771.169983pt;width:36.950pt;height:11pt;mso-position-horizontal-relative:page;mso-position-vertical-relative:page;z-index:-104560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130 </w:t>
                </w:r>
                <w:r>
                  <w:rPr>
                    <w:rFonts w:ascii="Calibri"/>
                    <w:sz w:val="18"/>
                  </w:rPr>
                  <w:t>/</w:t>
                </w:r>
                <w:r>
                  <w:rPr>
                    <w:rFonts w:ascii="Calibri"/>
                    <w:spacing w:val="-5"/>
                    <w:sz w:val="18"/>
                  </w:rPr>
                  <w:t> </w:t>
                </w:r>
                <w:r>
                  <w:rPr>
                    <w:rFonts w:ascii="Calibri"/>
                    <w:b/>
                    <w:sz w:val="18"/>
                  </w:rPr>
                  <w:t>202</w:t>
                </w:r>
                <w:r>
                  <w:rPr>
                    <w:rFonts w:ascii="Calibri"/>
                    <w:sz w:val="18"/>
                  </w:rPr>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169983pt;width:37.950pt;height:11pt;mso-position-horizontal-relative:page;mso-position-vertical-relative:page;z-index:-104557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131</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169983pt;width:37.950pt;height:11pt;mso-position-horizontal-relative:page;mso-position-vertical-relative:page;z-index:-104555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137</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209991pt;margin-top:771.169983pt;width:36.950pt;height:11pt;mso-position-horizontal-relative:page;mso-position-vertical-relative:page;z-index:-104552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140 </w:t>
                </w:r>
                <w:r>
                  <w:rPr>
                    <w:rFonts w:ascii="Calibri"/>
                    <w:sz w:val="18"/>
                  </w:rPr>
                  <w:t>/</w:t>
                </w:r>
                <w:r>
                  <w:rPr>
                    <w:rFonts w:ascii="Calibri"/>
                    <w:spacing w:val="-5"/>
                    <w:sz w:val="18"/>
                  </w:rPr>
                  <w:t> </w:t>
                </w:r>
                <w:r>
                  <w:rPr>
                    <w:rFonts w:ascii="Calibri"/>
                    <w:b/>
                    <w:sz w:val="18"/>
                  </w:rPr>
                  <w:t>202</w:t>
                </w:r>
                <w:r>
                  <w:rPr>
                    <w:rFonts w:ascii="Calibri"/>
                    <w:sz w:val="18"/>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69983pt;width:33.4pt;height:11pt;mso-position-horizontal-relative:page;mso-position-vertical-relative:page;z-index:-104663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15</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169983pt;width:37.950pt;height:11pt;mso-position-horizontal-relative:page;mso-position-vertical-relative:page;z-index:-104550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141</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209991pt;margin-top:771.169983pt;width:36.950pt;height:11pt;mso-position-horizontal-relative:page;mso-position-vertical-relative:page;z-index:-104548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150 </w:t>
                </w:r>
                <w:r>
                  <w:rPr>
                    <w:rFonts w:ascii="Calibri"/>
                    <w:sz w:val="18"/>
                  </w:rPr>
                  <w:t>/</w:t>
                </w:r>
                <w:r>
                  <w:rPr>
                    <w:rFonts w:ascii="Calibri"/>
                    <w:spacing w:val="-5"/>
                    <w:sz w:val="18"/>
                  </w:rPr>
                  <w:t> </w:t>
                </w:r>
                <w:r>
                  <w:rPr>
                    <w:rFonts w:ascii="Calibri"/>
                    <w:b/>
                    <w:sz w:val="18"/>
                  </w:rPr>
                  <w:t>202</w:t>
                </w:r>
                <w:r>
                  <w:rPr>
                    <w:rFonts w:ascii="Calibri"/>
                    <w:sz w:val="18"/>
                  </w:rPr>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169983pt;width:37.950pt;height:11pt;mso-position-horizontal-relative:page;mso-position-vertical-relative:page;z-index:-104545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151</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209991pt;margin-top:771.169983pt;width:36.950pt;height:11pt;mso-position-horizontal-relative:page;mso-position-vertical-relative:page;z-index:-104543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160 </w:t>
                </w:r>
                <w:r>
                  <w:rPr>
                    <w:rFonts w:ascii="Calibri"/>
                    <w:sz w:val="18"/>
                  </w:rPr>
                  <w:t>/</w:t>
                </w:r>
                <w:r>
                  <w:rPr>
                    <w:rFonts w:ascii="Calibri"/>
                    <w:spacing w:val="-5"/>
                    <w:sz w:val="18"/>
                  </w:rPr>
                  <w:t> </w:t>
                </w:r>
                <w:r>
                  <w:rPr>
                    <w:rFonts w:ascii="Calibri"/>
                    <w:b/>
                    <w:sz w:val="18"/>
                  </w:rPr>
                  <w:t>202</w:t>
                </w:r>
                <w:r>
                  <w:rPr>
                    <w:rFonts w:ascii="Calibri"/>
                    <w:sz w:val="18"/>
                  </w:rPr>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169983pt;width:37.950pt;height:11pt;mso-position-horizontal-relative:page;mso-position-vertical-relative:page;z-index:-104540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161</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169983pt;width:37.950pt;height:11pt;mso-position-horizontal-relative:page;mso-position-vertical-relative:page;z-index:-104531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168</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209991pt;margin-top:771.169983pt;width:36.950pt;height:11pt;mso-position-horizontal-relative:page;mso-position-vertical-relative:page;z-index:-104528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170 </w:t>
                </w:r>
                <w:r>
                  <w:rPr>
                    <w:rFonts w:ascii="Calibri"/>
                    <w:sz w:val="18"/>
                  </w:rPr>
                  <w:t>/</w:t>
                </w:r>
                <w:r>
                  <w:rPr>
                    <w:rFonts w:ascii="Calibri"/>
                    <w:spacing w:val="-5"/>
                    <w:sz w:val="18"/>
                  </w:rPr>
                  <w:t> </w:t>
                </w:r>
                <w:r>
                  <w:rPr>
                    <w:rFonts w:ascii="Calibri"/>
                    <w:b/>
                    <w:sz w:val="18"/>
                  </w:rPr>
                  <w:t>202</w:t>
                </w:r>
                <w:r>
                  <w:rPr>
                    <w:rFonts w:ascii="Calibri"/>
                    <w:sz w:val="18"/>
                  </w:rPr>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169983pt;width:37.950pt;height:11pt;mso-position-horizontal-relative:page;mso-position-vertical-relative:page;z-index:-104526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171</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209991pt;margin-top:771.169983pt;width:36.950pt;height:11pt;mso-position-horizontal-relative:page;mso-position-vertical-relative:page;z-index:-104524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180 </w:t>
                </w:r>
                <w:r>
                  <w:rPr>
                    <w:rFonts w:ascii="Calibri"/>
                    <w:sz w:val="18"/>
                  </w:rPr>
                  <w:t>/</w:t>
                </w:r>
                <w:r>
                  <w:rPr>
                    <w:rFonts w:ascii="Calibri"/>
                    <w:spacing w:val="-5"/>
                    <w:sz w:val="18"/>
                  </w:rPr>
                  <w:t> </w:t>
                </w:r>
                <w:r>
                  <w:rPr>
                    <w:rFonts w:ascii="Calibri"/>
                    <w:b/>
                    <w:sz w:val="18"/>
                  </w:rPr>
                  <w:t>202</w:t>
                </w:r>
                <w:r>
                  <w:rPr>
                    <w:rFonts w:ascii="Calibri"/>
                    <w:sz w:val="18"/>
                  </w:rPr>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69983pt;width:33.4pt;height:11pt;mso-position-horizontal-relative:page;mso-position-vertical-relative:page;z-index:-104660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18</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169983pt;width:37.950pt;height:11pt;mso-position-horizontal-relative:page;mso-position-vertical-relative:page;z-index:-104521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181</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209991pt;margin-top:771.169983pt;width:36.950pt;height:11pt;mso-position-horizontal-relative:page;mso-position-vertical-relative:page;z-index:-104519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190 </w:t>
                </w:r>
                <w:r>
                  <w:rPr>
                    <w:rFonts w:ascii="Calibri"/>
                    <w:sz w:val="18"/>
                  </w:rPr>
                  <w:t>/</w:t>
                </w:r>
                <w:r>
                  <w:rPr>
                    <w:rFonts w:ascii="Calibri"/>
                    <w:spacing w:val="-5"/>
                    <w:sz w:val="18"/>
                  </w:rPr>
                  <w:t> </w:t>
                </w:r>
                <w:r>
                  <w:rPr>
                    <w:rFonts w:ascii="Calibri"/>
                    <w:b/>
                    <w:sz w:val="18"/>
                  </w:rPr>
                  <w:t>202</w:t>
                </w:r>
                <w:r>
                  <w:rPr>
                    <w:rFonts w:ascii="Calibri"/>
                    <w:sz w:val="18"/>
                  </w:rPr>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169983pt;width:37.950pt;height:11pt;mso-position-horizontal-relative:page;mso-position-vertical-relative:page;z-index:-104516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191</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209991pt;margin-top:771.169983pt;width:36.950pt;height:11pt;mso-position-horizontal-relative:page;mso-position-vertical-relative:page;z-index:-104514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200 </w:t>
                </w:r>
                <w:r>
                  <w:rPr>
                    <w:rFonts w:ascii="Calibri"/>
                    <w:sz w:val="18"/>
                  </w:rPr>
                  <w:t>/</w:t>
                </w:r>
                <w:r>
                  <w:rPr>
                    <w:rFonts w:ascii="Calibri"/>
                    <w:spacing w:val="-5"/>
                    <w:sz w:val="18"/>
                  </w:rPr>
                  <w:t> </w:t>
                </w:r>
                <w:r>
                  <w:rPr>
                    <w:rFonts w:ascii="Calibri"/>
                    <w:b/>
                    <w:sz w:val="18"/>
                  </w:rPr>
                  <w:t>202</w:t>
                </w:r>
                <w:r>
                  <w:rPr>
                    <w:rFonts w:ascii="Calibri"/>
                    <w:sz w:val="18"/>
                  </w:rPr>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169983pt;width:37.950pt;height:11pt;mso-position-horizontal-relative:page;mso-position-vertical-relative:page;z-index:-104512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201</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71.169983pt;width:32.4pt;height:11pt;mso-position-horizontal-relative:page;mso-position-vertical-relative:page;z-index:-104658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20 </w:t>
                </w:r>
                <w:r>
                  <w:rPr>
                    <w:rFonts w:ascii="Calibri"/>
                    <w:sz w:val="18"/>
                  </w:rPr>
                  <w:t>/</w:t>
                </w:r>
                <w:r>
                  <w:rPr>
                    <w:rFonts w:ascii="Calibri"/>
                    <w:spacing w:val="-4"/>
                    <w:sz w:val="18"/>
                  </w:rPr>
                  <w:t> </w:t>
                </w:r>
                <w:r>
                  <w:rPr>
                    <w:rFonts w:ascii="Calibri"/>
                    <w:b/>
                    <w:sz w:val="18"/>
                  </w:rPr>
                  <w:t>202</w:t>
                </w:r>
                <w:r>
                  <w:rPr>
                    <w:rFonts w:ascii="Calibri"/>
                    <w:sz w:val="18"/>
                  </w:rPr>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69983pt;width:33.4pt;height:11pt;mso-position-horizontal-relative:page;mso-position-vertical-relative:page;z-index:-104656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21</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69983pt;width:33.4pt;height:11pt;mso-position-horizontal-relative:page;mso-position-vertical-relative:page;z-index:-104653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28</w:t>
                </w:r>
                <w:r>
                  <w:rPr/>
                  <w:fldChar w:fldCharType="end"/>
                </w:r>
                <w:r>
                  <w:rPr>
                    <w:rFonts w:ascii="Calibri"/>
                    <w:b/>
                    <w:sz w:val="18"/>
                  </w:rPr>
                  <w:t> </w:t>
                </w:r>
                <w:r>
                  <w:rPr>
                    <w:rFonts w:ascii="Calibri"/>
                    <w:sz w:val="18"/>
                  </w:rPr>
                  <w:t>/</w:t>
                </w:r>
                <w:r>
                  <w:rPr>
                    <w:rFonts w:ascii="Calibri"/>
                    <w:spacing w:val="-3"/>
                    <w:sz w:val="18"/>
                  </w:rPr>
                  <w:t> </w:t>
                </w:r>
                <w:r>
                  <w:rPr>
                    <w:rFonts w:ascii="Calibri"/>
                    <w:b/>
                    <w:sz w:val="18"/>
                  </w:rPr>
                  <w:t>202</w:t>
                </w:r>
                <w:r>
                  <w:rPr>
                    <w:rFonts w:ascii="Calibri"/>
                    <w:sz w:val="18"/>
                  </w:rPr>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71.169983pt;width:32.4pt;height:11pt;mso-position-horizontal-relative:page;mso-position-vertical-relative:page;z-index:-104651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30 </w:t>
                </w:r>
                <w:r>
                  <w:rPr>
                    <w:rFonts w:ascii="Calibri"/>
                    <w:sz w:val="18"/>
                  </w:rPr>
                  <w:t>/</w:t>
                </w:r>
                <w:r>
                  <w:rPr>
                    <w:rFonts w:ascii="Calibri"/>
                    <w:spacing w:val="-4"/>
                    <w:sz w:val="18"/>
                  </w:rPr>
                  <w:t> </w:t>
                </w:r>
                <w:r>
                  <w:rPr>
                    <w:rFonts w:ascii="Calibri"/>
                    <w:b/>
                    <w:sz w:val="18"/>
                  </w:rPr>
                  <w:t>202</w:t>
                </w:r>
                <w:r>
                  <w:rPr>
                    <w:rFonts w:ascii="Calibri"/>
                    <w:sz w:val="18"/>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04.100006pt;margin-top:42.749985pt;width:26.15pt;height:18.4pt;mso-position-horizontal-relative:page;mso-position-vertical-relative:page;z-index:-1046776" type="#_x0000_t75" stroked="false">
          <v:imagedata r:id="rId1" o:title=""/>
        </v:shape>
      </w:pict>
    </w:r>
    <w:r>
      <w:rPr/>
      <w:pict>
        <v:group style="position:absolute;margin-left:88.463997pt;margin-top:66.239983pt;width:444.55pt;height:.1pt;mso-position-horizontal-relative:page;mso-position-vertical-relative:page;z-index:-1046752" coordorigin="1769,1325" coordsize="8891,2">
          <v:shape style="position:absolute;left:1769;top:1325;width:8891;height:2" coordorigin="1769,1325" coordsize="8891,0" path="m1769,1325l10660,1325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88.903999pt;margin-top:53.545609pt;width:168.85pt;height:12pt;mso-position-horizontal-relative:page;mso-position-vertical-relative:page;z-index:-104672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color w:val="404040"/>
                    <w:sz w:val="18"/>
                    <w:szCs w:val="18"/>
                  </w:rPr>
                  <w:t>用友网络科技股份有限公司</w:t>
                </w:r>
                <w:r>
                  <w:rPr>
                    <w:rFonts w:ascii="宋体" w:hAnsi="宋体" w:cs="宋体" w:eastAsia="宋体" w:hint="default"/>
                    <w:color w:val="404040"/>
                    <w:spacing w:val="-46"/>
                    <w:sz w:val="18"/>
                    <w:szCs w:val="18"/>
                  </w:rPr>
                  <w:t> </w:t>
                </w:r>
                <w:r>
                  <w:rPr>
                    <w:rFonts w:ascii="Calibri" w:hAnsi="Calibri" w:cs="Calibri" w:eastAsia="Calibri" w:hint="default"/>
                    <w:color w:val="404040"/>
                    <w:sz w:val="18"/>
                    <w:szCs w:val="18"/>
                  </w:rPr>
                  <w:t>2017</w:t>
                </w:r>
                <w:r>
                  <w:rPr>
                    <w:rFonts w:ascii="Calibri" w:hAnsi="Calibri" w:cs="Calibri" w:eastAsia="Calibri" w:hint="default"/>
                    <w:color w:val="404040"/>
                    <w:spacing w:val="2"/>
                    <w:sz w:val="18"/>
                    <w:szCs w:val="18"/>
                  </w:rPr>
                  <w:t> </w:t>
                </w:r>
                <w:r>
                  <w:rPr>
                    <w:rFonts w:ascii="宋体" w:hAnsi="宋体" w:cs="宋体" w:eastAsia="宋体" w:hint="default"/>
                    <w:color w:val="404040"/>
                    <w:sz w:val="18"/>
                    <w:szCs w:val="18"/>
                  </w:rPr>
                  <w:t>年度报告</w:t>
                </w:r>
                <w:r>
                  <w:rPr>
                    <w:rFonts w:ascii="宋体" w:hAnsi="宋体" w:cs="宋体" w:eastAsia="宋体" w:hint="default"/>
                    <w:sz w:val="18"/>
                    <w:szCs w:val="18"/>
                  </w:rPr>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0.5pt;margin-top:42.750008pt;width:26.15pt;height:18.4pt;mso-position-horizontal-relative:page;mso-position-vertical-relative:page;z-index:-1046272" type="#_x0000_t75" stroked="false">
          <v:imagedata r:id="rId1" o:title=""/>
        </v:shape>
      </w:pict>
    </w:r>
    <w:r>
      <w:rPr/>
      <w:pict>
        <v:shape style="position:absolute;margin-left:75.199997pt;margin-top:53.545631pt;width:168.85pt;height:12pt;mso-position-horizontal-relative:page;mso-position-vertical-relative:page;z-index:-104624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color w:val="404040"/>
                    <w:sz w:val="18"/>
                    <w:szCs w:val="18"/>
                  </w:rPr>
                  <w:t>用友网络科技股份有限公司</w:t>
                </w:r>
                <w:r>
                  <w:rPr>
                    <w:rFonts w:ascii="宋体" w:hAnsi="宋体" w:cs="宋体" w:eastAsia="宋体" w:hint="default"/>
                    <w:color w:val="404040"/>
                    <w:spacing w:val="-46"/>
                    <w:sz w:val="18"/>
                    <w:szCs w:val="18"/>
                  </w:rPr>
                  <w:t> </w:t>
                </w:r>
                <w:r>
                  <w:rPr>
                    <w:rFonts w:ascii="Calibri" w:hAnsi="Calibri" w:cs="Calibri" w:eastAsia="Calibri" w:hint="default"/>
                    <w:color w:val="404040"/>
                    <w:sz w:val="18"/>
                    <w:szCs w:val="18"/>
                  </w:rPr>
                  <w:t>2017</w:t>
                </w:r>
                <w:r>
                  <w:rPr>
                    <w:rFonts w:ascii="Calibri" w:hAnsi="Calibri" w:cs="Calibri" w:eastAsia="Calibri" w:hint="default"/>
                    <w:color w:val="404040"/>
                    <w:spacing w:val="2"/>
                    <w:sz w:val="18"/>
                    <w:szCs w:val="18"/>
                  </w:rPr>
                  <w:t> </w:t>
                </w:r>
                <w:r>
                  <w:rPr>
                    <w:rFonts w:ascii="宋体" w:hAnsi="宋体" w:cs="宋体" w:eastAsia="宋体" w:hint="default"/>
                    <w:color w:val="404040"/>
                    <w:sz w:val="18"/>
                    <w:szCs w:val="18"/>
                  </w:rPr>
                  <w:t>年度报告</w:t>
                </w:r>
                <w:r>
                  <w:rPr>
                    <w:rFonts w:ascii="宋体" w:hAnsi="宋体" w:cs="宋体" w:eastAsia="宋体" w:hint="default"/>
                    <w:sz w:val="18"/>
                    <w:szCs w:val="18"/>
                  </w:rPr>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04.100006pt;margin-top:42.839981pt;width:26.15pt;height:18.36pt;mso-position-horizontal-relative:page;mso-position-vertical-relative:page;z-index:-1046152" type="#_x0000_t75" stroked="false">
          <v:imagedata r:id="rId1" o:title=""/>
        </v:shape>
      </w:pict>
    </w:r>
    <w:r>
      <w:rPr/>
      <w:pict>
        <v:group style="position:absolute;margin-left:88.463997pt;margin-top:66.359985pt;width:444.55pt;height:.1pt;mso-position-horizontal-relative:page;mso-position-vertical-relative:page;z-index:-1046128" coordorigin="1769,1327" coordsize="8891,2">
          <v:shape style="position:absolute;left:1769;top:1327;width:8891;height:2" coordorigin="1769,1327" coordsize="8891,0" path="m1769,1327l10660,1327e" filled="false" stroked="true" strokeweight=".72pt" strokecolor="#000000">
            <v:path arrowok="t"/>
          </v:shape>
          <w10:wrap type="none"/>
        </v:group>
      </w:pict>
    </w:r>
    <w:r>
      <w:rPr/>
      <w:pict>
        <v:shape style="position:absolute;margin-left:88.903999pt;margin-top:53.665607pt;width:168.85pt;height:12pt;mso-position-horizontal-relative:page;mso-position-vertical-relative:page;z-index:-1046104"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color w:val="404040"/>
                    <w:sz w:val="18"/>
                    <w:szCs w:val="18"/>
                  </w:rPr>
                  <w:t>用友网络科技股份有限公司</w:t>
                </w:r>
                <w:r>
                  <w:rPr>
                    <w:rFonts w:ascii="宋体" w:hAnsi="宋体" w:cs="宋体" w:eastAsia="宋体" w:hint="default"/>
                    <w:color w:val="404040"/>
                    <w:spacing w:val="-46"/>
                    <w:sz w:val="18"/>
                    <w:szCs w:val="18"/>
                  </w:rPr>
                  <w:t> </w:t>
                </w:r>
                <w:r>
                  <w:rPr>
                    <w:rFonts w:ascii="Calibri" w:hAnsi="Calibri" w:cs="Calibri" w:eastAsia="Calibri" w:hint="default"/>
                    <w:color w:val="404040"/>
                    <w:sz w:val="18"/>
                    <w:szCs w:val="18"/>
                  </w:rPr>
                  <w:t>2017</w:t>
                </w:r>
                <w:r>
                  <w:rPr>
                    <w:rFonts w:ascii="Calibri" w:hAnsi="Calibri" w:cs="Calibri" w:eastAsia="Calibri" w:hint="default"/>
                    <w:color w:val="404040"/>
                    <w:spacing w:val="2"/>
                    <w:sz w:val="18"/>
                    <w:szCs w:val="18"/>
                  </w:rPr>
                  <w:t> </w:t>
                </w:r>
                <w:r>
                  <w:rPr>
                    <w:rFonts w:ascii="宋体" w:hAnsi="宋体" w:cs="宋体" w:eastAsia="宋体" w:hint="default"/>
                    <w:color w:val="404040"/>
                    <w:sz w:val="18"/>
                    <w:szCs w:val="18"/>
                  </w:rPr>
                  <w:t>年度报告</w:t>
                </w:r>
                <w:r>
                  <w:rPr>
                    <w:rFonts w:ascii="宋体" w:hAnsi="宋体" w:cs="宋体" w:eastAsia="宋体" w:hint="default"/>
                    <w:sz w:val="18"/>
                    <w:szCs w:val="18"/>
                  </w:rPr>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25pt;margin-top:42.840008pt;width:26.15pt;height:18.36pt;mso-position-horizontal-relative:page;mso-position-vertical-relative:page;z-index:-1045960" type="#_x0000_t75" stroked="false">
          <v:imagedata r:id="rId1" o:title=""/>
        </v:shape>
      </w:pict>
    </w:r>
    <w:r>
      <w:rPr/>
      <w:pict>
        <v:group style="position:absolute;margin-left:70.559998pt;margin-top:66.380005pt;width:696.6pt;height:.1pt;mso-position-horizontal-relative:page;mso-position-vertical-relative:page;z-index:-1045936" coordorigin="1411,1328" coordsize="13932,2">
          <v:shape style="position:absolute;left:1411;top:1328;width:13932;height:2" coordorigin="1411,1328" coordsize="13932,0" path="m1411,1328l15343,1328e" filled="false" stroked="true" strokeweight=".72pt" strokecolor="#000000">
            <v:path arrowok="t"/>
          </v:shape>
          <w10:wrap type="none"/>
        </v:group>
      </w:pict>
    </w:r>
    <w:r>
      <w:rPr/>
      <w:pict>
        <v:shape style="position:absolute;margin-left:71pt;margin-top:53.665634pt;width:168.85pt;height:12pt;mso-position-horizontal-relative:page;mso-position-vertical-relative:page;z-index:-1045912"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color w:val="404040"/>
                    <w:sz w:val="18"/>
                    <w:szCs w:val="18"/>
                  </w:rPr>
                  <w:t>用友网络科技股份有限公司</w:t>
                </w:r>
                <w:r>
                  <w:rPr>
                    <w:rFonts w:ascii="宋体" w:hAnsi="宋体" w:cs="宋体" w:eastAsia="宋体" w:hint="default"/>
                    <w:color w:val="404040"/>
                    <w:spacing w:val="-46"/>
                    <w:sz w:val="18"/>
                    <w:szCs w:val="18"/>
                  </w:rPr>
                  <w:t> </w:t>
                </w:r>
                <w:r>
                  <w:rPr>
                    <w:rFonts w:ascii="Calibri" w:hAnsi="Calibri" w:cs="Calibri" w:eastAsia="Calibri" w:hint="default"/>
                    <w:color w:val="404040"/>
                    <w:sz w:val="18"/>
                    <w:szCs w:val="18"/>
                  </w:rPr>
                  <w:t>2017</w:t>
                </w:r>
                <w:r>
                  <w:rPr>
                    <w:rFonts w:ascii="Calibri" w:hAnsi="Calibri" w:cs="Calibri" w:eastAsia="Calibri" w:hint="default"/>
                    <w:color w:val="404040"/>
                    <w:spacing w:val="2"/>
                    <w:sz w:val="18"/>
                    <w:szCs w:val="18"/>
                  </w:rPr>
                  <w:t> </w:t>
                </w:r>
                <w:r>
                  <w:rPr>
                    <w:rFonts w:ascii="宋体" w:hAnsi="宋体" w:cs="宋体" w:eastAsia="宋体" w:hint="default"/>
                    <w:color w:val="404040"/>
                    <w:sz w:val="18"/>
                    <w:szCs w:val="18"/>
                  </w:rPr>
                  <w:t>年度报告</w:t>
                </w:r>
                <w:r>
                  <w:rPr>
                    <w:rFonts w:ascii="宋体" w:hAnsi="宋体" w:cs="宋体" w:eastAsia="宋体" w:hint="default"/>
                    <w:sz w:val="18"/>
                    <w:szCs w:val="18"/>
                  </w:rPr>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04.100006pt;margin-top:42.839981pt;width:26.15pt;height:18.36pt;mso-position-horizontal-relative:page;mso-position-vertical-relative:page;z-index:-1045864" type="#_x0000_t75" stroked="false">
          <v:imagedata r:id="rId1" o:title=""/>
        </v:shape>
      </w:pict>
    </w:r>
    <w:r>
      <w:rPr/>
      <w:pict>
        <v:group style="position:absolute;margin-left:88.463997pt;margin-top:66.359985pt;width:444.55pt;height:.1pt;mso-position-horizontal-relative:page;mso-position-vertical-relative:page;z-index:-1045840" coordorigin="1769,1327" coordsize="8891,2">
          <v:shape style="position:absolute;left:1769;top:1327;width:8891;height:2" coordorigin="1769,1327" coordsize="8891,0" path="m1769,1327l10660,1327e" filled="false" stroked="true" strokeweight=".72pt" strokecolor="#000000">
            <v:path arrowok="t"/>
          </v:shape>
          <w10:wrap type="none"/>
        </v:group>
      </w:pict>
    </w:r>
    <w:r>
      <w:rPr/>
      <w:pict>
        <v:shape style="position:absolute;margin-left:88.903999pt;margin-top:53.665607pt;width:168.85pt;height:12pt;mso-position-horizontal-relative:page;mso-position-vertical-relative:page;z-index:-1045816"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color w:val="404040"/>
                    <w:sz w:val="18"/>
                    <w:szCs w:val="18"/>
                  </w:rPr>
                  <w:t>用友网络科技股份有限公司</w:t>
                </w:r>
                <w:r>
                  <w:rPr>
                    <w:rFonts w:ascii="宋体" w:hAnsi="宋体" w:cs="宋体" w:eastAsia="宋体" w:hint="default"/>
                    <w:color w:val="404040"/>
                    <w:spacing w:val="-46"/>
                    <w:sz w:val="18"/>
                    <w:szCs w:val="18"/>
                  </w:rPr>
                  <w:t> </w:t>
                </w:r>
                <w:r>
                  <w:rPr>
                    <w:rFonts w:ascii="Calibri" w:hAnsi="Calibri" w:cs="Calibri" w:eastAsia="Calibri" w:hint="default"/>
                    <w:color w:val="404040"/>
                    <w:sz w:val="18"/>
                    <w:szCs w:val="18"/>
                  </w:rPr>
                  <w:t>2017</w:t>
                </w:r>
                <w:r>
                  <w:rPr>
                    <w:rFonts w:ascii="Calibri" w:hAnsi="Calibri" w:cs="Calibri" w:eastAsia="Calibri" w:hint="default"/>
                    <w:color w:val="404040"/>
                    <w:spacing w:val="2"/>
                    <w:sz w:val="18"/>
                    <w:szCs w:val="18"/>
                  </w:rPr>
                  <w:t> </w:t>
                </w:r>
                <w:r>
                  <w:rPr>
                    <w:rFonts w:ascii="宋体" w:hAnsi="宋体" w:cs="宋体" w:eastAsia="宋体" w:hint="default"/>
                    <w:color w:val="404040"/>
                    <w:sz w:val="18"/>
                    <w:szCs w:val="18"/>
                  </w:rPr>
                  <w:t>年度报告</w:t>
                </w:r>
                <w:r>
                  <w:rPr>
                    <w:rFonts w:ascii="宋体" w:hAnsi="宋体" w:cs="宋体" w:eastAsia="宋体" w:hint="default"/>
                    <w:sz w:val="18"/>
                    <w:szCs w:val="18"/>
                  </w:rPr>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04.100006pt;margin-top:42.839981pt;width:26.15pt;height:18.36pt;mso-position-horizontal-relative:page;mso-position-vertical-relative:page;z-index:-1045384" type="#_x0000_t75" stroked="false">
          <v:imagedata r:id="rId1" o:title=""/>
        </v:shape>
      </w:pict>
    </w:r>
    <w:r>
      <w:rPr/>
      <w:pict>
        <v:group style="position:absolute;margin-left:88.463997pt;margin-top:66.359985pt;width:444.55pt;height:.1pt;mso-position-horizontal-relative:page;mso-position-vertical-relative:page;z-index:-1045360" coordorigin="1769,1327" coordsize="8891,2">
          <v:shape style="position:absolute;left:1769;top:1327;width:8891;height:2" coordorigin="1769,1327" coordsize="8891,0" path="m1769,1327l10660,1327e" filled="false" stroked="true" strokeweight=".72pt" strokecolor="#000000">
            <v:path arrowok="t"/>
          </v:shape>
          <w10:wrap type="none"/>
        </v:group>
      </w:pict>
    </w:r>
    <w:r>
      <w:rPr/>
      <w:pict>
        <v:shape style="position:absolute;margin-left:88.903999pt;margin-top:53.665607pt;width:168.85pt;height:12pt;mso-position-horizontal-relative:page;mso-position-vertical-relative:page;z-index:-1045336"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color w:val="404040"/>
                    <w:sz w:val="18"/>
                    <w:szCs w:val="18"/>
                  </w:rPr>
                  <w:t>用友网络科技股份有限公司</w:t>
                </w:r>
                <w:r>
                  <w:rPr>
                    <w:rFonts w:ascii="宋体" w:hAnsi="宋体" w:cs="宋体" w:eastAsia="宋体" w:hint="default"/>
                    <w:color w:val="404040"/>
                    <w:spacing w:val="-46"/>
                    <w:sz w:val="18"/>
                    <w:szCs w:val="18"/>
                  </w:rPr>
                  <w:t> </w:t>
                </w:r>
                <w:r>
                  <w:rPr>
                    <w:rFonts w:ascii="Calibri" w:hAnsi="Calibri" w:cs="Calibri" w:eastAsia="Calibri" w:hint="default"/>
                    <w:color w:val="404040"/>
                    <w:sz w:val="18"/>
                    <w:szCs w:val="18"/>
                  </w:rPr>
                  <w:t>2017</w:t>
                </w:r>
                <w:r>
                  <w:rPr>
                    <w:rFonts w:ascii="Calibri" w:hAnsi="Calibri" w:cs="Calibri" w:eastAsia="Calibri" w:hint="default"/>
                    <w:color w:val="404040"/>
                    <w:spacing w:val="2"/>
                    <w:sz w:val="18"/>
                    <w:szCs w:val="18"/>
                  </w:rPr>
                  <w:t> </w:t>
                </w:r>
                <w:r>
                  <w:rPr>
                    <w:rFonts w:ascii="宋体" w:hAnsi="宋体" w:cs="宋体" w:eastAsia="宋体" w:hint="default"/>
                    <w:color w:val="404040"/>
                    <w:sz w:val="18"/>
                    <w:szCs w:val="18"/>
                  </w:rPr>
                  <w:t>年度报告</w:t>
                </w:r>
                <w:r>
                  <w:rPr>
                    <w:rFonts w:ascii="宋体" w:hAnsi="宋体" w:cs="宋体" w:eastAsia="宋体" w:hint="default"/>
                    <w:sz w:val="18"/>
                    <w:szCs w:val="18"/>
                  </w:rPr>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17"/>
      <w:ind w:left="138"/>
    </w:pPr>
    <w:rPr>
      <w:rFonts w:ascii="宋体" w:hAnsi="宋体" w:eastAsia="宋体"/>
      <w:b/>
      <w:bCs/>
      <w:sz w:val="21"/>
      <w:szCs w:val="21"/>
    </w:rPr>
  </w:style>
  <w:style w:styleId="BodyText" w:type="paragraph">
    <w:name w:val="Body Text"/>
    <w:basedOn w:val="Normal"/>
    <w:uiPriority w:val="1"/>
    <w:qFormat/>
    <w:pPr>
      <w:ind w:left="218"/>
    </w:pPr>
    <w:rPr>
      <w:rFonts w:ascii="宋体" w:hAnsi="宋体" w:eastAsia="宋体"/>
      <w:sz w:val="21"/>
      <w:szCs w:val="21"/>
    </w:rPr>
  </w:style>
  <w:style w:styleId="Heading1" w:type="paragraph">
    <w:name w:val="Heading 1"/>
    <w:basedOn w:val="Normal"/>
    <w:uiPriority w:val="1"/>
    <w:qFormat/>
    <w:pPr>
      <w:spacing w:before="14"/>
      <w:ind w:left="62"/>
      <w:outlineLvl w:val="1"/>
    </w:pPr>
    <w:rPr>
      <w:rFonts w:ascii="黑体" w:hAnsi="黑体" w:eastAsia="黑体"/>
      <w:b/>
      <w:bCs/>
      <w:sz w:val="28"/>
      <w:szCs w:val="28"/>
    </w:rPr>
  </w:style>
  <w:style w:styleId="Heading2" w:type="paragraph">
    <w:name w:val="Heading 2"/>
    <w:basedOn w:val="Normal"/>
    <w:uiPriority w:val="1"/>
    <w:qFormat/>
    <w:pPr>
      <w:ind w:left="138"/>
      <w:outlineLvl w:val="2"/>
    </w:pPr>
    <w:rPr>
      <w:rFonts w:ascii="微软雅黑" w:hAnsi="微软雅黑" w:eastAsia="微软雅黑"/>
      <w:b/>
      <w:bCs/>
      <w:sz w:val="24"/>
      <w:szCs w:val="24"/>
    </w:rPr>
  </w:style>
  <w:style w:styleId="Heading3" w:type="paragraph">
    <w:name w:val="Heading 3"/>
    <w:basedOn w:val="Normal"/>
    <w:uiPriority w:val="1"/>
    <w:qFormat/>
    <w:pPr>
      <w:ind w:left="218"/>
      <w:outlineLvl w:val="3"/>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hyperlink" Target="mailto:ir@yonyou.com" TargetMode="External"/><Relationship Id="rId12" Type="http://schemas.openxmlformats.org/officeDocument/2006/relationships/hyperlink" Target="http://www.yonyou.com/" TargetMode="External"/><Relationship Id="rId13" Type="http://schemas.openxmlformats.org/officeDocument/2006/relationships/hyperlink" Target="http://www.sse.com.cn/" TargetMode="Externa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image" Target="media/image6.jpeg"/><Relationship Id="rId17" Type="http://schemas.openxmlformats.org/officeDocument/2006/relationships/footer" Target="footer4.xml"/><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footer" Target="footer5.xml"/><Relationship Id="rId21" Type="http://schemas.openxmlformats.org/officeDocument/2006/relationships/image" Target="media/image9.jpeg"/><Relationship Id="rId22" Type="http://schemas.openxmlformats.org/officeDocument/2006/relationships/footer" Target="footer6.xml"/><Relationship Id="rId23" Type="http://schemas.openxmlformats.org/officeDocument/2006/relationships/image" Target="media/image10.jpeg"/><Relationship Id="rId24" Type="http://schemas.openxmlformats.org/officeDocument/2006/relationships/footer" Target="footer7.xml"/><Relationship Id="rId25" Type="http://schemas.openxmlformats.org/officeDocument/2006/relationships/image" Target="media/image11.png"/><Relationship Id="rId26" Type="http://schemas.openxmlformats.org/officeDocument/2006/relationships/image" Target="media/image12.jpeg"/><Relationship Id="rId27" Type="http://schemas.openxmlformats.org/officeDocument/2006/relationships/image" Target="media/image13.jpeg"/><Relationship Id="rId28" Type="http://schemas.openxmlformats.org/officeDocument/2006/relationships/footer" Target="footer8.xml"/><Relationship Id="rId29" Type="http://schemas.openxmlformats.org/officeDocument/2006/relationships/footer" Target="footer9.xml"/><Relationship Id="rId30" Type="http://schemas.openxmlformats.org/officeDocument/2006/relationships/footer" Target="footer10.xml"/><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footer" Target="footer11.xml"/><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footer" Target="footer12.xml"/><Relationship Id="rId37" Type="http://schemas.openxmlformats.org/officeDocument/2006/relationships/footer" Target="footer13.xml"/><Relationship Id="rId38" Type="http://schemas.openxmlformats.org/officeDocument/2006/relationships/image" Target="media/image18.jpeg"/><Relationship Id="rId39" Type="http://schemas.openxmlformats.org/officeDocument/2006/relationships/footer" Target="footer14.xml"/><Relationship Id="rId40" Type="http://schemas.openxmlformats.org/officeDocument/2006/relationships/footer" Target="footer15.xml"/><Relationship Id="rId41" Type="http://schemas.openxmlformats.org/officeDocument/2006/relationships/footer" Target="footer16.xml"/><Relationship Id="rId42" Type="http://schemas.openxmlformats.org/officeDocument/2006/relationships/image" Target="media/image19.jpeg"/><Relationship Id="rId43" Type="http://schemas.openxmlformats.org/officeDocument/2006/relationships/footer" Target="footer17.xml"/><Relationship Id="rId44" Type="http://schemas.openxmlformats.org/officeDocument/2006/relationships/image" Target="media/image20.png"/><Relationship Id="rId45" Type="http://schemas.openxmlformats.org/officeDocument/2006/relationships/footer" Target="footer18.xml"/><Relationship Id="rId46" Type="http://schemas.openxmlformats.org/officeDocument/2006/relationships/header" Target="header2.xml"/><Relationship Id="rId47" Type="http://schemas.openxmlformats.org/officeDocument/2006/relationships/footer" Target="footer19.xml"/><Relationship Id="rId48" Type="http://schemas.openxmlformats.org/officeDocument/2006/relationships/footer" Target="footer20.xml"/><Relationship Id="rId49" Type="http://schemas.openxmlformats.org/officeDocument/2006/relationships/footer" Target="footer21.xml"/><Relationship Id="rId50" Type="http://schemas.openxmlformats.org/officeDocument/2006/relationships/header" Target="header3.xml"/><Relationship Id="rId51" Type="http://schemas.openxmlformats.org/officeDocument/2006/relationships/footer" Target="footer22.xml"/><Relationship Id="rId52" Type="http://schemas.openxmlformats.org/officeDocument/2006/relationships/image" Target="media/image21.png"/><Relationship Id="rId53" Type="http://schemas.openxmlformats.org/officeDocument/2006/relationships/footer" Target="footer23.xml"/><Relationship Id="rId54" Type="http://schemas.openxmlformats.org/officeDocument/2006/relationships/footer" Target="footer24.xml"/><Relationship Id="rId55" Type="http://schemas.openxmlformats.org/officeDocument/2006/relationships/footer" Target="footer25.xml"/><Relationship Id="rId56" Type="http://schemas.openxmlformats.org/officeDocument/2006/relationships/footer" Target="footer26.xml"/><Relationship Id="rId57" Type="http://schemas.openxmlformats.org/officeDocument/2006/relationships/header" Target="header4.xml"/><Relationship Id="rId58" Type="http://schemas.openxmlformats.org/officeDocument/2006/relationships/footer" Target="footer27.xml"/><Relationship Id="rId59" Type="http://schemas.openxmlformats.org/officeDocument/2006/relationships/header" Target="header5.xml"/><Relationship Id="rId60" Type="http://schemas.openxmlformats.org/officeDocument/2006/relationships/footer" Target="footer28.xml"/><Relationship Id="rId61" Type="http://schemas.openxmlformats.org/officeDocument/2006/relationships/footer" Target="footer29.xml"/><Relationship Id="rId62" Type="http://schemas.openxmlformats.org/officeDocument/2006/relationships/footer" Target="footer30.xml"/><Relationship Id="rId63" Type="http://schemas.openxmlformats.org/officeDocument/2006/relationships/footer" Target="footer31.xml"/><Relationship Id="rId64" Type="http://schemas.openxmlformats.org/officeDocument/2006/relationships/footer" Target="footer32.xml"/><Relationship Id="rId65" Type="http://schemas.openxmlformats.org/officeDocument/2006/relationships/footer" Target="footer33.xml"/><Relationship Id="rId66" Type="http://schemas.openxmlformats.org/officeDocument/2006/relationships/footer" Target="footer34.xml"/><Relationship Id="rId67" Type="http://schemas.openxmlformats.org/officeDocument/2006/relationships/footer" Target="footer35.xml"/><Relationship Id="rId68" Type="http://schemas.openxmlformats.org/officeDocument/2006/relationships/footer" Target="footer36.xml"/><Relationship Id="rId69" Type="http://schemas.openxmlformats.org/officeDocument/2006/relationships/footer" Target="footer37.xml"/><Relationship Id="rId70" Type="http://schemas.openxmlformats.org/officeDocument/2006/relationships/footer" Target="footer38.xml"/><Relationship Id="rId71" Type="http://schemas.openxmlformats.org/officeDocument/2006/relationships/footer" Target="footer39.xml"/><Relationship Id="rId72" Type="http://schemas.openxmlformats.org/officeDocument/2006/relationships/footer" Target="footer40.xml"/><Relationship Id="rId73" Type="http://schemas.openxmlformats.org/officeDocument/2006/relationships/footer" Target="footer41.xml"/><Relationship Id="rId74" Type="http://schemas.openxmlformats.org/officeDocument/2006/relationships/footer" Target="footer42.xml"/><Relationship Id="rId75" Type="http://schemas.openxmlformats.org/officeDocument/2006/relationships/footer" Target="footer43.xml"/><Relationship Id="rId76" Type="http://schemas.openxmlformats.org/officeDocument/2006/relationships/footer" Target="footer44.xml"/><Relationship Id="rId77" Type="http://schemas.openxmlformats.org/officeDocument/2006/relationships/header" Target="header6.xml"/><Relationship Id="rId78" Type="http://schemas.openxmlformats.org/officeDocument/2006/relationships/footer" Target="footer45.xml"/><Relationship Id="rId79" Type="http://schemas.openxmlformats.org/officeDocument/2006/relationships/image" Target="media/image1.png"/><Relationship Id="rId80" Type="http://schemas.openxmlformats.org/officeDocument/2006/relationships/header" Target="header7.xml"/><Relationship Id="rId81" Type="http://schemas.openxmlformats.org/officeDocument/2006/relationships/footer" Target="footer46.xml"/><Relationship Id="rId82" Type="http://schemas.openxmlformats.org/officeDocument/2006/relationships/footer" Target="footer47.xml"/><Relationship Id="rId83" Type="http://schemas.openxmlformats.org/officeDocument/2006/relationships/footer" Target="footer48.xml"/><Relationship Id="rId84" Type="http://schemas.openxmlformats.org/officeDocument/2006/relationships/footer" Target="footer49.xml"/><Relationship Id="rId85" Type="http://schemas.openxmlformats.org/officeDocument/2006/relationships/footer" Target="footer50.xml"/><Relationship Id="rId86" Type="http://schemas.openxmlformats.org/officeDocument/2006/relationships/footer" Target="footer51.xml"/><Relationship Id="rId87" Type="http://schemas.openxmlformats.org/officeDocument/2006/relationships/footer" Target="footer52.xml"/><Relationship Id="rId88" Type="http://schemas.openxmlformats.org/officeDocument/2006/relationships/footer" Target="footer53.xml"/><Relationship Id="rId89" Type="http://schemas.openxmlformats.org/officeDocument/2006/relationships/footer" Target="footer5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czq</dc:creator>
  <dc:title>股份有限公司</dc:title>
  <dcterms:created xsi:type="dcterms:W3CDTF">2020-05-03T03:33:11Z</dcterms:created>
  <dcterms:modified xsi:type="dcterms:W3CDTF">2020-05-03T03:33:11Z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2018-03-23T00:00:00Z</vt:filetime>
  </property>
  <property fmtid="{D5CDD505-2E9C-101B-9397-08002B2CF9AE}" pid="3" name="Creator">
    <vt:lpwstr>Microsoft® Office Word 2007</vt:lpwstr>
  </property>
  <property fmtid="{D5CDD505-2E9C-101B-9397-08002B2CF9AE}" pid="4" name="LastSaved">
    <vt:filetime>2020-05-02T00:00:00Z</vt:filetime>
  </property>
</Properties>
</file>